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1"/>
        <w:ind w:left="0" w:leftChars="0" w:firstLine="0" w:firstLineChars="0"/>
        <w:rPr>
          <w:color w:val="auto"/>
          <w:highlight w:val="none"/>
        </w:rPr>
      </w:pPr>
    </w:p>
    <w:p>
      <w:pPr>
        <w:pStyle w:val="61"/>
        <w:spacing w:line="360" w:lineRule="auto"/>
        <w:ind w:firstLine="600"/>
        <w:rPr>
          <w:color w:val="auto"/>
          <w:highlight w:val="none"/>
        </w:rPr>
      </w:pPr>
    </w:p>
    <w:p>
      <w:pPr>
        <w:spacing w:line="360" w:lineRule="auto"/>
        <w:jc w:val="center"/>
        <w:rPr>
          <w:rFonts w:hint="eastAsia" w:ascii="方正小标宋_GBK" w:hAnsi="Times New Roman" w:eastAsia="方正小标宋_GBK" w:cs="Times New Roman"/>
          <w:color w:val="auto"/>
          <w:sz w:val="44"/>
          <w:szCs w:val="44"/>
          <w:highlight w:val="none"/>
        </w:rPr>
      </w:pPr>
      <w:bookmarkStart w:id="0" w:name="_Hlk83575769"/>
      <w:r>
        <w:rPr>
          <w:rFonts w:hint="eastAsia" w:ascii="方正小标宋_GBK" w:hAnsi="Times New Roman" w:eastAsia="方正小标宋_GBK" w:cs="Times New Roman"/>
          <w:color w:val="auto"/>
          <w:sz w:val="44"/>
          <w:szCs w:val="44"/>
          <w:highlight w:val="none"/>
          <w:lang w:eastAsia="zh-CN"/>
        </w:rPr>
        <w:t>昆明</w:t>
      </w:r>
      <w:r>
        <w:rPr>
          <w:rFonts w:hint="eastAsia" w:ascii="方正小标宋_GBK" w:hAnsi="Times New Roman" w:eastAsia="方正小标宋_GBK" w:cs="Times New Roman"/>
          <w:color w:val="auto"/>
          <w:sz w:val="44"/>
          <w:szCs w:val="44"/>
          <w:highlight w:val="none"/>
        </w:rPr>
        <w:t>市</w:t>
      </w:r>
      <w:r>
        <w:rPr>
          <w:rFonts w:hint="eastAsia" w:ascii="方正小标宋_GBK" w:hAnsi="Times New Roman" w:eastAsia="方正小标宋_GBK" w:cs="Times New Roman"/>
          <w:color w:val="auto"/>
          <w:sz w:val="44"/>
          <w:szCs w:val="44"/>
          <w:highlight w:val="none"/>
          <w:lang w:eastAsia="zh-CN"/>
        </w:rPr>
        <w:t>盘龙区</w:t>
      </w:r>
      <w:r>
        <w:rPr>
          <w:rFonts w:hint="eastAsia" w:ascii="方正小标宋_GBK" w:hAnsi="Times New Roman" w:eastAsia="方正小标宋_GBK" w:cs="Times New Roman"/>
          <w:color w:val="auto"/>
          <w:sz w:val="44"/>
          <w:szCs w:val="44"/>
          <w:highlight w:val="none"/>
        </w:rPr>
        <w:t>地上附着物和</w:t>
      </w:r>
    </w:p>
    <w:p>
      <w:pPr>
        <w:spacing w:line="360" w:lineRule="auto"/>
        <w:jc w:val="center"/>
        <w:rPr>
          <w:rFonts w:ascii="方正小标宋_GBK" w:hAnsi="Times New Roman" w:eastAsia="方正小标宋_GBK" w:cs="Times New Roman"/>
          <w:color w:val="auto"/>
          <w:sz w:val="44"/>
          <w:szCs w:val="44"/>
          <w:highlight w:val="none"/>
        </w:rPr>
      </w:pPr>
      <w:r>
        <w:rPr>
          <w:rFonts w:hint="eastAsia" w:ascii="方正小标宋_GBK" w:hAnsi="Times New Roman" w:eastAsia="方正小标宋_GBK" w:cs="Times New Roman"/>
          <w:color w:val="auto"/>
          <w:sz w:val="44"/>
          <w:szCs w:val="44"/>
          <w:highlight w:val="none"/>
        </w:rPr>
        <w:t>青苗补偿标准测算技术报告</w:t>
      </w:r>
    </w:p>
    <w:p>
      <w:pPr>
        <w:spacing w:line="560" w:lineRule="exact"/>
        <w:jc w:val="center"/>
        <w:rPr>
          <w:rFonts w:ascii="Times New Roman" w:hAnsi="Times New Roman" w:eastAsia="方正小标宋简体" w:cs="Times New Roman"/>
          <w:color w:val="auto"/>
          <w:sz w:val="44"/>
          <w:szCs w:val="44"/>
          <w:highlight w:val="none"/>
        </w:rPr>
      </w:pPr>
    </w:p>
    <w:p>
      <w:pPr>
        <w:spacing w:line="560" w:lineRule="exact"/>
        <w:jc w:val="center"/>
        <w:rPr>
          <w:rFonts w:ascii="Times New Roman" w:hAnsi="Times New Roman" w:eastAsia="方正小标宋简体" w:cs="Times New Roman"/>
          <w:color w:val="auto"/>
          <w:sz w:val="44"/>
          <w:szCs w:val="44"/>
          <w:highlight w:val="none"/>
        </w:rPr>
      </w:pPr>
    </w:p>
    <w:p>
      <w:pPr>
        <w:spacing w:line="560" w:lineRule="exact"/>
        <w:jc w:val="center"/>
        <w:rPr>
          <w:rFonts w:ascii="Times New Roman" w:hAnsi="Times New Roman" w:eastAsia="方正小标宋简体" w:cs="Times New Roman"/>
          <w:color w:val="auto"/>
          <w:sz w:val="44"/>
          <w:szCs w:val="44"/>
          <w:highlight w:val="none"/>
        </w:rPr>
      </w:pPr>
    </w:p>
    <w:p>
      <w:pPr>
        <w:spacing w:line="560" w:lineRule="exact"/>
        <w:jc w:val="center"/>
        <w:rPr>
          <w:rFonts w:ascii="Times New Roman" w:hAnsi="Times New Roman" w:eastAsia="方正小标宋简体" w:cs="Times New Roman"/>
          <w:color w:val="auto"/>
          <w:sz w:val="44"/>
          <w:szCs w:val="44"/>
          <w:highlight w:val="none"/>
        </w:rPr>
      </w:pPr>
    </w:p>
    <w:p>
      <w:pPr>
        <w:spacing w:line="560" w:lineRule="exact"/>
        <w:jc w:val="center"/>
        <w:rPr>
          <w:rFonts w:ascii="Times New Roman" w:hAnsi="Times New Roman" w:eastAsia="方正小标宋简体" w:cs="Times New Roman"/>
          <w:color w:val="auto"/>
          <w:sz w:val="44"/>
          <w:szCs w:val="44"/>
          <w:highlight w:val="none"/>
        </w:rPr>
      </w:pPr>
    </w:p>
    <w:p>
      <w:pPr>
        <w:spacing w:line="560" w:lineRule="exact"/>
        <w:jc w:val="center"/>
        <w:rPr>
          <w:rFonts w:ascii="Times New Roman" w:hAnsi="Times New Roman" w:eastAsia="方正小标宋简体" w:cs="Times New Roman"/>
          <w:color w:val="auto"/>
          <w:sz w:val="44"/>
          <w:szCs w:val="44"/>
          <w:highlight w:val="none"/>
        </w:rPr>
      </w:pPr>
    </w:p>
    <w:p>
      <w:pPr>
        <w:pStyle w:val="18"/>
        <w:bidi w:val="0"/>
      </w:pPr>
    </w:p>
    <w:p>
      <w:pPr>
        <w:spacing w:line="560" w:lineRule="exact"/>
        <w:jc w:val="center"/>
        <w:rPr>
          <w:rFonts w:ascii="Times New Roman" w:hAnsi="Times New Roman" w:eastAsia="方正小标宋简体" w:cs="Times New Roman"/>
          <w:color w:val="auto"/>
          <w:sz w:val="44"/>
          <w:szCs w:val="44"/>
          <w:highlight w:val="none"/>
        </w:rPr>
      </w:pPr>
    </w:p>
    <w:p>
      <w:pPr>
        <w:spacing w:line="560" w:lineRule="exact"/>
        <w:jc w:val="center"/>
        <w:rPr>
          <w:rFonts w:ascii="Times New Roman" w:hAnsi="Times New Roman" w:eastAsia="方正小标宋简体" w:cs="Times New Roman"/>
          <w:color w:val="auto"/>
          <w:sz w:val="44"/>
          <w:szCs w:val="44"/>
          <w:highlight w:val="none"/>
        </w:rPr>
      </w:pPr>
    </w:p>
    <w:p>
      <w:pPr>
        <w:spacing w:line="560" w:lineRule="exact"/>
        <w:jc w:val="center"/>
        <w:rPr>
          <w:rFonts w:ascii="Times New Roman" w:hAnsi="Times New Roman" w:eastAsia="方正小标宋简体" w:cs="Times New Roman"/>
          <w:color w:val="auto"/>
          <w:sz w:val="44"/>
          <w:szCs w:val="44"/>
          <w:highlight w:val="none"/>
        </w:rPr>
      </w:pPr>
    </w:p>
    <w:p>
      <w:pPr>
        <w:spacing w:line="560" w:lineRule="exact"/>
        <w:jc w:val="center"/>
        <w:rPr>
          <w:rFonts w:ascii="Times New Roman" w:hAnsi="Times New Roman" w:eastAsia="方正小标宋简体" w:cs="Times New Roman"/>
          <w:color w:val="auto"/>
          <w:sz w:val="44"/>
          <w:szCs w:val="44"/>
          <w:highlight w:val="none"/>
        </w:rPr>
      </w:pPr>
    </w:p>
    <w:p>
      <w:pPr>
        <w:spacing w:line="560" w:lineRule="exact"/>
        <w:jc w:val="center"/>
        <w:rPr>
          <w:rFonts w:ascii="Times New Roman" w:hAnsi="Times New Roman" w:eastAsia="方正小标宋简体" w:cs="Times New Roman"/>
          <w:color w:val="auto"/>
          <w:sz w:val="44"/>
          <w:szCs w:val="44"/>
          <w:highlight w:val="none"/>
        </w:rPr>
      </w:pPr>
    </w:p>
    <w:p>
      <w:pPr>
        <w:pStyle w:val="61"/>
        <w:ind w:firstLine="600"/>
        <w:rPr>
          <w:color w:val="auto"/>
          <w:highlight w:val="none"/>
        </w:rPr>
      </w:pPr>
    </w:p>
    <w:p>
      <w:pPr>
        <w:spacing w:line="360" w:lineRule="auto"/>
        <w:jc w:val="center"/>
        <w:rPr>
          <w:rFonts w:hint="eastAsia" w:ascii="楷体" w:hAnsi="楷体" w:eastAsia="楷体" w:cs="楷体"/>
          <w:b/>
          <w:bCs/>
          <w:color w:val="auto"/>
          <w:sz w:val="32"/>
          <w:szCs w:val="44"/>
          <w:highlight w:val="none"/>
          <w:lang w:eastAsia="zh-CN"/>
        </w:rPr>
      </w:pPr>
    </w:p>
    <w:p>
      <w:pPr>
        <w:spacing w:line="360" w:lineRule="auto"/>
        <w:jc w:val="center"/>
        <w:rPr>
          <w:rFonts w:hint="eastAsia" w:ascii="楷体" w:hAnsi="楷体" w:eastAsia="楷体" w:cs="楷体"/>
          <w:b/>
          <w:bCs/>
          <w:color w:val="auto"/>
          <w:sz w:val="32"/>
          <w:szCs w:val="44"/>
          <w:highlight w:val="none"/>
          <w:lang w:eastAsia="zh-CN"/>
        </w:rPr>
      </w:pPr>
    </w:p>
    <w:p>
      <w:pPr>
        <w:spacing w:line="360" w:lineRule="auto"/>
        <w:jc w:val="center"/>
        <w:rPr>
          <w:rFonts w:hint="eastAsia" w:ascii="楷体" w:hAnsi="楷体" w:eastAsia="楷体" w:cs="楷体"/>
          <w:b/>
          <w:bCs/>
          <w:color w:val="auto"/>
          <w:sz w:val="32"/>
          <w:szCs w:val="44"/>
          <w:highlight w:val="none"/>
        </w:rPr>
      </w:pPr>
      <w:r>
        <w:rPr>
          <w:rFonts w:hint="eastAsia" w:ascii="楷体" w:hAnsi="楷体" w:eastAsia="楷体" w:cs="楷体"/>
          <w:b/>
          <w:bCs/>
          <w:color w:val="auto"/>
          <w:sz w:val="32"/>
          <w:szCs w:val="44"/>
          <w:highlight w:val="none"/>
          <w:lang w:val="en-US" w:eastAsia="zh-CN"/>
        </w:rPr>
        <w:t>昆明市</w:t>
      </w:r>
      <w:r>
        <w:rPr>
          <w:rFonts w:hint="eastAsia" w:ascii="楷体" w:hAnsi="楷体" w:eastAsia="楷体" w:cs="楷体"/>
          <w:b/>
          <w:bCs/>
          <w:color w:val="auto"/>
          <w:sz w:val="32"/>
          <w:szCs w:val="44"/>
          <w:highlight w:val="none"/>
          <w:lang w:eastAsia="zh-CN"/>
        </w:rPr>
        <w:t>盘龙区</w:t>
      </w:r>
      <w:r>
        <w:rPr>
          <w:rFonts w:hint="eastAsia" w:ascii="楷体" w:hAnsi="楷体" w:eastAsia="楷体" w:cs="楷体"/>
          <w:b/>
          <w:bCs/>
          <w:color w:val="auto"/>
          <w:sz w:val="32"/>
          <w:szCs w:val="44"/>
          <w:highlight w:val="none"/>
        </w:rPr>
        <w:t>自然资源局</w:t>
      </w:r>
    </w:p>
    <w:p>
      <w:pPr>
        <w:spacing w:line="360" w:lineRule="auto"/>
        <w:jc w:val="center"/>
        <w:rPr>
          <w:rFonts w:hint="eastAsia" w:ascii="楷体" w:hAnsi="楷体" w:eastAsia="楷体" w:cs="楷体"/>
          <w:b/>
          <w:bCs/>
          <w:color w:val="auto"/>
          <w:sz w:val="32"/>
          <w:szCs w:val="44"/>
          <w:highlight w:val="none"/>
          <w:lang w:eastAsia="zh-CN"/>
        </w:rPr>
      </w:pPr>
      <w:r>
        <w:rPr>
          <w:rFonts w:hint="eastAsia" w:ascii="楷体" w:hAnsi="楷体" w:eastAsia="楷体" w:cs="楷体"/>
          <w:b/>
          <w:bCs/>
          <w:color w:val="auto"/>
          <w:sz w:val="32"/>
          <w:szCs w:val="44"/>
          <w:highlight w:val="none"/>
          <w:lang w:eastAsia="zh-CN"/>
        </w:rPr>
        <w:t>云南新意科技有限公司</w:t>
      </w:r>
    </w:p>
    <w:p>
      <w:pPr>
        <w:spacing w:line="360" w:lineRule="auto"/>
        <w:jc w:val="center"/>
        <w:rPr>
          <w:rFonts w:hint="eastAsia" w:ascii="楷体" w:hAnsi="楷体" w:eastAsia="楷体" w:cs="楷体"/>
          <w:b/>
          <w:bCs/>
          <w:color w:val="auto"/>
          <w:sz w:val="32"/>
          <w:szCs w:val="44"/>
          <w:highlight w:val="none"/>
        </w:rPr>
      </w:pPr>
      <w:r>
        <w:rPr>
          <w:rFonts w:hint="eastAsia" w:ascii="楷体" w:hAnsi="楷体" w:eastAsia="楷体" w:cs="楷体"/>
          <w:b/>
          <w:bCs/>
          <w:color w:val="auto"/>
          <w:sz w:val="32"/>
          <w:szCs w:val="44"/>
          <w:highlight w:val="none"/>
        </w:rPr>
        <w:t>2021年</w:t>
      </w:r>
      <w:r>
        <w:rPr>
          <w:rFonts w:hint="eastAsia" w:ascii="楷体" w:hAnsi="楷体" w:eastAsia="楷体" w:cs="楷体"/>
          <w:b/>
          <w:bCs/>
          <w:color w:val="auto"/>
          <w:sz w:val="32"/>
          <w:szCs w:val="44"/>
          <w:highlight w:val="none"/>
          <w:lang w:val="en-US" w:eastAsia="zh-CN"/>
        </w:rPr>
        <w:t>11</w:t>
      </w:r>
      <w:r>
        <w:rPr>
          <w:rFonts w:hint="eastAsia" w:ascii="楷体" w:hAnsi="楷体" w:eastAsia="楷体" w:cs="楷体"/>
          <w:b/>
          <w:bCs/>
          <w:color w:val="auto"/>
          <w:sz w:val="32"/>
          <w:szCs w:val="44"/>
          <w:highlight w:val="none"/>
        </w:rPr>
        <w:t>月</w:t>
      </w:r>
    </w:p>
    <w:bookmarkEnd w:id="0"/>
    <w:p>
      <w:pPr>
        <w:adjustRightInd w:val="0"/>
        <w:snapToGrid w:val="0"/>
        <w:spacing w:line="360" w:lineRule="auto"/>
        <w:jc w:val="center"/>
        <w:outlineLvl w:val="9"/>
        <w:rPr>
          <w:rFonts w:hint="eastAsia" w:ascii="楷体" w:hAnsi="楷体" w:eastAsia="楷体" w:cs="楷体"/>
          <w:b/>
          <w:bCs/>
          <w:color w:val="auto"/>
          <w:sz w:val="32"/>
          <w:szCs w:val="32"/>
          <w:highlight w:val="none"/>
        </w:rPr>
        <w:sectPr>
          <w:pgSz w:w="11906" w:h="16838"/>
          <w:pgMar w:top="1417" w:right="1247" w:bottom="1417" w:left="1587" w:header="851" w:footer="992" w:gutter="0"/>
          <w:pgNumType w:fmt="decimal" w:start="1"/>
          <w:cols w:space="0" w:num="1"/>
          <w:docGrid w:type="lines" w:linePitch="312" w:charSpace="0"/>
        </w:sectPr>
      </w:pPr>
      <w:bookmarkStart w:id="1" w:name="_Toc39671662"/>
      <w:bookmarkStart w:id="2" w:name="_Toc81147183"/>
      <w:bookmarkStart w:id="3" w:name="_Toc34127509"/>
      <w:bookmarkStart w:id="4" w:name="_Toc10434"/>
      <w:bookmarkStart w:id="5" w:name="_Toc472587930"/>
      <w:bookmarkStart w:id="6" w:name="_Toc29539"/>
      <w:bookmarkStart w:id="7" w:name="_Toc262029075"/>
      <w:bookmarkStart w:id="8" w:name="_Toc28272"/>
      <w:bookmarkStart w:id="9" w:name="_Toc478394160"/>
      <w:bookmarkStart w:id="10" w:name="_Toc263956273"/>
      <w:bookmarkStart w:id="11" w:name="_Toc11945"/>
    </w:p>
    <w:p>
      <w:pPr>
        <w:jc w:val="center"/>
        <w:rPr>
          <w:rFonts w:hint="eastAsia" w:ascii="楷体" w:hAnsi="楷体" w:eastAsia="楷体" w:cs="楷体"/>
          <w:b/>
          <w:bCs/>
          <w:color w:val="auto"/>
          <w:sz w:val="32"/>
          <w:szCs w:val="32"/>
          <w:highlight w:val="none"/>
        </w:rPr>
      </w:pPr>
      <w:bookmarkStart w:id="12" w:name="_Toc2177"/>
      <w:bookmarkStart w:id="13" w:name="_Toc5580"/>
      <w:r>
        <w:rPr>
          <w:rFonts w:hint="eastAsia" w:ascii="楷体" w:hAnsi="楷体" w:eastAsia="楷体" w:cs="楷体"/>
          <w:b/>
          <w:bCs/>
          <w:color w:val="auto"/>
          <w:sz w:val="32"/>
          <w:szCs w:val="32"/>
          <w:highlight w:val="none"/>
        </w:rPr>
        <w:t>前  言</w:t>
      </w:r>
      <w:bookmarkEnd w:id="1"/>
      <w:bookmarkEnd w:id="2"/>
      <w:bookmarkEnd w:id="3"/>
      <w:bookmarkEnd w:id="4"/>
      <w:bookmarkEnd w:id="5"/>
      <w:bookmarkEnd w:id="6"/>
      <w:bookmarkEnd w:id="7"/>
      <w:bookmarkEnd w:id="8"/>
      <w:bookmarkEnd w:id="9"/>
      <w:bookmarkEnd w:id="10"/>
      <w:bookmarkEnd w:id="11"/>
      <w:bookmarkEnd w:id="12"/>
      <w:bookmarkEnd w:id="13"/>
      <w:bookmarkStart w:id="260" w:name="_GoBack"/>
      <w:bookmarkEnd w:id="260"/>
    </w:p>
    <w:p>
      <w:pPr>
        <w:tabs>
          <w:tab w:val="left" w:pos="6096"/>
        </w:tabs>
        <w:spacing w:line="360" w:lineRule="auto"/>
        <w:ind w:firstLine="560" w:firstLineChars="200"/>
        <w:rPr>
          <w:rFonts w:hint="eastAsia" w:ascii="楷体" w:hAnsi="楷体" w:eastAsia="楷体" w:cs="楷体"/>
          <w:color w:val="auto"/>
          <w:kern w:val="0"/>
          <w:sz w:val="28"/>
          <w:szCs w:val="28"/>
          <w:highlight w:val="none"/>
        </w:rPr>
      </w:pPr>
      <w:r>
        <w:rPr>
          <w:rFonts w:hint="eastAsia" w:ascii="楷体" w:hAnsi="楷体" w:eastAsia="楷体" w:cs="楷体"/>
          <w:color w:val="auto"/>
          <w:sz w:val="28"/>
          <w:szCs w:val="28"/>
          <w:highlight w:val="none"/>
        </w:rPr>
        <w:t>“十四五”期间，我省推动高质量发展，创造高品质生活，实现高效能治理新发展阶段，</w:t>
      </w:r>
      <w:r>
        <w:rPr>
          <w:rFonts w:hint="eastAsia" w:ascii="楷体" w:hAnsi="楷体" w:eastAsia="楷体" w:cs="楷体"/>
          <w:color w:val="auto"/>
          <w:sz w:val="28"/>
          <w:szCs w:val="28"/>
          <w:highlight w:val="none"/>
          <w:lang w:eastAsia="zh-CN"/>
        </w:rPr>
        <w:t>盘龙区</w:t>
      </w:r>
      <w:r>
        <w:rPr>
          <w:rFonts w:hint="eastAsia" w:ascii="楷体" w:hAnsi="楷体" w:eastAsia="楷体" w:cs="楷体"/>
          <w:color w:val="auto"/>
          <w:sz w:val="28"/>
          <w:szCs w:val="28"/>
          <w:highlight w:val="none"/>
        </w:rPr>
        <w:t>农村集体经济组织所有土地地上附着物和青苗补偿标准一致沿用</w:t>
      </w:r>
      <w:r>
        <w:rPr>
          <w:rFonts w:hint="eastAsia" w:ascii="楷体" w:hAnsi="楷体" w:eastAsia="楷体" w:cs="楷体"/>
          <w:color w:val="auto"/>
          <w:sz w:val="28"/>
          <w:szCs w:val="28"/>
          <w:highlight w:val="none"/>
          <w:lang w:eastAsia="zh-CN"/>
        </w:rPr>
        <w:t>盘龙区</w:t>
      </w:r>
      <w:r>
        <w:rPr>
          <w:rFonts w:hint="eastAsia" w:ascii="楷体" w:hAnsi="楷体" w:eastAsia="楷体" w:cs="楷体"/>
          <w:color w:val="auto"/>
          <w:sz w:val="28"/>
          <w:szCs w:val="28"/>
          <w:highlight w:val="none"/>
        </w:rPr>
        <w:t>发布的地上附着物和青苗补偿标准，由于农村产业结构的调整、物价指数的变化、农民人均可支配收入水平的提高，地上附着物和青苗补偿标准已不具备现势性。按照《土地管理法》的规定“征收农用地的土地补偿费、安置补助费标准由省、自治区、直辖市通过制定公布区片综合地价确定。征收农用地以外的其他土地、地上附着物和青苗等的补偿标准，由省、自治区、直辖市制定”。</w:t>
      </w:r>
      <w:r>
        <w:rPr>
          <w:rFonts w:hint="eastAsia" w:ascii="楷体" w:hAnsi="楷体" w:eastAsia="楷体" w:cs="楷体"/>
          <w:color w:val="auto"/>
          <w:sz w:val="28"/>
          <w:szCs w:val="28"/>
          <w:highlight w:val="none"/>
          <w:lang w:eastAsia="zh-CN"/>
        </w:rPr>
        <w:t>盘龙区</w:t>
      </w:r>
      <w:r>
        <w:rPr>
          <w:rFonts w:hint="eastAsia" w:ascii="楷体" w:hAnsi="楷体" w:eastAsia="楷体" w:cs="楷体"/>
          <w:color w:val="auto"/>
          <w:sz w:val="28"/>
          <w:szCs w:val="28"/>
          <w:highlight w:val="none"/>
        </w:rPr>
        <w:t>征收农用地区片综合地价已于2020年11月9日经省人民政府同意并公布实施，</w:t>
      </w:r>
      <w:r>
        <w:rPr>
          <w:rFonts w:hint="eastAsia" w:ascii="楷体" w:hAnsi="楷体" w:eastAsia="楷体" w:cs="楷体"/>
          <w:color w:val="auto"/>
          <w:kern w:val="0"/>
          <w:sz w:val="28"/>
          <w:szCs w:val="28"/>
          <w:highlight w:val="none"/>
        </w:rPr>
        <w:t>为进一步加强和改进征地管理，增加征地拆迁补偿标准的透明度和规范性，规范全</w:t>
      </w:r>
      <w:r>
        <w:rPr>
          <w:rFonts w:hint="eastAsia" w:ascii="楷体" w:hAnsi="楷体" w:eastAsia="楷体" w:cs="楷体"/>
          <w:color w:val="auto"/>
          <w:sz w:val="28"/>
          <w:szCs w:val="28"/>
          <w:highlight w:val="none"/>
          <w:lang w:eastAsia="zh-CN"/>
        </w:rPr>
        <w:t>盘龙区</w:t>
      </w:r>
      <w:r>
        <w:rPr>
          <w:rFonts w:hint="eastAsia" w:ascii="楷体" w:hAnsi="楷体" w:eastAsia="楷体" w:cs="楷体"/>
          <w:color w:val="auto"/>
          <w:kern w:val="0"/>
          <w:sz w:val="28"/>
          <w:szCs w:val="28"/>
          <w:highlight w:val="none"/>
        </w:rPr>
        <w:t>地上附着物和青苗补偿标准，维护被征地农民和农村集体经济组织合法权益，使地上附着物和青苗补偿标准与征收农用地区片综合地价配套实施。</w:t>
      </w:r>
    </w:p>
    <w:p>
      <w:pPr>
        <w:tabs>
          <w:tab w:val="left" w:pos="6096"/>
        </w:tabs>
        <w:spacing w:line="360" w:lineRule="auto"/>
        <w:ind w:firstLine="560" w:firstLineChars="200"/>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lang w:val="en-US" w:eastAsia="zh-CN"/>
        </w:rPr>
        <w:t xml:space="preserve">根据通知要求，本次制定补偿标准工作开展、组织及进度计划按照《云 </w:t>
      </w:r>
    </w:p>
    <w:p>
      <w:pPr>
        <w:tabs>
          <w:tab w:val="left" w:pos="6096"/>
        </w:tabs>
        <w:spacing w:line="360" w:lineRule="auto"/>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lang w:val="en-US" w:eastAsia="zh-CN"/>
        </w:rPr>
        <w:t>南省地上附着物和青苗补偿标准制定工作方案》，工作组织分省级、州（市）级和县（区）级三个层面，采取“统一组织、分县实施、分层控制”的管理方法，由全省统一部署、制定工作方案和技术指南，各级自然资源管理部门紧密配合，确保按时完成地上附着物和青苗补偿标准制定工作。补偿标准的制定方法按照《云南省地上附着物和青苗补偿标准制定技术指南》（试行稿），本次制定建（构）筑物补偿标准测算通过选取不同区域具有代表性的三个以上典型案例，主要采用重置成本和价格指数法测算各典型案例评估时点的补偿标准，然后采用算术（加权）平均的方法确定区域建（构）筑物补偿标准；林（果）木类补偿标准测算主要根据造林成本、林种、地类、起源、区域年龄、林木生长、市场等因素，根据林种不同进行测算补偿，可分为防护林、用材林、经济林、能源林和特种用途林，树龄可参照《主要树种龄级与龄组划分》（LY/T 2908—2017）进行分类。因龄 级的不同可采用市场价倒算法、收获现值法、重置成本法、价格指数法等方法进行测算；青苗补偿标准采用“先划分等级区、后测算青苗补偿标准” 的技术方法。在划分等级区过程中可采用多因素综合评分法和调整法划分 青苗补偿标准等级区，青苗补偿标准根据产值法、市场价倒算法、价格指数法等方法进行测算。</w:t>
      </w:r>
    </w:p>
    <w:p>
      <w:pPr>
        <w:tabs>
          <w:tab w:val="left" w:pos="6096"/>
        </w:tabs>
        <w:spacing w:line="360" w:lineRule="auto"/>
        <w:ind w:firstLine="560" w:firstLineChars="200"/>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rPr>
        <w:t>根据《云南省自然资源厅关于开展地上附着物和青苗补偿标准制定工作的通知》（云自然资审批〔2021〕370号）的工作要求，采用相关行业标准和新的技术手段，对地上附着物和青苗补偿标准进行更新，同时按照新形势下建立社会稳定风险评估制度的求进行地上附着物和青苗补偿标准社会稳定风险评估工作，确保</w:t>
      </w:r>
      <w:r>
        <w:rPr>
          <w:rFonts w:hint="eastAsia" w:ascii="楷体" w:hAnsi="楷体" w:eastAsia="楷体" w:cs="楷体"/>
          <w:color w:val="auto"/>
          <w:sz w:val="28"/>
          <w:szCs w:val="28"/>
          <w:highlight w:val="none"/>
          <w:lang w:eastAsia="zh-CN"/>
        </w:rPr>
        <w:t>盘龙区</w:t>
      </w:r>
      <w:r>
        <w:rPr>
          <w:rFonts w:hint="eastAsia" w:ascii="楷体" w:hAnsi="楷体" w:eastAsia="楷体" w:cs="楷体"/>
          <w:color w:val="auto"/>
          <w:sz w:val="28"/>
          <w:szCs w:val="28"/>
          <w:highlight w:val="none"/>
        </w:rPr>
        <w:t>地上附着物和青苗补偿标准制定程序合法、制定结果合理、标准切实可行和执行中风险可控。</w:t>
      </w:r>
      <w:r>
        <w:rPr>
          <w:rFonts w:hint="eastAsia" w:ascii="楷体" w:hAnsi="楷体" w:eastAsia="楷体" w:cs="楷体"/>
          <w:color w:val="auto"/>
          <w:kern w:val="0"/>
          <w:sz w:val="28"/>
          <w:szCs w:val="28"/>
          <w:highlight w:val="none"/>
        </w:rPr>
        <w:t>地上附着物和青苗补偿标准抓住被征地老百姓最关心、最直接、最现实的利益问题，是保障和改善民生的普惠性、基础性、兜底性的民生政策标准，扎实推进共同富裕，让被征地老百姓切实享受更多获得感、幸福感、安全感。</w:t>
      </w:r>
    </w:p>
    <w:p>
      <w:pPr>
        <w:pStyle w:val="61"/>
        <w:spacing w:line="360" w:lineRule="auto"/>
        <w:ind w:firstLine="600"/>
        <w:rPr>
          <w:rFonts w:hint="eastAsia" w:ascii="楷体" w:hAnsi="楷体" w:eastAsia="楷体" w:cs="楷体"/>
          <w:color w:val="auto"/>
          <w:highlight w:val="none"/>
        </w:rPr>
      </w:pPr>
      <w:r>
        <w:rPr>
          <w:rFonts w:hint="eastAsia" w:ascii="楷体" w:hAnsi="楷体" w:eastAsia="楷体" w:cs="楷体"/>
          <w:color w:val="auto"/>
          <w:highlight w:val="none"/>
        </w:rPr>
        <w:br w:type="page"/>
      </w:r>
    </w:p>
    <w:sdt>
      <w:sdtPr>
        <w:rPr>
          <w:rFonts w:hint="eastAsia" w:ascii="楷体" w:hAnsi="楷体" w:eastAsia="楷体" w:cs="楷体"/>
          <w:b/>
          <w:bCs/>
          <w:color w:val="auto"/>
          <w:sz w:val="24"/>
          <w:szCs w:val="24"/>
          <w:highlight w:val="none"/>
        </w:rPr>
        <w:id w:val="147475029"/>
        <w:docPartObj>
          <w:docPartGallery w:val="Table of Contents"/>
          <w:docPartUnique/>
        </w:docPartObj>
      </w:sdtPr>
      <w:sdtEndPr>
        <w:rPr>
          <w:rFonts w:hint="eastAsia" w:ascii="楷体" w:hAnsi="楷体" w:eastAsia="楷体" w:cs="楷体"/>
          <w:b w:val="0"/>
          <w:bCs w:val="0"/>
          <w:color w:val="auto"/>
          <w:sz w:val="21"/>
          <w:szCs w:val="24"/>
          <w:highlight w:val="none"/>
        </w:rPr>
      </w:sdtEndPr>
      <w:sdtContent>
        <w:p>
          <w:pPr>
            <w:spacing w:line="360" w:lineRule="auto"/>
            <w:jc w:val="center"/>
            <w:rPr>
              <w:rFonts w:hint="eastAsia" w:ascii="楷体" w:hAnsi="楷体" w:eastAsia="楷体" w:cs="楷体"/>
              <w:b/>
              <w:bCs/>
              <w:color w:val="auto"/>
              <w:sz w:val="24"/>
              <w:szCs w:val="24"/>
              <w:highlight w:val="none"/>
            </w:rPr>
          </w:pPr>
        </w:p>
        <w:p>
          <w:pPr>
            <w:spacing w:line="360" w:lineRule="auto"/>
            <w:jc w:val="center"/>
            <w:rPr>
              <w:rFonts w:hint="eastAsia" w:ascii="楷体" w:hAnsi="楷体" w:eastAsia="楷体" w:cs="楷体"/>
              <w:sz w:val="28"/>
              <w:szCs w:val="28"/>
            </w:rPr>
          </w:pPr>
          <w:r>
            <w:rPr>
              <w:rFonts w:hint="eastAsia" w:ascii="楷体" w:hAnsi="楷体" w:eastAsia="楷体" w:cs="楷体"/>
              <w:b/>
              <w:bCs/>
              <w:color w:val="auto"/>
              <w:sz w:val="28"/>
              <w:szCs w:val="28"/>
              <w:highlight w:val="none"/>
            </w:rPr>
            <w:t xml:space="preserve">目 </w:t>
          </w:r>
          <w:r>
            <w:rPr>
              <w:rFonts w:hint="eastAsia" w:ascii="楷体" w:hAnsi="楷体" w:eastAsia="楷体" w:cs="楷体"/>
              <w:b/>
              <w:bCs/>
              <w:color w:val="auto"/>
              <w:sz w:val="28"/>
              <w:szCs w:val="28"/>
              <w:highlight w:val="none"/>
              <w:lang w:val="en-US" w:eastAsia="zh-CN"/>
            </w:rPr>
            <w:t xml:space="preserve">   </w:t>
          </w:r>
          <w:r>
            <w:rPr>
              <w:rFonts w:hint="eastAsia" w:ascii="楷体" w:hAnsi="楷体" w:eastAsia="楷体" w:cs="楷体"/>
              <w:b/>
              <w:bCs/>
              <w:color w:val="auto"/>
              <w:sz w:val="28"/>
              <w:szCs w:val="28"/>
              <w:highlight w:val="none"/>
            </w:rPr>
            <w:t>录</w:t>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color w:val="auto"/>
              <w:sz w:val="24"/>
              <w:szCs w:val="24"/>
              <w:highlight w:val="none"/>
            </w:rPr>
            <w:instrText xml:space="preserve">TOC \o "1-3" \h \u </w:instrText>
          </w:r>
          <w:r>
            <w:rPr>
              <w:rFonts w:hint="eastAsia" w:ascii="楷体" w:hAnsi="楷体" w:eastAsia="楷体" w:cs="楷体"/>
              <w:color w:val="auto"/>
              <w:sz w:val="24"/>
              <w:szCs w:val="24"/>
              <w:highlight w:val="none"/>
            </w:rPr>
            <w:fldChar w:fldCharType="separate"/>
          </w: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_Toc2177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前  言</w:t>
          </w:r>
          <w:r>
            <w:rPr>
              <w:sz w:val="24"/>
              <w:szCs w:val="24"/>
            </w:rPr>
            <w:tab/>
          </w:r>
          <w:r>
            <w:rPr>
              <w:sz w:val="24"/>
              <w:szCs w:val="24"/>
            </w:rPr>
            <w:fldChar w:fldCharType="begin"/>
          </w:r>
          <w:r>
            <w:rPr>
              <w:sz w:val="24"/>
              <w:szCs w:val="24"/>
            </w:rPr>
            <w:instrText xml:space="preserve"> PAGEREF _Toc2177 \h </w:instrText>
          </w:r>
          <w:r>
            <w:rPr>
              <w:sz w:val="24"/>
              <w:szCs w:val="24"/>
            </w:rPr>
            <w:fldChar w:fldCharType="separate"/>
          </w:r>
          <w:r>
            <w:rPr>
              <w:sz w:val="24"/>
              <w:szCs w:val="24"/>
            </w:rPr>
            <w:t>1</w:t>
          </w:r>
          <w:r>
            <w:rPr>
              <w:sz w:val="24"/>
              <w:szCs w:val="24"/>
            </w:rPr>
            <w:fldChar w:fldCharType="end"/>
          </w:r>
          <w:r>
            <w:rPr>
              <w:rFonts w:hint="eastAsia" w:ascii="楷体" w:hAnsi="楷体" w:eastAsia="楷体" w:cs="楷体"/>
              <w:color w:val="auto"/>
              <w:sz w:val="24"/>
              <w:szCs w:val="24"/>
              <w:highlight w:val="none"/>
            </w:rPr>
            <w:fldChar w:fldCharType="end"/>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_Toc11784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一、概述</w:t>
          </w:r>
          <w:r>
            <w:rPr>
              <w:sz w:val="24"/>
              <w:szCs w:val="24"/>
            </w:rPr>
            <w:tab/>
          </w:r>
          <w:r>
            <w:rPr>
              <w:sz w:val="24"/>
              <w:szCs w:val="24"/>
            </w:rPr>
            <w:fldChar w:fldCharType="begin"/>
          </w:r>
          <w:r>
            <w:rPr>
              <w:sz w:val="24"/>
              <w:szCs w:val="24"/>
            </w:rPr>
            <w:instrText xml:space="preserve"> PAGEREF _Toc11784 \h </w:instrText>
          </w:r>
          <w:r>
            <w:rPr>
              <w:sz w:val="24"/>
              <w:szCs w:val="24"/>
            </w:rPr>
            <w:fldChar w:fldCharType="separate"/>
          </w:r>
          <w:r>
            <w:rPr>
              <w:sz w:val="24"/>
              <w:szCs w:val="24"/>
            </w:rPr>
            <w:t>6</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_Toc2729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（一）项目概述</w:t>
          </w:r>
          <w:r>
            <w:rPr>
              <w:sz w:val="24"/>
              <w:szCs w:val="24"/>
            </w:rPr>
            <w:tab/>
          </w:r>
          <w:r>
            <w:rPr>
              <w:sz w:val="24"/>
              <w:szCs w:val="24"/>
            </w:rPr>
            <w:fldChar w:fldCharType="begin"/>
          </w:r>
          <w:r>
            <w:rPr>
              <w:sz w:val="24"/>
              <w:szCs w:val="24"/>
            </w:rPr>
            <w:instrText xml:space="preserve"> PAGEREF _Toc2729 \h </w:instrText>
          </w:r>
          <w:r>
            <w:rPr>
              <w:sz w:val="24"/>
              <w:szCs w:val="24"/>
            </w:rPr>
            <w:fldChar w:fldCharType="separate"/>
          </w:r>
          <w:r>
            <w:rPr>
              <w:sz w:val="24"/>
              <w:szCs w:val="24"/>
            </w:rPr>
            <w:t>6</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_Toc17875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（二）项目背景</w:t>
          </w:r>
          <w:r>
            <w:rPr>
              <w:sz w:val="24"/>
              <w:szCs w:val="24"/>
            </w:rPr>
            <w:tab/>
          </w:r>
          <w:r>
            <w:rPr>
              <w:sz w:val="24"/>
              <w:szCs w:val="24"/>
            </w:rPr>
            <w:fldChar w:fldCharType="begin"/>
          </w:r>
          <w:r>
            <w:rPr>
              <w:sz w:val="24"/>
              <w:szCs w:val="24"/>
            </w:rPr>
            <w:instrText xml:space="preserve"> PAGEREF _Toc17875 \h </w:instrText>
          </w:r>
          <w:r>
            <w:rPr>
              <w:sz w:val="24"/>
              <w:szCs w:val="24"/>
            </w:rPr>
            <w:fldChar w:fldCharType="separate"/>
          </w:r>
          <w:r>
            <w:rPr>
              <w:sz w:val="24"/>
              <w:szCs w:val="24"/>
            </w:rPr>
            <w:t>6</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_Toc14112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（三）工作目的</w:t>
          </w:r>
          <w:r>
            <w:rPr>
              <w:sz w:val="24"/>
              <w:szCs w:val="24"/>
            </w:rPr>
            <w:tab/>
          </w:r>
          <w:r>
            <w:rPr>
              <w:sz w:val="24"/>
              <w:szCs w:val="24"/>
            </w:rPr>
            <w:fldChar w:fldCharType="begin"/>
          </w:r>
          <w:r>
            <w:rPr>
              <w:sz w:val="24"/>
              <w:szCs w:val="24"/>
            </w:rPr>
            <w:instrText xml:space="preserve"> PAGEREF _Toc14112 \h </w:instrText>
          </w:r>
          <w:r>
            <w:rPr>
              <w:sz w:val="24"/>
              <w:szCs w:val="24"/>
            </w:rPr>
            <w:fldChar w:fldCharType="separate"/>
          </w:r>
          <w:r>
            <w:rPr>
              <w:sz w:val="24"/>
              <w:szCs w:val="24"/>
            </w:rPr>
            <w:t>8</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_Toc30988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（四）编制原则</w:t>
          </w:r>
          <w:r>
            <w:rPr>
              <w:sz w:val="24"/>
              <w:szCs w:val="24"/>
            </w:rPr>
            <w:tab/>
          </w:r>
          <w:r>
            <w:rPr>
              <w:sz w:val="24"/>
              <w:szCs w:val="24"/>
            </w:rPr>
            <w:fldChar w:fldCharType="begin"/>
          </w:r>
          <w:r>
            <w:rPr>
              <w:sz w:val="24"/>
              <w:szCs w:val="24"/>
            </w:rPr>
            <w:instrText xml:space="preserve"> PAGEREF _Toc30988 \h </w:instrText>
          </w:r>
          <w:r>
            <w:rPr>
              <w:sz w:val="24"/>
              <w:szCs w:val="24"/>
            </w:rPr>
            <w:fldChar w:fldCharType="separate"/>
          </w:r>
          <w:r>
            <w:rPr>
              <w:sz w:val="24"/>
              <w:szCs w:val="24"/>
            </w:rPr>
            <w:t>8</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_Toc14143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1.</w:t>
          </w:r>
          <w:r>
            <w:rPr>
              <w:rFonts w:hint="eastAsia" w:ascii="楷体" w:hAnsi="楷体" w:eastAsia="楷体" w:cs="楷体"/>
              <w:bCs/>
              <w:sz w:val="24"/>
              <w:szCs w:val="24"/>
              <w:highlight w:val="none"/>
            </w:rPr>
            <w:t>依法依规、维护权益</w:t>
          </w:r>
          <w:r>
            <w:rPr>
              <w:sz w:val="24"/>
              <w:szCs w:val="24"/>
            </w:rPr>
            <w:tab/>
          </w:r>
          <w:r>
            <w:rPr>
              <w:sz w:val="24"/>
              <w:szCs w:val="24"/>
            </w:rPr>
            <w:fldChar w:fldCharType="begin"/>
          </w:r>
          <w:r>
            <w:rPr>
              <w:sz w:val="24"/>
              <w:szCs w:val="24"/>
            </w:rPr>
            <w:instrText xml:space="preserve"> PAGEREF _Toc14143 \h </w:instrText>
          </w:r>
          <w:r>
            <w:rPr>
              <w:sz w:val="24"/>
              <w:szCs w:val="24"/>
            </w:rPr>
            <w:fldChar w:fldCharType="separate"/>
          </w:r>
          <w:r>
            <w:rPr>
              <w:sz w:val="24"/>
              <w:szCs w:val="24"/>
            </w:rPr>
            <w:t>8</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_Toc24686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2.</w:t>
          </w:r>
          <w:r>
            <w:rPr>
              <w:rFonts w:hint="eastAsia" w:ascii="楷体" w:hAnsi="楷体" w:eastAsia="楷体" w:cs="楷体"/>
              <w:bCs/>
              <w:sz w:val="24"/>
              <w:szCs w:val="24"/>
              <w:highlight w:val="none"/>
            </w:rPr>
            <w:t>实事求是、科学测算</w:t>
          </w:r>
          <w:r>
            <w:rPr>
              <w:sz w:val="24"/>
              <w:szCs w:val="24"/>
            </w:rPr>
            <w:tab/>
          </w:r>
          <w:r>
            <w:rPr>
              <w:sz w:val="24"/>
              <w:szCs w:val="24"/>
            </w:rPr>
            <w:fldChar w:fldCharType="begin"/>
          </w:r>
          <w:r>
            <w:rPr>
              <w:sz w:val="24"/>
              <w:szCs w:val="24"/>
            </w:rPr>
            <w:instrText xml:space="preserve"> PAGEREF _Toc24686 \h </w:instrText>
          </w:r>
          <w:r>
            <w:rPr>
              <w:sz w:val="24"/>
              <w:szCs w:val="24"/>
            </w:rPr>
            <w:fldChar w:fldCharType="separate"/>
          </w:r>
          <w:r>
            <w:rPr>
              <w:sz w:val="24"/>
              <w:szCs w:val="24"/>
            </w:rPr>
            <w:t>8</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_Toc10875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3.</w:t>
          </w:r>
          <w:r>
            <w:rPr>
              <w:rFonts w:hint="eastAsia" w:ascii="楷体" w:hAnsi="楷体" w:eastAsia="楷体" w:cs="楷体"/>
              <w:bCs/>
              <w:sz w:val="24"/>
              <w:szCs w:val="24"/>
              <w:highlight w:val="none"/>
            </w:rPr>
            <w:t>协调平衡、充分衔接</w:t>
          </w:r>
          <w:r>
            <w:rPr>
              <w:sz w:val="24"/>
              <w:szCs w:val="24"/>
            </w:rPr>
            <w:tab/>
          </w:r>
          <w:r>
            <w:rPr>
              <w:sz w:val="24"/>
              <w:szCs w:val="24"/>
            </w:rPr>
            <w:fldChar w:fldCharType="begin"/>
          </w:r>
          <w:r>
            <w:rPr>
              <w:sz w:val="24"/>
              <w:szCs w:val="24"/>
            </w:rPr>
            <w:instrText xml:space="preserve"> PAGEREF _Toc10875 \h </w:instrText>
          </w:r>
          <w:r>
            <w:rPr>
              <w:sz w:val="24"/>
              <w:szCs w:val="24"/>
            </w:rPr>
            <w:fldChar w:fldCharType="separate"/>
          </w:r>
          <w:r>
            <w:rPr>
              <w:sz w:val="24"/>
              <w:szCs w:val="24"/>
            </w:rPr>
            <w:t>9</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_Toc26806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4.</w:t>
          </w:r>
          <w:r>
            <w:rPr>
              <w:rFonts w:hint="eastAsia" w:ascii="楷体" w:hAnsi="楷体" w:eastAsia="楷体" w:cs="楷体"/>
              <w:bCs/>
              <w:sz w:val="24"/>
              <w:szCs w:val="24"/>
              <w:highlight w:val="none"/>
            </w:rPr>
            <w:t>定量评价、定性分析</w:t>
          </w:r>
          <w:r>
            <w:rPr>
              <w:sz w:val="24"/>
              <w:szCs w:val="24"/>
            </w:rPr>
            <w:tab/>
          </w:r>
          <w:r>
            <w:rPr>
              <w:sz w:val="24"/>
              <w:szCs w:val="24"/>
            </w:rPr>
            <w:fldChar w:fldCharType="begin"/>
          </w:r>
          <w:r>
            <w:rPr>
              <w:sz w:val="24"/>
              <w:szCs w:val="24"/>
            </w:rPr>
            <w:instrText xml:space="preserve"> PAGEREF _Toc26806 \h </w:instrText>
          </w:r>
          <w:r>
            <w:rPr>
              <w:sz w:val="24"/>
              <w:szCs w:val="24"/>
            </w:rPr>
            <w:fldChar w:fldCharType="separate"/>
          </w:r>
          <w:r>
            <w:rPr>
              <w:sz w:val="24"/>
              <w:szCs w:val="24"/>
            </w:rPr>
            <w:t>9</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_Toc20813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（五）编制依据</w:t>
          </w:r>
          <w:r>
            <w:rPr>
              <w:sz w:val="24"/>
              <w:szCs w:val="24"/>
            </w:rPr>
            <w:tab/>
          </w:r>
          <w:r>
            <w:rPr>
              <w:sz w:val="24"/>
              <w:szCs w:val="24"/>
            </w:rPr>
            <w:fldChar w:fldCharType="begin"/>
          </w:r>
          <w:r>
            <w:rPr>
              <w:sz w:val="24"/>
              <w:szCs w:val="24"/>
            </w:rPr>
            <w:instrText xml:space="preserve"> PAGEREF _Toc20813 \h </w:instrText>
          </w:r>
          <w:r>
            <w:rPr>
              <w:sz w:val="24"/>
              <w:szCs w:val="24"/>
            </w:rPr>
            <w:fldChar w:fldCharType="separate"/>
          </w:r>
          <w:r>
            <w:rPr>
              <w:sz w:val="24"/>
              <w:szCs w:val="24"/>
            </w:rPr>
            <w:t>9</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_Toc1127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1.</w:t>
          </w:r>
          <w:r>
            <w:rPr>
              <w:rFonts w:hint="eastAsia" w:ascii="楷体" w:hAnsi="楷体" w:eastAsia="楷体" w:cs="楷体"/>
              <w:bCs/>
              <w:sz w:val="24"/>
              <w:szCs w:val="24"/>
              <w:highlight w:val="none"/>
            </w:rPr>
            <w:t>法律法规</w:t>
          </w:r>
          <w:r>
            <w:rPr>
              <w:sz w:val="24"/>
              <w:szCs w:val="24"/>
            </w:rPr>
            <w:tab/>
          </w:r>
          <w:r>
            <w:rPr>
              <w:sz w:val="24"/>
              <w:szCs w:val="24"/>
            </w:rPr>
            <w:fldChar w:fldCharType="begin"/>
          </w:r>
          <w:r>
            <w:rPr>
              <w:sz w:val="24"/>
              <w:szCs w:val="24"/>
            </w:rPr>
            <w:instrText xml:space="preserve"> PAGEREF _Toc1127 \h </w:instrText>
          </w:r>
          <w:r>
            <w:rPr>
              <w:sz w:val="24"/>
              <w:szCs w:val="24"/>
            </w:rPr>
            <w:fldChar w:fldCharType="separate"/>
          </w:r>
          <w:r>
            <w:rPr>
              <w:sz w:val="24"/>
              <w:szCs w:val="24"/>
            </w:rPr>
            <w:t>9</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_Toc30855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2.</w:t>
          </w:r>
          <w:r>
            <w:rPr>
              <w:rFonts w:hint="eastAsia" w:ascii="楷体" w:hAnsi="楷体" w:eastAsia="楷体" w:cs="楷体"/>
              <w:bCs/>
              <w:sz w:val="24"/>
              <w:szCs w:val="24"/>
              <w:highlight w:val="none"/>
            </w:rPr>
            <w:t>政策文件</w:t>
          </w:r>
          <w:r>
            <w:rPr>
              <w:sz w:val="24"/>
              <w:szCs w:val="24"/>
            </w:rPr>
            <w:tab/>
          </w:r>
          <w:r>
            <w:rPr>
              <w:sz w:val="24"/>
              <w:szCs w:val="24"/>
            </w:rPr>
            <w:fldChar w:fldCharType="begin"/>
          </w:r>
          <w:r>
            <w:rPr>
              <w:sz w:val="24"/>
              <w:szCs w:val="24"/>
            </w:rPr>
            <w:instrText xml:space="preserve"> PAGEREF _Toc30855 \h </w:instrText>
          </w:r>
          <w:r>
            <w:rPr>
              <w:sz w:val="24"/>
              <w:szCs w:val="24"/>
            </w:rPr>
            <w:fldChar w:fldCharType="separate"/>
          </w:r>
          <w:r>
            <w:rPr>
              <w:sz w:val="24"/>
              <w:szCs w:val="24"/>
            </w:rPr>
            <w:t>9</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_Toc18204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3.</w:t>
          </w:r>
          <w:r>
            <w:rPr>
              <w:rFonts w:hint="eastAsia" w:ascii="楷体" w:hAnsi="楷体" w:eastAsia="楷体" w:cs="楷体"/>
              <w:bCs/>
              <w:sz w:val="24"/>
              <w:szCs w:val="24"/>
              <w:highlight w:val="none"/>
            </w:rPr>
            <w:t>规程规范</w:t>
          </w:r>
          <w:r>
            <w:rPr>
              <w:sz w:val="24"/>
              <w:szCs w:val="24"/>
            </w:rPr>
            <w:tab/>
          </w:r>
          <w:r>
            <w:rPr>
              <w:sz w:val="24"/>
              <w:szCs w:val="24"/>
            </w:rPr>
            <w:fldChar w:fldCharType="begin"/>
          </w:r>
          <w:r>
            <w:rPr>
              <w:sz w:val="24"/>
              <w:szCs w:val="24"/>
            </w:rPr>
            <w:instrText xml:space="preserve"> PAGEREF _Toc18204 \h </w:instrText>
          </w:r>
          <w:r>
            <w:rPr>
              <w:sz w:val="24"/>
              <w:szCs w:val="24"/>
            </w:rPr>
            <w:fldChar w:fldCharType="separate"/>
          </w:r>
          <w:r>
            <w:rPr>
              <w:sz w:val="24"/>
              <w:szCs w:val="24"/>
            </w:rPr>
            <w:t>10</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_Toc1135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4.</w:t>
          </w:r>
          <w:r>
            <w:rPr>
              <w:rFonts w:hint="eastAsia" w:ascii="楷体" w:hAnsi="楷体" w:eastAsia="楷体" w:cs="楷体"/>
              <w:bCs/>
              <w:sz w:val="24"/>
              <w:szCs w:val="24"/>
              <w:highlight w:val="none"/>
            </w:rPr>
            <w:t>资料依据</w:t>
          </w:r>
          <w:r>
            <w:rPr>
              <w:sz w:val="24"/>
              <w:szCs w:val="24"/>
            </w:rPr>
            <w:tab/>
          </w:r>
          <w:r>
            <w:rPr>
              <w:sz w:val="24"/>
              <w:szCs w:val="24"/>
            </w:rPr>
            <w:fldChar w:fldCharType="begin"/>
          </w:r>
          <w:r>
            <w:rPr>
              <w:sz w:val="24"/>
              <w:szCs w:val="24"/>
            </w:rPr>
            <w:instrText xml:space="preserve"> PAGEREF _Toc1135 \h </w:instrText>
          </w:r>
          <w:r>
            <w:rPr>
              <w:sz w:val="24"/>
              <w:szCs w:val="24"/>
            </w:rPr>
            <w:fldChar w:fldCharType="separate"/>
          </w:r>
          <w:r>
            <w:rPr>
              <w:sz w:val="24"/>
              <w:szCs w:val="24"/>
            </w:rPr>
            <w:t>11</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_Toc18483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（六）概念内涵与工作对象</w:t>
          </w:r>
          <w:r>
            <w:rPr>
              <w:sz w:val="24"/>
              <w:szCs w:val="24"/>
            </w:rPr>
            <w:tab/>
          </w:r>
          <w:r>
            <w:rPr>
              <w:sz w:val="24"/>
              <w:szCs w:val="24"/>
            </w:rPr>
            <w:fldChar w:fldCharType="begin"/>
          </w:r>
          <w:r>
            <w:rPr>
              <w:sz w:val="24"/>
              <w:szCs w:val="24"/>
            </w:rPr>
            <w:instrText xml:space="preserve"> PAGEREF _Toc18483 \h </w:instrText>
          </w:r>
          <w:r>
            <w:rPr>
              <w:sz w:val="24"/>
              <w:szCs w:val="24"/>
            </w:rPr>
            <w:fldChar w:fldCharType="separate"/>
          </w:r>
          <w:r>
            <w:rPr>
              <w:sz w:val="24"/>
              <w:szCs w:val="24"/>
            </w:rPr>
            <w:t>12</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_Toc25822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rPr>
            <w:t>1.地上附着物和青苗</w:t>
          </w:r>
          <w:r>
            <w:rPr>
              <w:sz w:val="24"/>
              <w:szCs w:val="24"/>
            </w:rPr>
            <w:tab/>
          </w:r>
          <w:r>
            <w:rPr>
              <w:sz w:val="24"/>
              <w:szCs w:val="24"/>
            </w:rPr>
            <w:fldChar w:fldCharType="begin"/>
          </w:r>
          <w:r>
            <w:rPr>
              <w:sz w:val="24"/>
              <w:szCs w:val="24"/>
            </w:rPr>
            <w:instrText xml:space="preserve"> PAGEREF _Toc25822 \h </w:instrText>
          </w:r>
          <w:r>
            <w:rPr>
              <w:sz w:val="24"/>
              <w:szCs w:val="24"/>
            </w:rPr>
            <w:fldChar w:fldCharType="separate"/>
          </w:r>
          <w:r>
            <w:rPr>
              <w:sz w:val="24"/>
              <w:szCs w:val="24"/>
            </w:rPr>
            <w:t>12</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_Toc1378 </w:instrText>
          </w:r>
          <w:r>
            <w:rPr>
              <w:rFonts w:hint="eastAsia" w:ascii="楷体" w:hAnsi="楷体" w:eastAsia="楷体" w:cs="楷体"/>
              <w:sz w:val="24"/>
              <w:szCs w:val="24"/>
              <w:highlight w:val="none"/>
            </w:rPr>
            <w:fldChar w:fldCharType="separate"/>
          </w:r>
          <w:r>
            <w:rPr>
              <w:rFonts w:hint="eastAsia" w:ascii="楷体" w:hAnsi="楷体" w:eastAsia="楷体" w:cs="楷体"/>
              <w:kern w:val="0"/>
              <w:sz w:val="24"/>
              <w:szCs w:val="24"/>
              <w:highlight w:val="none"/>
            </w:rPr>
            <w:t>2.地上附着物和青苗补偿标准</w:t>
          </w:r>
          <w:r>
            <w:rPr>
              <w:sz w:val="24"/>
              <w:szCs w:val="24"/>
            </w:rPr>
            <w:tab/>
          </w:r>
          <w:r>
            <w:rPr>
              <w:sz w:val="24"/>
              <w:szCs w:val="24"/>
            </w:rPr>
            <w:fldChar w:fldCharType="begin"/>
          </w:r>
          <w:r>
            <w:rPr>
              <w:sz w:val="24"/>
              <w:szCs w:val="24"/>
            </w:rPr>
            <w:instrText xml:space="preserve"> PAGEREF _Toc1378 \h </w:instrText>
          </w:r>
          <w:r>
            <w:rPr>
              <w:sz w:val="24"/>
              <w:szCs w:val="24"/>
            </w:rPr>
            <w:fldChar w:fldCharType="separate"/>
          </w:r>
          <w:r>
            <w:rPr>
              <w:sz w:val="24"/>
              <w:szCs w:val="24"/>
            </w:rPr>
            <w:t>12</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_Toc29942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3.工作对象与范围</w:t>
          </w:r>
          <w:r>
            <w:rPr>
              <w:sz w:val="24"/>
              <w:szCs w:val="24"/>
            </w:rPr>
            <w:tab/>
          </w:r>
          <w:r>
            <w:rPr>
              <w:sz w:val="24"/>
              <w:szCs w:val="24"/>
            </w:rPr>
            <w:fldChar w:fldCharType="begin"/>
          </w:r>
          <w:r>
            <w:rPr>
              <w:sz w:val="24"/>
              <w:szCs w:val="24"/>
            </w:rPr>
            <w:instrText xml:space="preserve"> PAGEREF _Toc29942 \h </w:instrText>
          </w:r>
          <w:r>
            <w:rPr>
              <w:sz w:val="24"/>
              <w:szCs w:val="24"/>
            </w:rPr>
            <w:fldChar w:fldCharType="separate"/>
          </w:r>
          <w:r>
            <w:rPr>
              <w:sz w:val="24"/>
              <w:szCs w:val="24"/>
            </w:rPr>
            <w:t>13</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_Toc21707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4.基准时点</w:t>
          </w:r>
          <w:r>
            <w:rPr>
              <w:sz w:val="24"/>
              <w:szCs w:val="24"/>
            </w:rPr>
            <w:tab/>
          </w:r>
          <w:r>
            <w:rPr>
              <w:sz w:val="24"/>
              <w:szCs w:val="24"/>
            </w:rPr>
            <w:fldChar w:fldCharType="begin"/>
          </w:r>
          <w:r>
            <w:rPr>
              <w:sz w:val="24"/>
              <w:szCs w:val="24"/>
            </w:rPr>
            <w:instrText xml:space="preserve"> PAGEREF _Toc21707 \h </w:instrText>
          </w:r>
          <w:r>
            <w:rPr>
              <w:sz w:val="24"/>
              <w:szCs w:val="24"/>
            </w:rPr>
            <w:fldChar w:fldCharType="separate"/>
          </w:r>
          <w:r>
            <w:rPr>
              <w:sz w:val="24"/>
              <w:szCs w:val="24"/>
            </w:rPr>
            <w:t>13</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_Toc970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（七）工作任务和目标</w:t>
          </w:r>
          <w:r>
            <w:rPr>
              <w:sz w:val="24"/>
              <w:szCs w:val="24"/>
            </w:rPr>
            <w:tab/>
          </w:r>
          <w:r>
            <w:rPr>
              <w:sz w:val="24"/>
              <w:szCs w:val="24"/>
            </w:rPr>
            <w:fldChar w:fldCharType="begin"/>
          </w:r>
          <w:r>
            <w:rPr>
              <w:sz w:val="24"/>
              <w:szCs w:val="24"/>
            </w:rPr>
            <w:instrText xml:space="preserve"> PAGEREF _Toc970 \h </w:instrText>
          </w:r>
          <w:r>
            <w:rPr>
              <w:sz w:val="24"/>
              <w:szCs w:val="24"/>
            </w:rPr>
            <w:fldChar w:fldCharType="separate"/>
          </w:r>
          <w:r>
            <w:rPr>
              <w:sz w:val="24"/>
              <w:szCs w:val="24"/>
            </w:rPr>
            <w:t>13</w:t>
          </w:r>
          <w:r>
            <w:rPr>
              <w:sz w:val="24"/>
              <w:szCs w:val="24"/>
            </w:rPr>
            <w:fldChar w:fldCharType="end"/>
          </w:r>
          <w:r>
            <w:rPr>
              <w:rFonts w:hint="eastAsia" w:ascii="楷体" w:hAnsi="楷体" w:eastAsia="楷体" w:cs="楷体"/>
              <w:color w:val="auto"/>
              <w:sz w:val="24"/>
              <w:szCs w:val="24"/>
              <w:highlight w:val="none"/>
            </w:rPr>
            <w:fldChar w:fldCharType="end"/>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_Toc15557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二、区域概况</w:t>
          </w:r>
          <w:r>
            <w:rPr>
              <w:sz w:val="24"/>
              <w:szCs w:val="24"/>
            </w:rPr>
            <w:tab/>
          </w:r>
          <w:r>
            <w:rPr>
              <w:sz w:val="24"/>
              <w:szCs w:val="24"/>
            </w:rPr>
            <w:fldChar w:fldCharType="begin"/>
          </w:r>
          <w:r>
            <w:rPr>
              <w:sz w:val="24"/>
              <w:szCs w:val="24"/>
            </w:rPr>
            <w:instrText xml:space="preserve"> PAGEREF _Toc15557 \h </w:instrText>
          </w:r>
          <w:r>
            <w:rPr>
              <w:sz w:val="24"/>
              <w:szCs w:val="24"/>
            </w:rPr>
            <w:fldChar w:fldCharType="separate"/>
          </w:r>
          <w:r>
            <w:rPr>
              <w:sz w:val="24"/>
              <w:szCs w:val="24"/>
            </w:rPr>
            <w:t>15</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_Toc27551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（一）地理位置</w:t>
          </w:r>
          <w:r>
            <w:rPr>
              <w:sz w:val="24"/>
              <w:szCs w:val="24"/>
            </w:rPr>
            <w:tab/>
          </w:r>
          <w:r>
            <w:rPr>
              <w:sz w:val="24"/>
              <w:szCs w:val="24"/>
            </w:rPr>
            <w:fldChar w:fldCharType="begin"/>
          </w:r>
          <w:r>
            <w:rPr>
              <w:sz w:val="24"/>
              <w:szCs w:val="24"/>
            </w:rPr>
            <w:instrText xml:space="preserve"> PAGEREF _Toc27551 \h </w:instrText>
          </w:r>
          <w:r>
            <w:rPr>
              <w:sz w:val="24"/>
              <w:szCs w:val="24"/>
            </w:rPr>
            <w:fldChar w:fldCharType="separate"/>
          </w:r>
          <w:r>
            <w:rPr>
              <w:sz w:val="24"/>
              <w:szCs w:val="24"/>
            </w:rPr>
            <w:t>15</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_Toc3744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（二）行政区划与人口</w:t>
          </w:r>
          <w:r>
            <w:rPr>
              <w:sz w:val="24"/>
              <w:szCs w:val="24"/>
            </w:rPr>
            <w:tab/>
          </w:r>
          <w:r>
            <w:rPr>
              <w:sz w:val="24"/>
              <w:szCs w:val="24"/>
            </w:rPr>
            <w:fldChar w:fldCharType="begin"/>
          </w:r>
          <w:r>
            <w:rPr>
              <w:sz w:val="24"/>
              <w:szCs w:val="24"/>
            </w:rPr>
            <w:instrText xml:space="preserve"> PAGEREF _Toc3744 \h </w:instrText>
          </w:r>
          <w:r>
            <w:rPr>
              <w:sz w:val="24"/>
              <w:szCs w:val="24"/>
            </w:rPr>
            <w:fldChar w:fldCharType="separate"/>
          </w:r>
          <w:r>
            <w:rPr>
              <w:sz w:val="24"/>
              <w:szCs w:val="24"/>
            </w:rPr>
            <w:t>16</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_Toc8221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（三）自然条件</w:t>
          </w:r>
          <w:r>
            <w:rPr>
              <w:sz w:val="24"/>
              <w:szCs w:val="24"/>
            </w:rPr>
            <w:tab/>
          </w:r>
          <w:r>
            <w:rPr>
              <w:sz w:val="24"/>
              <w:szCs w:val="24"/>
            </w:rPr>
            <w:fldChar w:fldCharType="begin"/>
          </w:r>
          <w:r>
            <w:rPr>
              <w:sz w:val="24"/>
              <w:szCs w:val="24"/>
            </w:rPr>
            <w:instrText xml:space="preserve"> PAGEREF _Toc8221 \h </w:instrText>
          </w:r>
          <w:r>
            <w:rPr>
              <w:sz w:val="24"/>
              <w:szCs w:val="24"/>
            </w:rPr>
            <w:fldChar w:fldCharType="separate"/>
          </w:r>
          <w:r>
            <w:rPr>
              <w:sz w:val="24"/>
              <w:szCs w:val="24"/>
            </w:rPr>
            <w:t>17</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_Toc8347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rPr>
            <w:t>1.地形地貌</w:t>
          </w:r>
          <w:r>
            <w:rPr>
              <w:sz w:val="24"/>
              <w:szCs w:val="24"/>
            </w:rPr>
            <w:tab/>
          </w:r>
          <w:r>
            <w:rPr>
              <w:sz w:val="24"/>
              <w:szCs w:val="24"/>
            </w:rPr>
            <w:fldChar w:fldCharType="begin"/>
          </w:r>
          <w:r>
            <w:rPr>
              <w:sz w:val="24"/>
              <w:szCs w:val="24"/>
            </w:rPr>
            <w:instrText xml:space="preserve"> PAGEREF _Toc8347 \h </w:instrText>
          </w:r>
          <w:r>
            <w:rPr>
              <w:sz w:val="24"/>
              <w:szCs w:val="24"/>
            </w:rPr>
            <w:fldChar w:fldCharType="separate"/>
          </w:r>
          <w:r>
            <w:rPr>
              <w:sz w:val="24"/>
              <w:szCs w:val="24"/>
            </w:rPr>
            <w:t>17</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_Toc21234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rPr>
            <w:t>2.气候</w:t>
          </w:r>
          <w:r>
            <w:rPr>
              <w:sz w:val="24"/>
              <w:szCs w:val="24"/>
            </w:rPr>
            <w:tab/>
          </w:r>
          <w:r>
            <w:rPr>
              <w:sz w:val="24"/>
              <w:szCs w:val="24"/>
            </w:rPr>
            <w:fldChar w:fldCharType="begin"/>
          </w:r>
          <w:r>
            <w:rPr>
              <w:sz w:val="24"/>
              <w:szCs w:val="24"/>
            </w:rPr>
            <w:instrText xml:space="preserve"> PAGEREF _Toc21234 \h </w:instrText>
          </w:r>
          <w:r>
            <w:rPr>
              <w:sz w:val="24"/>
              <w:szCs w:val="24"/>
            </w:rPr>
            <w:fldChar w:fldCharType="separate"/>
          </w:r>
          <w:r>
            <w:rPr>
              <w:sz w:val="24"/>
              <w:szCs w:val="24"/>
            </w:rPr>
            <w:t>18</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_Toc26728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rPr>
            <w:t>3.水文与水文地质</w:t>
          </w:r>
          <w:r>
            <w:rPr>
              <w:sz w:val="24"/>
              <w:szCs w:val="24"/>
            </w:rPr>
            <w:tab/>
          </w:r>
          <w:r>
            <w:rPr>
              <w:sz w:val="24"/>
              <w:szCs w:val="24"/>
            </w:rPr>
            <w:fldChar w:fldCharType="begin"/>
          </w:r>
          <w:r>
            <w:rPr>
              <w:sz w:val="24"/>
              <w:szCs w:val="24"/>
            </w:rPr>
            <w:instrText xml:space="preserve"> PAGEREF _Toc26728 \h </w:instrText>
          </w:r>
          <w:r>
            <w:rPr>
              <w:sz w:val="24"/>
              <w:szCs w:val="24"/>
            </w:rPr>
            <w:fldChar w:fldCharType="separate"/>
          </w:r>
          <w:r>
            <w:rPr>
              <w:sz w:val="24"/>
              <w:szCs w:val="24"/>
            </w:rPr>
            <w:t>18</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_Toc2754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（四）社会经济条件</w:t>
          </w:r>
          <w:r>
            <w:rPr>
              <w:sz w:val="24"/>
              <w:szCs w:val="24"/>
            </w:rPr>
            <w:tab/>
          </w:r>
          <w:r>
            <w:rPr>
              <w:sz w:val="24"/>
              <w:szCs w:val="24"/>
            </w:rPr>
            <w:fldChar w:fldCharType="begin"/>
          </w:r>
          <w:r>
            <w:rPr>
              <w:sz w:val="24"/>
              <w:szCs w:val="24"/>
            </w:rPr>
            <w:instrText xml:space="preserve"> PAGEREF _Toc2754 \h </w:instrText>
          </w:r>
          <w:r>
            <w:rPr>
              <w:sz w:val="24"/>
              <w:szCs w:val="24"/>
            </w:rPr>
            <w:fldChar w:fldCharType="separate"/>
          </w:r>
          <w:r>
            <w:rPr>
              <w:sz w:val="24"/>
              <w:szCs w:val="24"/>
            </w:rPr>
            <w:t>19</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_Toc756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1、综合</w:t>
          </w:r>
          <w:r>
            <w:rPr>
              <w:sz w:val="24"/>
              <w:szCs w:val="24"/>
            </w:rPr>
            <w:tab/>
          </w:r>
          <w:r>
            <w:rPr>
              <w:sz w:val="24"/>
              <w:szCs w:val="24"/>
            </w:rPr>
            <w:fldChar w:fldCharType="begin"/>
          </w:r>
          <w:r>
            <w:rPr>
              <w:sz w:val="24"/>
              <w:szCs w:val="24"/>
            </w:rPr>
            <w:instrText xml:space="preserve"> PAGEREF _Toc756 \h </w:instrText>
          </w:r>
          <w:r>
            <w:rPr>
              <w:sz w:val="24"/>
              <w:szCs w:val="24"/>
            </w:rPr>
            <w:fldChar w:fldCharType="separate"/>
          </w:r>
          <w:r>
            <w:rPr>
              <w:sz w:val="24"/>
              <w:szCs w:val="24"/>
            </w:rPr>
            <w:t>19</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_Toc10798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lang w:val="en-US" w:eastAsia="zh-CN"/>
            </w:rPr>
            <w:t xml:space="preserve">2、 </w:t>
          </w:r>
          <w:r>
            <w:rPr>
              <w:rFonts w:hint="eastAsia" w:ascii="楷体" w:hAnsi="楷体" w:eastAsia="楷体" w:cs="楷体"/>
              <w:bCs/>
              <w:sz w:val="24"/>
              <w:szCs w:val="24"/>
              <w:highlight w:val="none"/>
              <w:lang w:val="en-US" w:eastAsia="zh-CN"/>
            </w:rPr>
            <w:t>农业</w:t>
          </w:r>
          <w:r>
            <w:rPr>
              <w:sz w:val="24"/>
              <w:szCs w:val="24"/>
            </w:rPr>
            <w:tab/>
          </w:r>
          <w:r>
            <w:rPr>
              <w:sz w:val="24"/>
              <w:szCs w:val="24"/>
            </w:rPr>
            <w:fldChar w:fldCharType="begin"/>
          </w:r>
          <w:r>
            <w:rPr>
              <w:sz w:val="24"/>
              <w:szCs w:val="24"/>
            </w:rPr>
            <w:instrText xml:space="preserve"> PAGEREF _Toc10798 \h </w:instrText>
          </w:r>
          <w:r>
            <w:rPr>
              <w:sz w:val="24"/>
              <w:szCs w:val="24"/>
            </w:rPr>
            <w:fldChar w:fldCharType="separate"/>
          </w:r>
          <w:r>
            <w:rPr>
              <w:sz w:val="24"/>
              <w:szCs w:val="24"/>
            </w:rPr>
            <w:t>23</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_Toc28894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lang w:val="en-US" w:eastAsia="zh-CN"/>
            </w:rPr>
            <w:t xml:space="preserve">3、 </w:t>
          </w:r>
          <w:r>
            <w:rPr>
              <w:rFonts w:hint="eastAsia" w:ascii="楷体" w:hAnsi="楷体" w:eastAsia="楷体" w:cs="楷体"/>
              <w:bCs/>
              <w:sz w:val="24"/>
              <w:szCs w:val="24"/>
              <w:highlight w:val="none"/>
              <w:lang w:val="en-US" w:eastAsia="zh-CN"/>
            </w:rPr>
            <w:t>工业和建筑业</w:t>
          </w:r>
          <w:r>
            <w:rPr>
              <w:sz w:val="24"/>
              <w:szCs w:val="24"/>
            </w:rPr>
            <w:tab/>
          </w:r>
          <w:r>
            <w:rPr>
              <w:sz w:val="24"/>
              <w:szCs w:val="24"/>
            </w:rPr>
            <w:fldChar w:fldCharType="begin"/>
          </w:r>
          <w:r>
            <w:rPr>
              <w:sz w:val="24"/>
              <w:szCs w:val="24"/>
            </w:rPr>
            <w:instrText xml:space="preserve"> PAGEREF _Toc28894 \h </w:instrText>
          </w:r>
          <w:r>
            <w:rPr>
              <w:sz w:val="24"/>
              <w:szCs w:val="24"/>
            </w:rPr>
            <w:fldChar w:fldCharType="separate"/>
          </w:r>
          <w:r>
            <w:rPr>
              <w:sz w:val="24"/>
              <w:szCs w:val="24"/>
            </w:rPr>
            <w:t>24</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_Toc14807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（五）区片综合地价</w:t>
          </w:r>
          <w:r>
            <w:rPr>
              <w:rFonts w:hint="eastAsia" w:ascii="楷体" w:hAnsi="楷体" w:eastAsia="楷体" w:cs="楷体"/>
              <w:bCs/>
              <w:sz w:val="24"/>
              <w:szCs w:val="24"/>
              <w:highlight w:val="none"/>
              <w:lang w:val="en-US" w:eastAsia="zh-CN"/>
            </w:rPr>
            <w:t>结果</w:t>
          </w:r>
          <w:r>
            <w:rPr>
              <w:sz w:val="24"/>
              <w:szCs w:val="24"/>
            </w:rPr>
            <w:tab/>
          </w:r>
          <w:r>
            <w:rPr>
              <w:sz w:val="24"/>
              <w:szCs w:val="24"/>
            </w:rPr>
            <w:fldChar w:fldCharType="begin"/>
          </w:r>
          <w:r>
            <w:rPr>
              <w:sz w:val="24"/>
              <w:szCs w:val="24"/>
            </w:rPr>
            <w:instrText xml:space="preserve"> PAGEREF _Toc14807 \h </w:instrText>
          </w:r>
          <w:r>
            <w:rPr>
              <w:sz w:val="24"/>
              <w:szCs w:val="24"/>
            </w:rPr>
            <w:fldChar w:fldCharType="separate"/>
          </w:r>
          <w:r>
            <w:rPr>
              <w:sz w:val="24"/>
              <w:szCs w:val="24"/>
            </w:rPr>
            <w:t>26</w:t>
          </w:r>
          <w:r>
            <w:rPr>
              <w:sz w:val="24"/>
              <w:szCs w:val="24"/>
            </w:rPr>
            <w:fldChar w:fldCharType="end"/>
          </w:r>
          <w:r>
            <w:rPr>
              <w:rFonts w:hint="eastAsia" w:ascii="楷体" w:hAnsi="楷体" w:eastAsia="楷体" w:cs="楷体"/>
              <w:color w:val="auto"/>
              <w:sz w:val="24"/>
              <w:szCs w:val="24"/>
              <w:highlight w:val="none"/>
            </w:rPr>
            <w:fldChar w:fldCharType="end"/>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_Toc3288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三、原地上附着物和青苗补偿标准的实施情况</w:t>
          </w:r>
          <w:r>
            <w:rPr>
              <w:sz w:val="24"/>
              <w:szCs w:val="24"/>
            </w:rPr>
            <w:tab/>
          </w:r>
          <w:r>
            <w:rPr>
              <w:sz w:val="24"/>
              <w:szCs w:val="24"/>
            </w:rPr>
            <w:fldChar w:fldCharType="begin"/>
          </w:r>
          <w:r>
            <w:rPr>
              <w:sz w:val="24"/>
              <w:szCs w:val="24"/>
            </w:rPr>
            <w:instrText xml:space="preserve"> PAGEREF _Toc3288 \h </w:instrText>
          </w:r>
          <w:r>
            <w:rPr>
              <w:sz w:val="24"/>
              <w:szCs w:val="24"/>
            </w:rPr>
            <w:fldChar w:fldCharType="separate"/>
          </w:r>
          <w:r>
            <w:rPr>
              <w:sz w:val="24"/>
              <w:szCs w:val="24"/>
            </w:rPr>
            <w:t>28</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_Toc4122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（一）原补偿标准的基本情况</w:t>
          </w:r>
          <w:r>
            <w:rPr>
              <w:sz w:val="24"/>
              <w:szCs w:val="24"/>
            </w:rPr>
            <w:tab/>
          </w:r>
          <w:r>
            <w:rPr>
              <w:sz w:val="24"/>
              <w:szCs w:val="24"/>
            </w:rPr>
            <w:fldChar w:fldCharType="begin"/>
          </w:r>
          <w:r>
            <w:rPr>
              <w:sz w:val="24"/>
              <w:szCs w:val="24"/>
            </w:rPr>
            <w:instrText xml:space="preserve"> PAGEREF _Toc4122 \h </w:instrText>
          </w:r>
          <w:r>
            <w:rPr>
              <w:sz w:val="24"/>
              <w:szCs w:val="24"/>
            </w:rPr>
            <w:fldChar w:fldCharType="separate"/>
          </w:r>
          <w:r>
            <w:rPr>
              <w:sz w:val="24"/>
              <w:szCs w:val="24"/>
            </w:rPr>
            <w:t>28</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_Toc29112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（二）现行青苗和地上附着物补偿标准实施中存在的问题和措施建议</w:t>
          </w:r>
          <w:r>
            <w:rPr>
              <w:sz w:val="24"/>
              <w:szCs w:val="24"/>
            </w:rPr>
            <w:tab/>
          </w:r>
          <w:r>
            <w:rPr>
              <w:sz w:val="24"/>
              <w:szCs w:val="24"/>
            </w:rPr>
            <w:fldChar w:fldCharType="begin"/>
          </w:r>
          <w:r>
            <w:rPr>
              <w:sz w:val="24"/>
              <w:szCs w:val="24"/>
            </w:rPr>
            <w:instrText xml:space="preserve"> PAGEREF _Toc29112 \h </w:instrText>
          </w:r>
          <w:r>
            <w:rPr>
              <w:sz w:val="24"/>
              <w:szCs w:val="24"/>
            </w:rPr>
            <w:fldChar w:fldCharType="separate"/>
          </w:r>
          <w:r>
            <w:rPr>
              <w:sz w:val="24"/>
              <w:szCs w:val="24"/>
            </w:rPr>
            <w:t>28</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_Toc22881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rPr>
            <w:t>1.存在的问题</w:t>
          </w:r>
          <w:r>
            <w:rPr>
              <w:sz w:val="24"/>
              <w:szCs w:val="24"/>
            </w:rPr>
            <w:tab/>
          </w:r>
          <w:r>
            <w:rPr>
              <w:sz w:val="24"/>
              <w:szCs w:val="24"/>
            </w:rPr>
            <w:fldChar w:fldCharType="begin"/>
          </w:r>
          <w:r>
            <w:rPr>
              <w:sz w:val="24"/>
              <w:szCs w:val="24"/>
            </w:rPr>
            <w:instrText xml:space="preserve"> PAGEREF _Toc22881 \h </w:instrText>
          </w:r>
          <w:r>
            <w:rPr>
              <w:sz w:val="24"/>
              <w:szCs w:val="24"/>
            </w:rPr>
            <w:fldChar w:fldCharType="separate"/>
          </w:r>
          <w:r>
            <w:rPr>
              <w:sz w:val="24"/>
              <w:szCs w:val="24"/>
            </w:rPr>
            <w:t>28</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_Toc20682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rPr>
            <w:t>2.措施及建议</w:t>
          </w:r>
          <w:r>
            <w:rPr>
              <w:sz w:val="24"/>
              <w:szCs w:val="24"/>
            </w:rPr>
            <w:tab/>
          </w:r>
          <w:r>
            <w:rPr>
              <w:sz w:val="24"/>
              <w:szCs w:val="24"/>
            </w:rPr>
            <w:fldChar w:fldCharType="begin"/>
          </w:r>
          <w:r>
            <w:rPr>
              <w:sz w:val="24"/>
              <w:szCs w:val="24"/>
            </w:rPr>
            <w:instrText xml:space="preserve"> PAGEREF _Toc20682 \h </w:instrText>
          </w:r>
          <w:r>
            <w:rPr>
              <w:sz w:val="24"/>
              <w:szCs w:val="24"/>
            </w:rPr>
            <w:fldChar w:fldCharType="separate"/>
          </w:r>
          <w:r>
            <w:rPr>
              <w:sz w:val="24"/>
              <w:szCs w:val="24"/>
            </w:rPr>
            <w:t>29</w:t>
          </w:r>
          <w:r>
            <w:rPr>
              <w:sz w:val="24"/>
              <w:szCs w:val="24"/>
            </w:rPr>
            <w:fldChar w:fldCharType="end"/>
          </w:r>
          <w:r>
            <w:rPr>
              <w:rFonts w:hint="eastAsia" w:ascii="楷体" w:hAnsi="楷体" w:eastAsia="楷体" w:cs="楷体"/>
              <w:color w:val="auto"/>
              <w:sz w:val="24"/>
              <w:szCs w:val="24"/>
              <w:highlight w:val="none"/>
            </w:rPr>
            <w:fldChar w:fldCharType="end"/>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_Toc9109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四、基础资料收集与整理</w:t>
          </w:r>
          <w:r>
            <w:rPr>
              <w:sz w:val="24"/>
              <w:szCs w:val="24"/>
            </w:rPr>
            <w:tab/>
          </w:r>
          <w:r>
            <w:rPr>
              <w:sz w:val="24"/>
              <w:szCs w:val="24"/>
            </w:rPr>
            <w:fldChar w:fldCharType="begin"/>
          </w:r>
          <w:r>
            <w:rPr>
              <w:sz w:val="24"/>
              <w:szCs w:val="24"/>
            </w:rPr>
            <w:instrText xml:space="preserve"> PAGEREF _Toc9109 \h </w:instrText>
          </w:r>
          <w:r>
            <w:rPr>
              <w:sz w:val="24"/>
              <w:szCs w:val="24"/>
            </w:rPr>
            <w:fldChar w:fldCharType="separate"/>
          </w:r>
          <w:r>
            <w:rPr>
              <w:sz w:val="24"/>
              <w:szCs w:val="24"/>
            </w:rPr>
            <w:t>30</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_Toc29585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（一）基础资料收集与来源</w:t>
          </w:r>
          <w:r>
            <w:rPr>
              <w:sz w:val="24"/>
              <w:szCs w:val="24"/>
            </w:rPr>
            <w:tab/>
          </w:r>
          <w:r>
            <w:rPr>
              <w:sz w:val="24"/>
              <w:szCs w:val="24"/>
            </w:rPr>
            <w:fldChar w:fldCharType="begin"/>
          </w:r>
          <w:r>
            <w:rPr>
              <w:sz w:val="24"/>
              <w:szCs w:val="24"/>
            </w:rPr>
            <w:instrText xml:space="preserve"> PAGEREF _Toc29585 \h </w:instrText>
          </w:r>
          <w:r>
            <w:rPr>
              <w:sz w:val="24"/>
              <w:szCs w:val="24"/>
            </w:rPr>
            <w:fldChar w:fldCharType="separate"/>
          </w:r>
          <w:r>
            <w:rPr>
              <w:sz w:val="24"/>
              <w:szCs w:val="24"/>
            </w:rPr>
            <w:t>30</w:t>
          </w:r>
          <w:r>
            <w:rPr>
              <w:sz w:val="24"/>
              <w:szCs w:val="24"/>
            </w:rPr>
            <w:fldChar w:fldCharType="end"/>
          </w:r>
          <w:r>
            <w:rPr>
              <w:rFonts w:hint="eastAsia" w:ascii="楷体" w:hAnsi="楷体" w:eastAsia="楷体" w:cs="楷体"/>
              <w:color w:val="auto"/>
              <w:sz w:val="24"/>
              <w:szCs w:val="24"/>
              <w:highlight w:val="none"/>
            </w:rPr>
            <w:fldChar w:fldCharType="end"/>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_Toc4148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五、地上附着物和青苗补偿标准测算过程</w:t>
          </w:r>
          <w:r>
            <w:rPr>
              <w:sz w:val="24"/>
              <w:szCs w:val="24"/>
            </w:rPr>
            <w:tab/>
          </w:r>
          <w:r>
            <w:rPr>
              <w:sz w:val="24"/>
              <w:szCs w:val="24"/>
            </w:rPr>
            <w:fldChar w:fldCharType="begin"/>
          </w:r>
          <w:r>
            <w:rPr>
              <w:sz w:val="24"/>
              <w:szCs w:val="24"/>
            </w:rPr>
            <w:instrText xml:space="preserve"> PAGEREF _Toc4148 \h </w:instrText>
          </w:r>
          <w:r>
            <w:rPr>
              <w:sz w:val="24"/>
              <w:szCs w:val="24"/>
            </w:rPr>
            <w:fldChar w:fldCharType="separate"/>
          </w:r>
          <w:r>
            <w:rPr>
              <w:sz w:val="24"/>
              <w:szCs w:val="24"/>
            </w:rPr>
            <w:t>32</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_Toc9077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（一）测算技术路线</w:t>
          </w:r>
          <w:r>
            <w:rPr>
              <w:sz w:val="24"/>
              <w:szCs w:val="24"/>
            </w:rPr>
            <w:tab/>
          </w:r>
          <w:r>
            <w:rPr>
              <w:sz w:val="24"/>
              <w:szCs w:val="24"/>
            </w:rPr>
            <w:fldChar w:fldCharType="begin"/>
          </w:r>
          <w:r>
            <w:rPr>
              <w:sz w:val="24"/>
              <w:szCs w:val="24"/>
            </w:rPr>
            <w:instrText xml:space="preserve"> PAGEREF _Toc9077 \h </w:instrText>
          </w:r>
          <w:r>
            <w:rPr>
              <w:sz w:val="24"/>
              <w:szCs w:val="24"/>
            </w:rPr>
            <w:fldChar w:fldCharType="separate"/>
          </w:r>
          <w:r>
            <w:rPr>
              <w:sz w:val="24"/>
              <w:szCs w:val="24"/>
            </w:rPr>
            <w:t>32</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_Toc16737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（二）地上附着物补偿标准测算</w:t>
          </w:r>
          <w:r>
            <w:rPr>
              <w:sz w:val="24"/>
              <w:szCs w:val="24"/>
            </w:rPr>
            <w:tab/>
          </w:r>
          <w:r>
            <w:rPr>
              <w:sz w:val="24"/>
              <w:szCs w:val="24"/>
            </w:rPr>
            <w:fldChar w:fldCharType="begin"/>
          </w:r>
          <w:r>
            <w:rPr>
              <w:sz w:val="24"/>
              <w:szCs w:val="24"/>
            </w:rPr>
            <w:instrText xml:space="preserve"> PAGEREF _Toc16737 \h </w:instrText>
          </w:r>
          <w:r>
            <w:rPr>
              <w:sz w:val="24"/>
              <w:szCs w:val="24"/>
            </w:rPr>
            <w:fldChar w:fldCharType="separate"/>
          </w:r>
          <w:r>
            <w:rPr>
              <w:sz w:val="24"/>
              <w:szCs w:val="24"/>
            </w:rPr>
            <w:t>33</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_Toc12652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（三）青苗补偿标准测算</w:t>
          </w:r>
          <w:r>
            <w:rPr>
              <w:sz w:val="24"/>
              <w:szCs w:val="24"/>
            </w:rPr>
            <w:tab/>
          </w:r>
          <w:r>
            <w:rPr>
              <w:sz w:val="24"/>
              <w:szCs w:val="24"/>
            </w:rPr>
            <w:fldChar w:fldCharType="begin"/>
          </w:r>
          <w:r>
            <w:rPr>
              <w:sz w:val="24"/>
              <w:szCs w:val="24"/>
            </w:rPr>
            <w:instrText xml:space="preserve"> PAGEREF _Toc12652 \h </w:instrText>
          </w:r>
          <w:r>
            <w:rPr>
              <w:sz w:val="24"/>
              <w:szCs w:val="24"/>
            </w:rPr>
            <w:fldChar w:fldCharType="separate"/>
          </w:r>
          <w:r>
            <w:rPr>
              <w:sz w:val="24"/>
              <w:szCs w:val="24"/>
            </w:rPr>
            <w:t>79</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_Toc30673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lang w:val="en-US" w:eastAsia="zh-CN"/>
            </w:rPr>
            <w:t>1</w:t>
          </w:r>
          <w:r>
            <w:rPr>
              <w:rFonts w:hint="eastAsia" w:ascii="楷体" w:hAnsi="楷体" w:eastAsia="楷体" w:cs="楷体"/>
              <w:bCs/>
              <w:kern w:val="0"/>
              <w:sz w:val="24"/>
              <w:szCs w:val="24"/>
              <w:highlight w:val="none"/>
            </w:rPr>
            <w:t>、青苗补偿标准测算方法</w:t>
          </w:r>
          <w:r>
            <w:rPr>
              <w:sz w:val="24"/>
              <w:szCs w:val="24"/>
            </w:rPr>
            <w:tab/>
          </w:r>
          <w:r>
            <w:rPr>
              <w:sz w:val="24"/>
              <w:szCs w:val="24"/>
            </w:rPr>
            <w:fldChar w:fldCharType="begin"/>
          </w:r>
          <w:r>
            <w:rPr>
              <w:sz w:val="24"/>
              <w:szCs w:val="24"/>
            </w:rPr>
            <w:instrText xml:space="preserve"> PAGEREF _Toc30673 \h </w:instrText>
          </w:r>
          <w:r>
            <w:rPr>
              <w:sz w:val="24"/>
              <w:szCs w:val="24"/>
            </w:rPr>
            <w:fldChar w:fldCharType="separate"/>
          </w:r>
          <w:r>
            <w:rPr>
              <w:sz w:val="24"/>
              <w:szCs w:val="24"/>
            </w:rPr>
            <w:t>79</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_Toc23349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lang w:val="en-US" w:eastAsia="zh-CN"/>
            </w:rPr>
            <w:t>2</w:t>
          </w:r>
          <w:r>
            <w:rPr>
              <w:rFonts w:hint="eastAsia" w:ascii="楷体" w:hAnsi="楷体" w:eastAsia="楷体" w:cs="楷体"/>
              <w:bCs/>
              <w:kern w:val="0"/>
              <w:sz w:val="24"/>
              <w:szCs w:val="24"/>
              <w:highlight w:val="none"/>
            </w:rPr>
            <w:t>、青苗补偿标准</w:t>
          </w:r>
          <w:r>
            <w:rPr>
              <w:rFonts w:hint="eastAsia" w:ascii="楷体" w:hAnsi="楷体" w:eastAsia="楷体" w:cs="楷体"/>
              <w:bCs/>
              <w:kern w:val="0"/>
              <w:sz w:val="24"/>
              <w:szCs w:val="24"/>
              <w:highlight w:val="none"/>
              <w:lang w:val="en-US" w:eastAsia="zh-CN"/>
            </w:rPr>
            <w:t>确定</w:t>
          </w:r>
          <w:r>
            <w:rPr>
              <w:sz w:val="24"/>
              <w:szCs w:val="24"/>
            </w:rPr>
            <w:tab/>
          </w:r>
          <w:r>
            <w:rPr>
              <w:sz w:val="24"/>
              <w:szCs w:val="24"/>
            </w:rPr>
            <w:fldChar w:fldCharType="begin"/>
          </w:r>
          <w:r>
            <w:rPr>
              <w:sz w:val="24"/>
              <w:szCs w:val="24"/>
            </w:rPr>
            <w:instrText xml:space="preserve"> PAGEREF _Toc23349 \h </w:instrText>
          </w:r>
          <w:r>
            <w:rPr>
              <w:sz w:val="24"/>
              <w:szCs w:val="24"/>
            </w:rPr>
            <w:fldChar w:fldCharType="separate"/>
          </w:r>
          <w:r>
            <w:rPr>
              <w:sz w:val="24"/>
              <w:szCs w:val="24"/>
            </w:rPr>
            <w:t>81</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_Toc22527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（四）坟墓迁移费用测算</w:t>
          </w:r>
          <w:r>
            <w:rPr>
              <w:sz w:val="24"/>
              <w:szCs w:val="24"/>
            </w:rPr>
            <w:tab/>
          </w:r>
          <w:r>
            <w:rPr>
              <w:sz w:val="24"/>
              <w:szCs w:val="24"/>
            </w:rPr>
            <w:fldChar w:fldCharType="begin"/>
          </w:r>
          <w:r>
            <w:rPr>
              <w:sz w:val="24"/>
              <w:szCs w:val="24"/>
            </w:rPr>
            <w:instrText xml:space="preserve"> PAGEREF _Toc22527 \h </w:instrText>
          </w:r>
          <w:r>
            <w:rPr>
              <w:sz w:val="24"/>
              <w:szCs w:val="24"/>
            </w:rPr>
            <w:fldChar w:fldCharType="separate"/>
          </w:r>
          <w:r>
            <w:rPr>
              <w:sz w:val="24"/>
              <w:szCs w:val="24"/>
            </w:rPr>
            <w:t>81</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_Toc19628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1.</w:t>
          </w:r>
          <w:r>
            <w:rPr>
              <w:rFonts w:hint="eastAsia" w:ascii="楷体" w:hAnsi="楷体" w:eastAsia="楷体" w:cs="楷体"/>
              <w:bCs/>
              <w:sz w:val="24"/>
              <w:szCs w:val="24"/>
              <w:highlight w:val="none"/>
            </w:rPr>
            <w:t>散葬坟墓迁移</w:t>
          </w:r>
          <w:r>
            <w:rPr>
              <w:sz w:val="24"/>
              <w:szCs w:val="24"/>
            </w:rPr>
            <w:tab/>
          </w:r>
          <w:r>
            <w:rPr>
              <w:sz w:val="24"/>
              <w:szCs w:val="24"/>
            </w:rPr>
            <w:fldChar w:fldCharType="begin"/>
          </w:r>
          <w:r>
            <w:rPr>
              <w:sz w:val="24"/>
              <w:szCs w:val="24"/>
            </w:rPr>
            <w:instrText xml:space="preserve"> PAGEREF _Toc19628 \h </w:instrText>
          </w:r>
          <w:r>
            <w:rPr>
              <w:sz w:val="24"/>
              <w:szCs w:val="24"/>
            </w:rPr>
            <w:fldChar w:fldCharType="separate"/>
          </w:r>
          <w:r>
            <w:rPr>
              <w:sz w:val="24"/>
              <w:szCs w:val="24"/>
            </w:rPr>
            <w:t>81</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_Toc19894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2.</w:t>
          </w:r>
          <w:r>
            <w:rPr>
              <w:rFonts w:hint="eastAsia" w:ascii="楷体" w:hAnsi="楷体" w:eastAsia="楷体" w:cs="楷体"/>
              <w:bCs/>
              <w:sz w:val="24"/>
              <w:szCs w:val="24"/>
              <w:highlight w:val="none"/>
            </w:rPr>
            <w:t>公墓搬迁补偿</w:t>
          </w:r>
          <w:r>
            <w:rPr>
              <w:sz w:val="24"/>
              <w:szCs w:val="24"/>
            </w:rPr>
            <w:tab/>
          </w:r>
          <w:r>
            <w:rPr>
              <w:sz w:val="24"/>
              <w:szCs w:val="24"/>
            </w:rPr>
            <w:fldChar w:fldCharType="begin"/>
          </w:r>
          <w:r>
            <w:rPr>
              <w:sz w:val="24"/>
              <w:szCs w:val="24"/>
            </w:rPr>
            <w:instrText xml:space="preserve"> PAGEREF _Toc19894 \h </w:instrText>
          </w:r>
          <w:r>
            <w:rPr>
              <w:sz w:val="24"/>
              <w:szCs w:val="24"/>
            </w:rPr>
            <w:fldChar w:fldCharType="separate"/>
          </w:r>
          <w:r>
            <w:rPr>
              <w:sz w:val="24"/>
              <w:szCs w:val="24"/>
            </w:rPr>
            <w:t>82</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_Toc10868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（五）地上附着物和青苗补偿标准的初步确定</w:t>
          </w:r>
          <w:r>
            <w:rPr>
              <w:sz w:val="24"/>
              <w:szCs w:val="24"/>
            </w:rPr>
            <w:tab/>
          </w:r>
          <w:r>
            <w:rPr>
              <w:sz w:val="24"/>
              <w:szCs w:val="24"/>
            </w:rPr>
            <w:fldChar w:fldCharType="begin"/>
          </w:r>
          <w:r>
            <w:rPr>
              <w:sz w:val="24"/>
              <w:szCs w:val="24"/>
            </w:rPr>
            <w:instrText xml:space="preserve"> PAGEREF _Toc10868 \h </w:instrText>
          </w:r>
          <w:r>
            <w:rPr>
              <w:sz w:val="24"/>
              <w:szCs w:val="24"/>
            </w:rPr>
            <w:fldChar w:fldCharType="separate"/>
          </w:r>
          <w:r>
            <w:rPr>
              <w:sz w:val="24"/>
              <w:szCs w:val="24"/>
            </w:rPr>
            <w:t>84</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_Toc7063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1.</w:t>
          </w:r>
          <w:r>
            <w:rPr>
              <w:rFonts w:hint="eastAsia" w:ascii="楷体" w:hAnsi="楷体" w:eastAsia="楷体" w:cs="楷体"/>
              <w:bCs/>
              <w:sz w:val="24"/>
              <w:szCs w:val="24"/>
              <w:highlight w:val="none"/>
            </w:rPr>
            <w:t>地上附着物补偿标准制定初步结果</w:t>
          </w:r>
          <w:r>
            <w:rPr>
              <w:sz w:val="24"/>
              <w:szCs w:val="24"/>
            </w:rPr>
            <w:tab/>
          </w:r>
          <w:r>
            <w:rPr>
              <w:sz w:val="24"/>
              <w:szCs w:val="24"/>
            </w:rPr>
            <w:fldChar w:fldCharType="begin"/>
          </w:r>
          <w:r>
            <w:rPr>
              <w:sz w:val="24"/>
              <w:szCs w:val="24"/>
            </w:rPr>
            <w:instrText xml:space="preserve"> PAGEREF _Toc7063 \h </w:instrText>
          </w:r>
          <w:r>
            <w:rPr>
              <w:sz w:val="24"/>
              <w:szCs w:val="24"/>
            </w:rPr>
            <w:fldChar w:fldCharType="separate"/>
          </w:r>
          <w:r>
            <w:rPr>
              <w:sz w:val="24"/>
              <w:szCs w:val="24"/>
            </w:rPr>
            <w:t>84</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_Toc6488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rPr>
            <w:t>2.青苗补偿标准制定初步结果</w:t>
          </w:r>
          <w:r>
            <w:rPr>
              <w:sz w:val="24"/>
              <w:szCs w:val="24"/>
            </w:rPr>
            <w:tab/>
          </w:r>
          <w:r>
            <w:rPr>
              <w:sz w:val="24"/>
              <w:szCs w:val="24"/>
            </w:rPr>
            <w:fldChar w:fldCharType="begin"/>
          </w:r>
          <w:r>
            <w:rPr>
              <w:sz w:val="24"/>
              <w:szCs w:val="24"/>
            </w:rPr>
            <w:instrText xml:space="preserve"> PAGEREF _Toc6488 \h </w:instrText>
          </w:r>
          <w:r>
            <w:rPr>
              <w:sz w:val="24"/>
              <w:szCs w:val="24"/>
            </w:rPr>
            <w:fldChar w:fldCharType="separate"/>
          </w:r>
          <w:r>
            <w:rPr>
              <w:sz w:val="24"/>
              <w:szCs w:val="24"/>
            </w:rPr>
            <w:t>89</w:t>
          </w:r>
          <w:r>
            <w:rPr>
              <w:sz w:val="24"/>
              <w:szCs w:val="24"/>
            </w:rPr>
            <w:fldChar w:fldCharType="end"/>
          </w:r>
          <w:r>
            <w:rPr>
              <w:rFonts w:hint="eastAsia" w:ascii="楷体" w:hAnsi="楷体" w:eastAsia="楷体" w:cs="楷体"/>
              <w:color w:val="auto"/>
              <w:sz w:val="24"/>
              <w:szCs w:val="24"/>
              <w:highlight w:val="none"/>
            </w:rPr>
            <w:fldChar w:fldCharType="end"/>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_Toc31182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六</w:t>
          </w:r>
          <w:r>
            <w:rPr>
              <w:rFonts w:hint="eastAsia" w:ascii="楷体" w:hAnsi="楷体" w:eastAsia="楷体" w:cs="楷体"/>
              <w:bCs/>
              <w:sz w:val="24"/>
              <w:szCs w:val="24"/>
              <w:highlight w:val="none"/>
            </w:rPr>
            <w:t>、</w:t>
          </w:r>
          <w:r>
            <w:rPr>
              <w:rFonts w:hint="eastAsia" w:ascii="楷体" w:hAnsi="楷体" w:eastAsia="楷体" w:cs="楷体"/>
              <w:bCs/>
              <w:sz w:val="24"/>
              <w:szCs w:val="24"/>
              <w:highlight w:val="none"/>
              <w:lang w:val="en-US" w:eastAsia="zh-CN"/>
            </w:rPr>
            <w:t>测算结果验证分析</w:t>
          </w:r>
          <w:r>
            <w:rPr>
              <w:sz w:val="24"/>
              <w:szCs w:val="24"/>
            </w:rPr>
            <w:tab/>
          </w:r>
          <w:r>
            <w:rPr>
              <w:sz w:val="24"/>
              <w:szCs w:val="24"/>
            </w:rPr>
            <w:fldChar w:fldCharType="begin"/>
          </w:r>
          <w:r>
            <w:rPr>
              <w:sz w:val="24"/>
              <w:szCs w:val="24"/>
            </w:rPr>
            <w:instrText xml:space="preserve"> PAGEREF _Toc31182 \h </w:instrText>
          </w:r>
          <w:r>
            <w:rPr>
              <w:sz w:val="24"/>
              <w:szCs w:val="24"/>
            </w:rPr>
            <w:fldChar w:fldCharType="separate"/>
          </w:r>
          <w:r>
            <w:rPr>
              <w:sz w:val="24"/>
              <w:szCs w:val="24"/>
            </w:rPr>
            <w:t>90</w:t>
          </w:r>
          <w:r>
            <w:rPr>
              <w:sz w:val="24"/>
              <w:szCs w:val="24"/>
            </w:rPr>
            <w:fldChar w:fldCharType="end"/>
          </w:r>
          <w:r>
            <w:rPr>
              <w:rFonts w:hint="eastAsia" w:ascii="楷体" w:hAnsi="楷体" w:eastAsia="楷体" w:cs="楷体"/>
              <w:color w:val="auto"/>
              <w:sz w:val="24"/>
              <w:szCs w:val="24"/>
              <w:highlight w:val="none"/>
            </w:rPr>
            <w:fldChar w:fldCharType="end"/>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_Toc31902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七</w:t>
          </w:r>
          <w:r>
            <w:rPr>
              <w:rFonts w:hint="eastAsia" w:ascii="楷体" w:hAnsi="楷体" w:eastAsia="楷体" w:cs="楷体"/>
              <w:bCs/>
              <w:sz w:val="24"/>
              <w:szCs w:val="24"/>
              <w:highlight w:val="none"/>
            </w:rPr>
            <w:t>、数据库的建立</w:t>
          </w:r>
          <w:r>
            <w:rPr>
              <w:sz w:val="24"/>
              <w:szCs w:val="24"/>
            </w:rPr>
            <w:tab/>
          </w:r>
          <w:r>
            <w:rPr>
              <w:sz w:val="24"/>
              <w:szCs w:val="24"/>
            </w:rPr>
            <w:fldChar w:fldCharType="begin"/>
          </w:r>
          <w:r>
            <w:rPr>
              <w:sz w:val="24"/>
              <w:szCs w:val="24"/>
            </w:rPr>
            <w:instrText xml:space="preserve"> PAGEREF _Toc31902 \h </w:instrText>
          </w:r>
          <w:r>
            <w:rPr>
              <w:sz w:val="24"/>
              <w:szCs w:val="24"/>
            </w:rPr>
            <w:fldChar w:fldCharType="separate"/>
          </w:r>
          <w:r>
            <w:rPr>
              <w:sz w:val="24"/>
              <w:szCs w:val="24"/>
            </w:rPr>
            <w:t>97</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_Toc19174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（一）数据库内容</w:t>
          </w:r>
          <w:r>
            <w:rPr>
              <w:sz w:val="24"/>
              <w:szCs w:val="24"/>
            </w:rPr>
            <w:tab/>
          </w:r>
          <w:r>
            <w:rPr>
              <w:sz w:val="24"/>
              <w:szCs w:val="24"/>
            </w:rPr>
            <w:fldChar w:fldCharType="begin"/>
          </w:r>
          <w:r>
            <w:rPr>
              <w:sz w:val="24"/>
              <w:szCs w:val="24"/>
            </w:rPr>
            <w:instrText xml:space="preserve"> PAGEREF _Toc19174 \h </w:instrText>
          </w:r>
          <w:r>
            <w:rPr>
              <w:sz w:val="24"/>
              <w:szCs w:val="24"/>
            </w:rPr>
            <w:fldChar w:fldCharType="separate"/>
          </w:r>
          <w:r>
            <w:rPr>
              <w:sz w:val="24"/>
              <w:szCs w:val="24"/>
            </w:rPr>
            <w:t>97</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_Toc32353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（二）要素分类与编码</w:t>
          </w:r>
          <w:r>
            <w:rPr>
              <w:sz w:val="24"/>
              <w:szCs w:val="24"/>
            </w:rPr>
            <w:tab/>
          </w:r>
          <w:r>
            <w:rPr>
              <w:sz w:val="24"/>
              <w:szCs w:val="24"/>
            </w:rPr>
            <w:fldChar w:fldCharType="begin"/>
          </w:r>
          <w:r>
            <w:rPr>
              <w:sz w:val="24"/>
              <w:szCs w:val="24"/>
            </w:rPr>
            <w:instrText xml:space="preserve"> PAGEREF _Toc32353 \h </w:instrText>
          </w:r>
          <w:r>
            <w:rPr>
              <w:sz w:val="24"/>
              <w:szCs w:val="24"/>
            </w:rPr>
            <w:fldChar w:fldCharType="separate"/>
          </w:r>
          <w:r>
            <w:rPr>
              <w:sz w:val="24"/>
              <w:szCs w:val="24"/>
            </w:rPr>
            <w:t>98</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_Toc10726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（三）数据库结构定义</w:t>
          </w:r>
          <w:r>
            <w:rPr>
              <w:sz w:val="24"/>
              <w:szCs w:val="24"/>
            </w:rPr>
            <w:tab/>
          </w:r>
          <w:r>
            <w:rPr>
              <w:sz w:val="24"/>
              <w:szCs w:val="24"/>
            </w:rPr>
            <w:fldChar w:fldCharType="begin"/>
          </w:r>
          <w:r>
            <w:rPr>
              <w:sz w:val="24"/>
              <w:szCs w:val="24"/>
            </w:rPr>
            <w:instrText xml:space="preserve"> PAGEREF _Toc10726 \h </w:instrText>
          </w:r>
          <w:r>
            <w:rPr>
              <w:sz w:val="24"/>
              <w:szCs w:val="24"/>
            </w:rPr>
            <w:fldChar w:fldCharType="separate"/>
          </w:r>
          <w:r>
            <w:rPr>
              <w:sz w:val="24"/>
              <w:szCs w:val="24"/>
            </w:rPr>
            <w:t>100</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_Toc12968 </w:instrText>
          </w:r>
          <w:r>
            <w:rPr>
              <w:rFonts w:hint="eastAsia" w:ascii="楷体" w:hAnsi="楷体" w:eastAsia="楷体" w:cs="楷体"/>
              <w:sz w:val="24"/>
              <w:szCs w:val="24"/>
              <w:highlight w:val="none"/>
            </w:rPr>
            <w:fldChar w:fldCharType="separate"/>
          </w:r>
          <w:r>
            <w:rPr>
              <w:rFonts w:hint="eastAsia" w:ascii="楷体" w:hAnsi="楷体" w:eastAsia="楷体" w:cs="楷体"/>
              <w:bCs w:val="0"/>
              <w:kern w:val="0"/>
              <w:sz w:val="24"/>
              <w:szCs w:val="24"/>
              <w:highlight w:val="none"/>
            </w:rPr>
            <w:t>1.要素类划分</w:t>
          </w:r>
          <w:r>
            <w:rPr>
              <w:sz w:val="24"/>
              <w:szCs w:val="24"/>
            </w:rPr>
            <w:tab/>
          </w:r>
          <w:r>
            <w:rPr>
              <w:sz w:val="24"/>
              <w:szCs w:val="24"/>
            </w:rPr>
            <w:fldChar w:fldCharType="begin"/>
          </w:r>
          <w:r>
            <w:rPr>
              <w:sz w:val="24"/>
              <w:szCs w:val="24"/>
            </w:rPr>
            <w:instrText xml:space="preserve"> PAGEREF _Toc12968 \h </w:instrText>
          </w:r>
          <w:r>
            <w:rPr>
              <w:sz w:val="24"/>
              <w:szCs w:val="24"/>
            </w:rPr>
            <w:fldChar w:fldCharType="separate"/>
          </w:r>
          <w:r>
            <w:rPr>
              <w:sz w:val="24"/>
              <w:szCs w:val="24"/>
            </w:rPr>
            <w:t>100</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_Toc7908 </w:instrText>
          </w:r>
          <w:r>
            <w:rPr>
              <w:rFonts w:hint="eastAsia" w:ascii="楷体" w:hAnsi="楷体" w:eastAsia="楷体" w:cs="楷体"/>
              <w:sz w:val="24"/>
              <w:szCs w:val="24"/>
              <w:highlight w:val="none"/>
            </w:rPr>
            <w:fldChar w:fldCharType="separate"/>
          </w:r>
          <w:r>
            <w:rPr>
              <w:rFonts w:hint="eastAsia" w:ascii="楷体" w:hAnsi="楷体" w:eastAsia="楷体" w:cs="楷体"/>
              <w:bCs w:val="0"/>
              <w:kern w:val="0"/>
              <w:sz w:val="24"/>
              <w:szCs w:val="24"/>
              <w:highlight w:val="none"/>
            </w:rPr>
            <w:t>2.空间要素属性结构表</w:t>
          </w:r>
          <w:r>
            <w:rPr>
              <w:sz w:val="24"/>
              <w:szCs w:val="24"/>
            </w:rPr>
            <w:tab/>
          </w:r>
          <w:r>
            <w:rPr>
              <w:sz w:val="24"/>
              <w:szCs w:val="24"/>
            </w:rPr>
            <w:fldChar w:fldCharType="begin"/>
          </w:r>
          <w:r>
            <w:rPr>
              <w:sz w:val="24"/>
              <w:szCs w:val="24"/>
            </w:rPr>
            <w:instrText xml:space="preserve"> PAGEREF _Toc7908 \h </w:instrText>
          </w:r>
          <w:r>
            <w:rPr>
              <w:sz w:val="24"/>
              <w:szCs w:val="24"/>
            </w:rPr>
            <w:fldChar w:fldCharType="separate"/>
          </w:r>
          <w:r>
            <w:rPr>
              <w:sz w:val="24"/>
              <w:szCs w:val="24"/>
            </w:rPr>
            <w:t>100</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_Toc3418 </w:instrText>
          </w:r>
          <w:r>
            <w:rPr>
              <w:rFonts w:hint="eastAsia" w:ascii="楷体" w:hAnsi="楷体" w:eastAsia="楷体" w:cs="楷体"/>
              <w:sz w:val="24"/>
              <w:szCs w:val="24"/>
              <w:highlight w:val="none"/>
            </w:rPr>
            <w:fldChar w:fldCharType="separate"/>
          </w:r>
          <w:r>
            <w:rPr>
              <w:rFonts w:hint="eastAsia" w:ascii="楷体" w:hAnsi="楷体" w:eastAsia="楷体" w:cs="楷体"/>
              <w:bCs/>
              <w:kern w:val="0"/>
              <w:sz w:val="24"/>
              <w:szCs w:val="24"/>
              <w:highlight w:val="none"/>
            </w:rPr>
            <w:t>3.非空间要素属性结构表</w:t>
          </w:r>
          <w:r>
            <w:rPr>
              <w:sz w:val="24"/>
              <w:szCs w:val="24"/>
            </w:rPr>
            <w:tab/>
          </w:r>
          <w:r>
            <w:rPr>
              <w:sz w:val="24"/>
              <w:szCs w:val="24"/>
            </w:rPr>
            <w:fldChar w:fldCharType="begin"/>
          </w:r>
          <w:r>
            <w:rPr>
              <w:sz w:val="24"/>
              <w:szCs w:val="24"/>
            </w:rPr>
            <w:instrText xml:space="preserve"> PAGEREF _Toc3418 \h </w:instrText>
          </w:r>
          <w:r>
            <w:rPr>
              <w:sz w:val="24"/>
              <w:szCs w:val="24"/>
            </w:rPr>
            <w:fldChar w:fldCharType="separate"/>
          </w:r>
          <w:r>
            <w:rPr>
              <w:sz w:val="24"/>
              <w:szCs w:val="24"/>
            </w:rPr>
            <w:t>106</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_Toc5224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（四）数据入库</w:t>
          </w:r>
          <w:r>
            <w:rPr>
              <w:sz w:val="24"/>
              <w:szCs w:val="24"/>
            </w:rPr>
            <w:tab/>
          </w:r>
          <w:r>
            <w:rPr>
              <w:sz w:val="24"/>
              <w:szCs w:val="24"/>
            </w:rPr>
            <w:fldChar w:fldCharType="begin"/>
          </w:r>
          <w:r>
            <w:rPr>
              <w:sz w:val="24"/>
              <w:szCs w:val="24"/>
            </w:rPr>
            <w:instrText xml:space="preserve"> PAGEREF _Toc5224 \h </w:instrText>
          </w:r>
          <w:r>
            <w:rPr>
              <w:sz w:val="24"/>
              <w:szCs w:val="24"/>
            </w:rPr>
            <w:fldChar w:fldCharType="separate"/>
          </w:r>
          <w:r>
            <w:rPr>
              <w:sz w:val="24"/>
              <w:szCs w:val="24"/>
            </w:rPr>
            <w:t>116</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_Toc1050 </w:instrText>
          </w:r>
          <w:r>
            <w:rPr>
              <w:rFonts w:hint="eastAsia" w:ascii="楷体" w:hAnsi="楷体" w:eastAsia="楷体" w:cs="楷体"/>
              <w:sz w:val="24"/>
              <w:szCs w:val="24"/>
              <w:highlight w:val="none"/>
            </w:rPr>
            <w:fldChar w:fldCharType="separate"/>
          </w:r>
          <w:r>
            <w:rPr>
              <w:rFonts w:hint="eastAsia" w:ascii="楷体" w:hAnsi="楷体" w:eastAsia="楷体" w:cs="楷体"/>
              <w:bCs w:val="0"/>
              <w:kern w:val="0"/>
              <w:sz w:val="24"/>
              <w:szCs w:val="24"/>
              <w:highlight w:val="none"/>
            </w:rPr>
            <w:t>1.建立标准数据库</w:t>
          </w:r>
          <w:r>
            <w:rPr>
              <w:sz w:val="24"/>
              <w:szCs w:val="24"/>
            </w:rPr>
            <w:tab/>
          </w:r>
          <w:r>
            <w:rPr>
              <w:sz w:val="24"/>
              <w:szCs w:val="24"/>
            </w:rPr>
            <w:fldChar w:fldCharType="begin"/>
          </w:r>
          <w:r>
            <w:rPr>
              <w:sz w:val="24"/>
              <w:szCs w:val="24"/>
            </w:rPr>
            <w:instrText xml:space="preserve"> PAGEREF _Toc1050 \h </w:instrText>
          </w:r>
          <w:r>
            <w:rPr>
              <w:sz w:val="24"/>
              <w:szCs w:val="24"/>
            </w:rPr>
            <w:fldChar w:fldCharType="separate"/>
          </w:r>
          <w:r>
            <w:rPr>
              <w:sz w:val="24"/>
              <w:szCs w:val="24"/>
            </w:rPr>
            <w:t>116</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_Toc29151 </w:instrText>
          </w:r>
          <w:r>
            <w:rPr>
              <w:rFonts w:hint="eastAsia" w:ascii="楷体" w:hAnsi="楷体" w:eastAsia="楷体" w:cs="楷体"/>
              <w:sz w:val="24"/>
              <w:szCs w:val="24"/>
              <w:highlight w:val="none"/>
            </w:rPr>
            <w:fldChar w:fldCharType="separate"/>
          </w:r>
          <w:r>
            <w:rPr>
              <w:rFonts w:hint="eastAsia" w:ascii="楷体" w:hAnsi="楷体" w:eastAsia="楷体" w:cs="楷体"/>
              <w:bCs w:val="0"/>
              <w:kern w:val="0"/>
              <w:sz w:val="24"/>
              <w:szCs w:val="24"/>
              <w:highlight w:val="none"/>
            </w:rPr>
            <w:t>2.数据入库</w:t>
          </w:r>
          <w:r>
            <w:rPr>
              <w:sz w:val="24"/>
              <w:szCs w:val="24"/>
            </w:rPr>
            <w:tab/>
          </w:r>
          <w:r>
            <w:rPr>
              <w:sz w:val="24"/>
              <w:szCs w:val="24"/>
            </w:rPr>
            <w:fldChar w:fldCharType="begin"/>
          </w:r>
          <w:r>
            <w:rPr>
              <w:sz w:val="24"/>
              <w:szCs w:val="24"/>
            </w:rPr>
            <w:instrText xml:space="preserve"> PAGEREF _Toc29151 \h </w:instrText>
          </w:r>
          <w:r>
            <w:rPr>
              <w:sz w:val="24"/>
              <w:szCs w:val="24"/>
            </w:rPr>
            <w:fldChar w:fldCharType="separate"/>
          </w:r>
          <w:r>
            <w:rPr>
              <w:sz w:val="24"/>
              <w:szCs w:val="24"/>
            </w:rPr>
            <w:t>117</w:t>
          </w:r>
          <w:r>
            <w:rPr>
              <w:sz w:val="24"/>
              <w:szCs w:val="24"/>
            </w:rPr>
            <w:fldChar w:fldCharType="end"/>
          </w:r>
          <w:r>
            <w:rPr>
              <w:rFonts w:hint="eastAsia" w:ascii="楷体" w:hAnsi="楷体" w:eastAsia="楷体" w:cs="楷体"/>
              <w:color w:val="auto"/>
              <w:sz w:val="24"/>
              <w:szCs w:val="24"/>
              <w:highlight w:val="none"/>
            </w:rPr>
            <w:fldChar w:fldCharType="end"/>
          </w:r>
        </w:p>
        <w:p>
          <w:pPr>
            <w:pStyle w:val="22"/>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_Toc20398 </w:instrText>
          </w:r>
          <w:r>
            <w:rPr>
              <w:rFonts w:hint="eastAsia" w:ascii="楷体" w:hAnsi="楷体" w:eastAsia="楷体" w:cs="楷体"/>
              <w:sz w:val="24"/>
              <w:szCs w:val="24"/>
              <w:highlight w:val="none"/>
            </w:rPr>
            <w:fldChar w:fldCharType="separate"/>
          </w:r>
          <w:r>
            <w:rPr>
              <w:rFonts w:hint="eastAsia" w:ascii="楷体" w:hAnsi="楷体" w:eastAsia="楷体" w:cs="楷体"/>
              <w:bCs w:val="0"/>
              <w:kern w:val="0"/>
              <w:sz w:val="24"/>
              <w:szCs w:val="24"/>
              <w:highlight w:val="none"/>
            </w:rPr>
            <w:t>3.数据检验</w:t>
          </w:r>
          <w:r>
            <w:rPr>
              <w:sz w:val="24"/>
              <w:szCs w:val="24"/>
            </w:rPr>
            <w:tab/>
          </w:r>
          <w:r>
            <w:rPr>
              <w:sz w:val="24"/>
              <w:szCs w:val="24"/>
            </w:rPr>
            <w:fldChar w:fldCharType="begin"/>
          </w:r>
          <w:r>
            <w:rPr>
              <w:sz w:val="24"/>
              <w:szCs w:val="24"/>
            </w:rPr>
            <w:instrText xml:space="preserve"> PAGEREF _Toc20398 \h </w:instrText>
          </w:r>
          <w:r>
            <w:rPr>
              <w:sz w:val="24"/>
              <w:szCs w:val="24"/>
            </w:rPr>
            <w:fldChar w:fldCharType="separate"/>
          </w:r>
          <w:r>
            <w:rPr>
              <w:sz w:val="24"/>
              <w:szCs w:val="24"/>
            </w:rPr>
            <w:t>117</w:t>
          </w:r>
          <w:r>
            <w:rPr>
              <w:sz w:val="24"/>
              <w:szCs w:val="24"/>
            </w:rPr>
            <w:fldChar w:fldCharType="end"/>
          </w:r>
          <w:r>
            <w:rPr>
              <w:rFonts w:hint="eastAsia" w:ascii="楷体" w:hAnsi="楷体" w:eastAsia="楷体" w:cs="楷体"/>
              <w:color w:val="auto"/>
              <w:sz w:val="24"/>
              <w:szCs w:val="24"/>
              <w:highlight w:val="none"/>
            </w:rPr>
            <w:fldChar w:fldCharType="end"/>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_Toc26587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八</w:t>
          </w:r>
          <w:r>
            <w:rPr>
              <w:rFonts w:hint="eastAsia" w:ascii="楷体" w:hAnsi="楷体" w:eastAsia="楷体" w:cs="楷体"/>
              <w:bCs/>
              <w:sz w:val="24"/>
              <w:szCs w:val="24"/>
              <w:highlight w:val="none"/>
            </w:rPr>
            <w:t>、补偿标准应用及建议</w:t>
          </w:r>
          <w:r>
            <w:rPr>
              <w:sz w:val="24"/>
              <w:szCs w:val="24"/>
            </w:rPr>
            <w:tab/>
          </w:r>
          <w:r>
            <w:rPr>
              <w:sz w:val="24"/>
              <w:szCs w:val="24"/>
            </w:rPr>
            <w:fldChar w:fldCharType="begin"/>
          </w:r>
          <w:r>
            <w:rPr>
              <w:sz w:val="24"/>
              <w:szCs w:val="24"/>
            </w:rPr>
            <w:instrText xml:space="preserve"> PAGEREF _Toc26587 \h </w:instrText>
          </w:r>
          <w:r>
            <w:rPr>
              <w:sz w:val="24"/>
              <w:szCs w:val="24"/>
            </w:rPr>
            <w:fldChar w:fldCharType="separate"/>
          </w:r>
          <w:r>
            <w:rPr>
              <w:sz w:val="24"/>
              <w:szCs w:val="24"/>
            </w:rPr>
            <w:t>118</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_Toc21944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（一）适用范围</w:t>
          </w:r>
          <w:r>
            <w:rPr>
              <w:sz w:val="24"/>
              <w:szCs w:val="24"/>
            </w:rPr>
            <w:tab/>
          </w:r>
          <w:r>
            <w:rPr>
              <w:sz w:val="24"/>
              <w:szCs w:val="24"/>
            </w:rPr>
            <w:fldChar w:fldCharType="begin"/>
          </w:r>
          <w:r>
            <w:rPr>
              <w:sz w:val="24"/>
              <w:szCs w:val="24"/>
            </w:rPr>
            <w:instrText xml:space="preserve"> PAGEREF _Toc21944 \h </w:instrText>
          </w:r>
          <w:r>
            <w:rPr>
              <w:sz w:val="24"/>
              <w:szCs w:val="24"/>
            </w:rPr>
            <w:fldChar w:fldCharType="separate"/>
          </w:r>
          <w:r>
            <w:rPr>
              <w:sz w:val="24"/>
              <w:szCs w:val="24"/>
            </w:rPr>
            <w:t>118</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_Toc18274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（二）</w:t>
          </w:r>
          <w:r>
            <w:rPr>
              <w:rFonts w:hint="eastAsia" w:ascii="楷体" w:hAnsi="楷体" w:eastAsia="楷体" w:cs="楷体"/>
              <w:bCs/>
              <w:sz w:val="24"/>
              <w:szCs w:val="24"/>
              <w:highlight w:val="none"/>
              <w:lang w:val="en-US" w:eastAsia="zh-CN"/>
            </w:rPr>
            <w:t>特殊情况</w:t>
          </w:r>
          <w:r>
            <w:rPr>
              <w:rFonts w:hint="eastAsia" w:ascii="楷体" w:hAnsi="楷体" w:eastAsia="楷体" w:cs="楷体"/>
              <w:bCs/>
              <w:sz w:val="24"/>
              <w:szCs w:val="24"/>
              <w:highlight w:val="none"/>
            </w:rPr>
            <w:t>说明</w:t>
          </w:r>
          <w:r>
            <w:rPr>
              <w:sz w:val="24"/>
              <w:szCs w:val="24"/>
            </w:rPr>
            <w:tab/>
          </w:r>
          <w:r>
            <w:rPr>
              <w:sz w:val="24"/>
              <w:szCs w:val="24"/>
            </w:rPr>
            <w:fldChar w:fldCharType="begin"/>
          </w:r>
          <w:r>
            <w:rPr>
              <w:sz w:val="24"/>
              <w:szCs w:val="24"/>
            </w:rPr>
            <w:instrText xml:space="preserve"> PAGEREF _Toc18274 \h </w:instrText>
          </w:r>
          <w:r>
            <w:rPr>
              <w:sz w:val="24"/>
              <w:szCs w:val="24"/>
            </w:rPr>
            <w:fldChar w:fldCharType="separate"/>
          </w:r>
          <w:r>
            <w:rPr>
              <w:sz w:val="24"/>
              <w:szCs w:val="24"/>
            </w:rPr>
            <w:t>118</w:t>
          </w:r>
          <w:r>
            <w:rPr>
              <w:sz w:val="24"/>
              <w:szCs w:val="24"/>
            </w:rPr>
            <w:fldChar w:fldCharType="end"/>
          </w:r>
          <w:r>
            <w:rPr>
              <w:rFonts w:hint="eastAsia" w:ascii="楷体" w:hAnsi="楷体" w:eastAsia="楷体" w:cs="楷体"/>
              <w:color w:val="auto"/>
              <w:sz w:val="24"/>
              <w:szCs w:val="24"/>
              <w:highlight w:val="none"/>
            </w:rPr>
            <w:fldChar w:fldCharType="end"/>
          </w:r>
        </w:p>
        <w:p>
          <w:pPr>
            <w:pStyle w:val="37"/>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_Toc25936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rPr>
            <w:t>（二）</w:t>
          </w:r>
          <w:r>
            <w:rPr>
              <w:rFonts w:hint="eastAsia" w:ascii="楷体" w:hAnsi="楷体" w:eastAsia="楷体" w:cs="楷体"/>
              <w:bCs/>
              <w:sz w:val="24"/>
              <w:szCs w:val="24"/>
              <w:highlight w:val="none"/>
              <w:lang w:val="en-US" w:eastAsia="zh-CN"/>
            </w:rPr>
            <w:t>经验建议</w:t>
          </w:r>
          <w:r>
            <w:rPr>
              <w:sz w:val="24"/>
              <w:szCs w:val="24"/>
            </w:rPr>
            <w:tab/>
          </w:r>
          <w:r>
            <w:rPr>
              <w:sz w:val="24"/>
              <w:szCs w:val="24"/>
            </w:rPr>
            <w:fldChar w:fldCharType="begin"/>
          </w:r>
          <w:r>
            <w:rPr>
              <w:sz w:val="24"/>
              <w:szCs w:val="24"/>
            </w:rPr>
            <w:instrText xml:space="preserve"> PAGEREF _Toc25936 \h </w:instrText>
          </w:r>
          <w:r>
            <w:rPr>
              <w:sz w:val="24"/>
              <w:szCs w:val="24"/>
            </w:rPr>
            <w:fldChar w:fldCharType="separate"/>
          </w:r>
          <w:r>
            <w:rPr>
              <w:sz w:val="24"/>
              <w:szCs w:val="24"/>
            </w:rPr>
            <w:t>118</w:t>
          </w:r>
          <w:r>
            <w:rPr>
              <w:sz w:val="24"/>
              <w:szCs w:val="24"/>
            </w:rPr>
            <w:fldChar w:fldCharType="end"/>
          </w:r>
          <w:r>
            <w:rPr>
              <w:rFonts w:hint="eastAsia" w:ascii="楷体" w:hAnsi="楷体" w:eastAsia="楷体" w:cs="楷体"/>
              <w:color w:val="auto"/>
              <w:sz w:val="24"/>
              <w:szCs w:val="24"/>
              <w:highlight w:val="none"/>
            </w:rPr>
            <w:fldChar w:fldCharType="end"/>
          </w:r>
        </w:p>
        <w:p>
          <w:pPr>
            <w:pStyle w:val="30"/>
            <w:tabs>
              <w:tab w:val="right" w:leader="dot" w:pos="9072"/>
            </w:tabs>
            <w:rPr>
              <w:sz w:val="24"/>
              <w:szCs w:val="24"/>
            </w:rPr>
          </w:pPr>
          <w:r>
            <w:rPr>
              <w:rFonts w:hint="eastAsia" w:ascii="楷体" w:hAnsi="楷体" w:eastAsia="楷体" w:cs="楷体"/>
              <w:color w:val="auto"/>
              <w:sz w:val="24"/>
              <w:szCs w:val="24"/>
              <w:highlight w:val="none"/>
            </w:rPr>
            <w:fldChar w:fldCharType="begin"/>
          </w:r>
          <w:r>
            <w:rPr>
              <w:rFonts w:hint="eastAsia" w:ascii="楷体" w:hAnsi="楷体" w:eastAsia="楷体" w:cs="楷体"/>
              <w:sz w:val="24"/>
              <w:szCs w:val="24"/>
              <w:highlight w:val="none"/>
            </w:rPr>
            <w:instrText xml:space="preserve"> HYPERLINK \l _Toc1203 </w:instrText>
          </w:r>
          <w:r>
            <w:rPr>
              <w:rFonts w:hint="eastAsia" w:ascii="楷体" w:hAnsi="楷体" w:eastAsia="楷体" w:cs="楷体"/>
              <w:sz w:val="24"/>
              <w:szCs w:val="24"/>
              <w:highlight w:val="none"/>
            </w:rPr>
            <w:fldChar w:fldCharType="separate"/>
          </w:r>
          <w:r>
            <w:rPr>
              <w:rFonts w:hint="eastAsia" w:ascii="楷体" w:hAnsi="楷体" w:eastAsia="楷体" w:cs="楷体"/>
              <w:bCs/>
              <w:sz w:val="24"/>
              <w:szCs w:val="24"/>
              <w:highlight w:val="none"/>
              <w:lang w:val="en-US" w:eastAsia="zh-CN"/>
            </w:rPr>
            <w:t>九</w:t>
          </w:r>
          <w:r>
            <w:rPr>
              <w:rFonts w:hint="eastAsia" w:ascii="楷体" w:hAnsi="楷体" w:eastAsia="楷体" w:cs="楷体"/>
              <w:bCs/>
              <w:sz w:val="24"/>
              <w:szCs w:val="24"/>
              <w:highlight w:val="none"/>
            </w:rPr>
            <w:t>、</w:t>
          </w:r>
          <w:r>
            <w:rPr>
              <w:rFonts w:hint="eastAsia" w:ascii="楷体" w:hAnsi="楷体" w:eastAsia="楷体" w:cs="楷体"/>
              <w:bCs/>
              <w:sz w:val="24"/>
              <w:szCs w:val="24"/>
              <w:highlight w:val="none"/>
              <w:lang w:val="en-US" w:eastAsia="zh-CN"/>
            </w:rPr>
            <w:t>附件</w:t>
          </w:r>
          <w:r>
            <w:rPr>
              <w:sz w:val="24"/>
              <w:szCs w:val="24"/>
            </w:rPr>
            <w:tab/>
          </w:r>
          <w:r>
            <w:rPr>
              <w:sz w:val="24"/>
              <w:szCs w:val="24"/>
            </w:rPr>
            <w:fldChar w:fldCharType="begin"/>
          </w:r>
          <w:r>
            <w:rPr>
              <w:sz w:val="24"/>
              <w:szCs w:val="24"/>
            </w:rPr>
            <w:instrText xml:space="preserve"> PAGEREF _Toc1203 \h </w:instrText>
          </w:r>
          <w:r>
            <w:rPr>
              <w:sz w:val="24"/>
              <w:szCs w:val="24"/>
            </w:rPr>
            <w:fldChar w:fldCharType="separate"/>
          </w:r>
          <w:r>
            <w:rPr>
              <w:sz w:val="24"/>
              <w:szCs w:val="24"/>
            </w:rPr>
            <w:t>120</w:t>
          </w:r>
          <w:r>
            <w:rPr>
              <w:sz w:val="24"/>
              <w:szCs w:val="24"/>
            </w:rPr>
            <w:fldChar w:fldCharType="end"/>
          </w:r>
          <w:r>
            <w:rPr>
              <w:rFonts w:hint="eastAsia" w:ascii="楷体" w:hAnsi="楷体" w:eastAsia="楷体" w:cs="楷体"/>
              <w:color w:val="auto"/>
              <w:sz w:val="24"/>
              <w:szCs w:val="24"/>
              <w:highlight w:val="none"/>
            </w:rPr>
            <w:fldChar w:fldCharType="end"/>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楷体" w:hAnsi="楷体" w:eastAsia="楷体" w:cs="楷体"/>
              <w:color w:val="auto"/>
              <w:highlight w:val="none"/>
            </w:rPr>
            <w:sectPr>
              <w:footerReference r:id="rId3" w:type="default"/>
              <w:pgSz w:w="11906" w:h="16838"/>
              <w:pgMar w:top="1417" w:right="1247" w:bottom="1417" w:left="1587" w:header="851" w:footer="992" w:gutter="0"/>
              <w:pgNumType w:fmt="decimal" w:start="1"/>
              <w:cols w:space="0" w:num="1"/>
              <w:docGrid w:type="lines" w:linePitch="312" w:charSpace="0"/>
            </w:sectPr>
          </w:pPr>
          <w:r>
            <w:rPr>
              <w:rFonts w:hint="eastAsia" w:ascii="楷体" w:hAnsi="楷体" w:eastAsia="楷体" w:cs="楷体"/>
              <w:color w:val="auto"/>
              <w:sz w:val="24"/>
              <w:szCs w:val="24"/>
              <w:highlight w:val="none"/>
            </w:rPr>
            <w:fldChar w:fldCharType="end"/>
          </w:r>
        </w:p>
      </w:sdtContent>
    </w:sdt>
    <w:p>
      <w:pPr>
        <w:spacing w:line="360" w:lineRule="auto"/>
        <w:outlineLvl w:val="0"/>
        <w:rPr>
          <w:rFonts w:hint="eastAsia" w:ascii="楷体" w:hAnsi="楷体" w:eastAsia="楷体" w:cs="楷体"/>
          <w:b/>
          <w:bCs/>
          <w:color w:val="auto"/>
          <w:sz w:val="30"/>
          <w:szCs w:val="30"/>
          <w:highlight w:val="none"/>
        </w:rPr>
      </w:pPr>
      <w:bookmarkStart w:id="14" w:name="_Toc11784"/>
      <w:bookmarkStart w:id="15" w:name="_Toc25697"/>
      <w:bookmarkStart w:id="16" w:name="_Toc20272"/>
      <w:bookmarkStart w:id="17" w:name="_Toc21017"/>
      <w:r>
        <w:rPr>
          <w:rFonts w:hint="eastAsia" w:ascii="楷体" w:hAnsi="楷体" w:eastAsia="楷体" w:cs="楷体"/>
          <w:b/>
          <w:bCs/>
          <w:color w:val="auto"/>
          <w:sz w:val="30"/>
          <w:szCs w:val="30"/>
          <w:highlight w:val="none"/>
        </w:rPr>
        <w:t>一、概述</w:t>
      </w:r>
      <w:bookmarkEnd w:id="14"/>
    </w:p>
    <w:p>
      <w:pPr>
        <w:spacing w:line="360" w:lineRule="auto"/>
        <w:ind w:firstLine="562" w:firstLineChars="200"/>
        <w:outlineLvl w:val="1"/>
        <w:rPr>
          <w:rFonts w:hint="eastAsia" w:ascii="楷体" w:hAnsi="楷体" w:eastAsia="楷体" w:cs="楷体"/>
          <w:b/>
          <w:bCs/>
          <w:color w:val="auto"/>
          <w:sz w:val="28"/>
          <w:szCs w:val="28"/>
          <w:highlight w:val="none"/>
        </w:rPr>
      </w:pPr>
      <w:bookmarkStart w:id="18" w:name="_Toc2729"/>
      <w:r>
        <w:rPr>
          <w:rFonts w:hint="eastAsia" w:ascii="楷体" w:hAnsi="楷体" w:eastAsia="楷体" w:cs="楷体"/>
          <w:b/>
          <w:bCs/>
          <w:color w:val="auto"/>
          <w:sz w:val="28"/>
          <w:szCs w:val="28"/>
          <w:highlight w:val="none"/>
        </w:rPr>
        <w:t>（一）项目概述</w:t>
      </w:r>
      <w:bookmarkEnd w:id="18"/>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kern w:val="0"/>
          <w:sz w:val="28"/>
          <w:szCs w:val="28"/>
          <w:highlight w:val="none"/>
        </w:rPr>
        <w:t>为进一步加强和改进征地管理，规范</w:t>
      </w:r>
      <w:r>
        <w:rPr>
          <w:rFonts w:hint="eastAsia" w:ascii="楷体" w:hAnsi="楷体" w:eastAsia="楷体" w:cs="楷体"/>
          <w:color w:val="auto"/>
          <w:kern w:val="0"/>
          <w:sz w:val="28"/>
          <w:szCs w:val="28"/>
          <w:highlight w:val="none"/>
          <w:lang w:eastAsia="zh-CN"/>
        </w:rPr>
        <w:t>盘龙区</w:t>
      </w:r>
      <w:r>
        <w:rPr>
          <w:rFonts w:hint="eastAsia" w:ascii="楷体" w:hAnsi="楷体" w:eastAsia="楷体" w:cs="楷体"/>
          <w:color w:val="auto"/>
          <w:kern w:val="0"/>
          <w:sz w:val="28"/>
          <w:szCs w:val="28"/>
          <w:highlight w:val="none"/>
        </w:rPr>
        <w:t>地上附着物和青苗补偿标准制定工作，维护被征地农民和农村集体经济组织合法权益，实现地上附着物和青苗补偿标准的规范统一，切实提高地上附着物和青苗补偿标准的科学性、合理性、可行性，根据《中华人民共和国土地管理法》等有关法律、法规、规范性文件和技术标准，结合</w:t>
      </w:r>
      <w:r>
        <w:rPr>
          <w:rFonts w:hint="eastAsia" w:ascii="楷体" w:hAnsi="楷体" w:eastAsia="楷体" w:cs="楷体"/>
          <w:color w:val="auto"/>
          <w:kern w:val="0"/>
          <w:sz w:val="28"/>
          <w:szCs w:val="28"/>
          <w:highlight w:val="none"/>
          <w:lang w:eastAsia="zh-CN"/>
        </w:rPr>
        <w:t>盘龙区</w:t>
      </w:r>
      <w:r>
        <w:rPr>
          <w:rFonts w:hint="eastAsia" w:ascii="楷体" w:hAnsi="楷体" w:eastAsia="楷体" w:cs="楷体"/>
          <w:color w:val="auto"/>
          <w:kern w:val="0"/>
          <w:sz w:val="28"/>
          <w:szCs w:val="28"/>
          <w:highlight w:val="none"/>
        </w:rPr>
        <w:t>实际情况，在广泛调查研究、征求意见、</w:t>
      </w:r>
      <w:r>
        <w:rPr>
          <w:rFonts w:hint="eastAsia" w:ascii="楷体" w:hAnsi="楷体" w:eastAsia="楷体" w:cs="楷体"/>
          <w:color w:val="auto"/>
          <w:sz w:val="28"/>
          <w:szCs w:val="28"/>
          <w:highlight w:val="none"/>
        </w:rPr>
        <w:t>总结经验、分析问题</w:t>
      </w:r>
      <w:r>
        <w:rPr>
          <w:rFonts w:hint="eastAsia" w:ascii="楷体" w:hAnsi="楷体" w:eastAsia="楷体" w:cs="楷体"/>
          <w:color w:val="auto"/>
          <w:kern w:val="0"/>
          <w:sz w:val="28"/>
          <w:szCs w:val="28"/>
          <w:highlight w:val="none"/>
        </w:rPr>
        <w:t>的基础之上，</w:t>
      </w:r>
      <w:r>
        <w:rPr>
          <w:rFonts w:hint="eastAsia" w:ascii="楷体" w:hAnsi="楷体" w:eastAsia="楷体" w:cs="楷体"/>
          <w:color w:val="auto"/>
          <w:sz w:val="28"/>
          <w:szCs w:val="28"/>
          <w:highlight w:val="none"/>
        </w:rPr>
        <w:t>全面制定</w:t>
      </w:r>
      <w:r>
        <w:rPr>
          <w:rFonts w:hint="eastAsia" w:ascii="楷体" w:hAnsi="楷体" w:eastAsia="楷体" w:cs="楷体"/>
          <w:color w:val="auto"/>
          <w:sz w:val="28"/>
          <w:szCs w:val="28"/>
          <w:highlight w:val="none"/>
          <w:lang w:eastAsia="zh-CN"/>
        </w:rPr>
        <w:t>盘龙区</w:t>
      </w:r>
      <w:r>
        <w:rPr>
          <w:rFonts w:hint="eastAsia" w:ascii="楷体" w:hAnsi="楷体" w:eastAsia="楷体" w:cs="楷体"/>
          <w:color w:val="auto"/>
          <w:sz w:val="28"/>
          <w:szCs w:val="28"/>
          <w:highlight w:val="none"/>
        </w:rPr>
        <w:t>地上附着物和青苗补偿标准，为</w:t>
      </w:r>
      <w:r>
        <w:rPr>
          <w:rFonts w:hint="eastAsia" w:ascii="楷体" w:hAnsi="楷体" w:eastAsia="楷体" w:cs="楷体"/>
          <w:color w:val="auto"/>
          <w:sz w:val="28"/>
          <w:szCs w:val="28"/>
          <w:highlight w:val="none"/>
          <w:lang w:eastAsia="zh-CN"/>
        </w:rPr>
        <w:t>盘龙区</w:t>
      </w:r>
      <w:r>
        <w:rPr>
          <w:rFonts w:hint="eastAsia" w:ascii="楷体" w:hAnsi="楷体" w:eastAsia="楷体" w:cs="楷体"/>
          <w:color w:val="auto"/>
          <w:sz w:val="28"/>
          <w:szCs w:val="28"/>
          <w:highlight w:val="none"/>
        </w:rPr>
        <w:t>征地补偿提供依据。</w:t>
      </w:r>
    </w:p>
    <w:p>
      <w:pPr>
        <w:spacing w:line="360" w:lineRule="auto"/>
        <w:ind w:firstLine="562" w:firstLineChars="200"/>
        <w:outlineLvl w:val="1"/>
        <w:rPr>
          <w:rFonts w:hint="eastAsia" w:ascii="楷体" w:hAnsi="楷体" w:eastAsia="楷体" w:cs="楷体"/>
          <w:b/>
          <w:bCs/>
          <w:color w:val="auto"/>
          <w:sz w:val="28"/>
          <w:szCs w:val="28"/>
          <w:highlight w:val="none"/>
        </w:rPr>
      </w:pPr>
      <w:bookmarkStart w:id="19" w:name="_Toc17875"/>
      <w:r>
        <w:rPr>
          <w:rFonts w:hint="eastAsia" w:ascii="楷体" w:hAnsi="楷体" w:eastAsia="楷体" w:cs="楷体"/>
          <w:b/>
          <w:bCs/>
          <w:color w:val="auto"/>
          <w:sz w:val="28"/>
          <w:szCs w:val="28"/>
          <w:highlight w:val="none"/>
        </w:rPr>
        <w:t>（二）项目背景</w:t>
      </w:r>
      <w:bookmarkEnd w:id="19"/>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按照《土地管理法》四十八条规定“征收农用地的土地补偿费、安置补助费标准由省、自治区、直辖市通过制定公布区片综合地价确定。征收农用地以外的其他土地、地上附着物和青苗等的补偿标准，由省、自治区、直辖市制定”。云南省征收农用地区片综合地价已于2020年11月9日经省人民政府同意并公布实施，而现行的地上附着物和青苗补偿均由单个项目负责单位自行制定并公布实施，昆明市盘龙区人民政府办公室关于印发《盘龙区宝云片区小窑村城中村改造项目集体土地征地拆迁补偿安置方案》的通知（盘政办通〔2019〕121号）、昆明市盘龙区人民政府办公室关于印发《盘龙区长地埂村城中村改造项目集体土地征地拆迁补偿安置方案》的通知（盘政办通〔2020〕23号）、盘龙区人民政府金辰街道办事处关于《盘龙区金刀营村城中村改造项目集体土地上房屋征地拆迁补偿安置方案》的公告、昆明市盘龙区人民政府办公室关于印发《盘龙区青云、龙泉、茨坝、双龙街道等片区建设项目涉及临时用地等补偿实施细则（试行）的通知》（盘政办通〔2018〕129号）、昆明市盘龙区人民政府办公室关于印发《滇中饮水工程盘龙段征地拆迁补偿实施方案的通知》（盘政办通〔2018〕128号）。从盘龙区现有的已实施的补偿方案</w:t>
      </w:r>
      <w:r>
        <w:rPr>
          <w:rFonts w:hint="eastAsia" w:ascii="楷体" w:hAnsi="楷体" w:eastAsia="楷体" w:cs="楷体"/>
          <w:color w:val="auto"/>
          <w:sz w:val="28"/>
          <w:szCs w:val="28"/>
          <w:highlight w:val="none"/>
          <w:lang w:val="en-US" w:eastAsia="zh-CN"/>
        </w:rPr>
        <w:t>案例</w:t>
      </w:r>
      <w:r>
        <w:rPr>
          <w:rFonts w:hint="eastAsia" w:ascii="楷体" w:hAnsi="楷体" w:eastAsia="楷体" w:cs="楷体"/>
          <w:color w:val="auto"/>
          <w:sz w:val="28"/>
          <w:szCs w:val="28"/>
          <w:highlight w:val="none"/>
        </w:rPr>
        <w:t>来看，补偿方案的制定基本上依据《昆明市人民政府办公厅关于印发昆明市集体土地上房屋拆迁补偿安置指导意见的通知》（昆政办〔2015〕103号）、《昆明市人民政府办公厅关于印发昆明市城市更新改造管理办法的通知》（昆政办〔2015〕33号）、《昆明市人民政府办公厅关于印发昆明市城市更新改造土地补偿指导意见的通知》（昆政办〔2015〕34号）、《昆明市人民政府办公厅关于印发昆明市城市更新改造管理办法实施细则的通知》（昆政办〔2015〕37号）等文件制定。从现有补偿标准实施案例来看，各项目之间补偿标准不统一，不同项目之间补偿差异大；补偿费用多种多样形式各异。在进行盘龙区地上附着物青苗补偿标准制定的前期调研工作中，工作人员了解到盘龙区地上附着物青苗补偿没有统一的补偿标准，从已有案例可以看出，补偿标准的制定存在很大的主观能动性，随意性较大。从补偿标准的内容来看，补偿标准部分缺失，为振兴乡村发展，提高农民生活水平，在保证粮食产量稳定的前提下，对农业生产结构进行了调整，新增部分收益高的农作物；从补偿标准的形式看，根据《云南省地上附着物和青苗补偿标准制定技术指南（试行稿）》（以下简称“技术指南”）相关技术要求，盘龙区现行补偿标准形式与技术指南存在差异；从补偿标准的合法性看，地上附着物和青苗补偿标准应由省级人民政府批准并公布实施。</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按照《云南省自然资源厅关于开展地上附着物和青苗补偿标准制定工作的通知》（云自然资审批〔2021〕370号）的要求，为进一步完善昆明市盘龙区征地补偿机制、提高征地管理工作透明度、促进经济社会高质量发展和维护社会稳定，实现与征收农用地区片综合地价配套实施，确实维护被征地农民和农村集体经济组织合法权益。报经区委、区政府政府同意，于2021年9月初全面启动昆明市盘龙区地上附着物和青苗补偿标准测算工作。</w:t>
      </w:r>
    </w:p>
    <w:p>
      <w:pPr>
        <w:spacing w:line="360" w:lineRule="auto"/>
        <w:ind w:firstLine="562" w:firstLineChars="200"/>
        <w:outlineLvl w:val="1"/>
        <w:rPr>
          <w:rFonts w:hint="eastAsia" w:ascii="楷体" w:hAnsi="楷体" w:eastAsia="楷体" w:cs="楷体"/>
          <w:b/>
          <w:bCs/>
          <w:color w:val="auto"/>
          <w:sz w:val="28"/>
          <w:szCs w:val="28"/>
          <w:highlight w:val="none"/>
        </w:rPr>
      </w:pPr>
      <w:bookmarkStart w:id="20" w:name="_Toc14112"/>
      <w:r>
        <w:rPr>
          <w:rFonts w:hint="eastAsia" w:ascii="楷体" w:hAnsi="楷体" w:eastAsia="楷体" w:cs="楷体"/>
          <w:b/>
          <w:bCs/>
          <w:color w:val="auto"/>
          <w:sz w:val="28"/>
          <w:szCs w:val="28"/>
          <w:highlight w:val="none"/>
        </w:rPr>
        <w:t>（三）工作目的</w:t>
      </w:r>
      <w:bookmarkEnd w:id="20"/>
    </w:p>
    <w:p>
      <w:pPr>
        <w:spacing w:line="360" w:lineRule="auto"/>
        <w:ind w:firstLine="560" w:firstLineChars="200"/>
        <w:outlineLvl w:val="9"/>
        <w:rPr>
          <w:rFonts w:hint="eastAsia" w:ascii="楷体" w:hAnsi="楷体" w:eastAsia="楷体" w:cs="楷体"/>
          <w:b/>
          <w:bCs/>
          <w:color w:val="auto"/>
          <w:sz w:val="28"/>
          <w:szCs w:val="28"/>
          <w:highlight w:val="none"/>
        </w:rPr>
      </w:pPr>
      <w:r>
        <w:rPr>
          <w:rFonts w:hint="eastAsia" w:ascii="楷体" w:hAnsi="楷体" w:eastAsia="楷体" w:cs="楷体"/>
          <w:color w:val="auto"/>
          <w:sz w:val="28"/>
          <w:szCs w:val="28"/>
          <w:highlight w:val="none"/>
        </w:rPr>
        <w:t>通过开展地上附着物和青苗补偿标准实施情况调查研究，针对盘龙区地上附着物青苗补偿标准执行过程中存在的主要问题，结合经济发展水平、物价指数、种植结构等情况的发展变化情况，有针对性、科学合理测算价格，同时按要求做好听证论证和社会稳定风险评估工作，确保新制定的补偿标准符合法律法规和相关技术标准，并与现行的补偿标准相互衔接，为实际征地补偿工作提供依据。</w:t>
      </w:r>
    </w:p>
    <w:p>
      <w:pPr>
        <w:spacing w:line="360" w:lineRule="auto"/>
        <w:ind w:firstLine="562" w:firstLineChars="200"/>
        <w:outlineLvl w:val="1"/>
        <w:rPr>
          <w:rFonts w:hint="eastAsia" w:ascii="楷体" w:hAnsi="楷体" w:eastAsia="楷体" w:cs="楷体"/>
          <w:b/>
          <w:bCs/>
          <w:color w:val="auto"/>
          <w:sz w:val="28"/>
          <w:szCs w:val="28"/>
          <w:highlight w:val="none"/>
        </w:rPr>
      </w:pPr>
      <w:bookmarkStart w:id="21" w:name="_Toc30988"/>
      <w:r>
        <w:rPr>
          <w:rFonts w:hint="eastAsia" w:ascii="楷体" w:hAnsi="楷体" w:eastAsia="楷体" w:cs="楷体"/>
          <w:b/>
          <w:bCs/>
          <w:color w:val="auto"/>
          <w:sz w:val="28"/>
          <w:szCs w:val="28"/>
          <w:highlight w:val="none"/>
        </w:rPr>
        <w:t>（四）编制原则</w:t>
      </w:r>
      <w:bookmarkEnd w:id="21"/>
    </w:p>
    <w:p>
      <w:pPr>
        <w:spacing w:line="360" w:lineRule="auto"/>
        <w:ind w:firstLine="562" w:firstLineChars="200"/>
        <w:outlineLvl w:val="2"/>
        <w:rPr>
          <w:rFonts w:hint="eastAsia" w:ascii="楷体" w:hAnsi="楷体" w:eastAsia="楷体" w:cs="楷体"/>
          <w:b/>
          <w:bCs/>
          <w:color w:val="auto"/>
          <w:sz w:val="28"/>
          <w:szCs w:val="28"/>
          <w:highlight w:val="none"/>
        </w:rPr>
      </w:pPr>
      <w:bookmarkStart w:id="22" w:name="_Toc14143"/>
      <w:bookmarkStart w:id="23" w:name="_Toc71613681"/>
      <w:bookmarkStart w:id="24" w:name="_Toc22433"/>
      <w:bookmarkStart w:id="25" w:name="_Toc67645690"/>
      <w:bookmarkStart w:id="26" w:name="_Toc82589701"/>
      <w:bookmarkStart w:id="27" w:name="_Toc22728"/>
      <w:bookmarkStart w:id="28" w:name="_Toc6882"/>
      <w:r>
        <w:rPr>
          <w:rFonts w:hint="eastAsia" w:ascii="楷体" w:hAnsi="楷体" w:eastAsia="楷体" w:cs="楷体"/>
          <w:b/>
          <w:bCs/>
          <w:color w:val="auto"/>
          <w:sz w:val="28"/>
          <w:szCs w:val="28"/>
          <w:highlight w:val="none"/>
          <w:lang w:val="en-US" w:eastAsia="zh-CN"/>
        </w:rPr>
        <w:t>1.</w:t>
      </w:r>
      <w:r>
        <w:rPr>
          <w:rFonts w:hint="eastAsia" w:ascii="楷体" w:hAnsi="楷体" w:eastAsia="楷体" w:cs="楷体"/>
          <w:b/>
          <w:bCs/>
          <w:color w:val="auto"/>
          <w:sz w:val="28"/>
          <w:szCs w:val="28"/>
          <w:highlight w:val="none"/>
        </w:rPr>
        <w:t>依法依规、维护权益</w:t>
      </w:r>
      <w:bookmarkEnd w:id="22"/>
      <w:bookmarkEnd w:id="23"/>
      <w:bookmarkEnd w:id="24"/>
      <w:bookmarkEnd w:id="25"/>
      <w:bookmarkEnd w:id="26"/>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制定地上附着物和青苗补偿标准遵循相关法律法规，充分听取有关职能部门、农村集体经济组织、农民群众以及社会各方面意见，补偿标准主动向社会公开，接受公众监督，切实维护农民合法权益。</w:t>
      </w:r>
    </w:p>
    <w:p>
      <w:pPr>
        <w:spacing w:line="360" w:lineRule="auto"/>
        <w:ind w:firstLine="562" w:firstLineChars="200"/>
        <w:outlineLvl w:val="2"/>
        <w:rPr>
          <w:rFonts w:hint="eastAsia" w:ascii="楷体" w:hAnsi="楷体" w:eastAsia="楷体" w:cs="楷体"/>
          <w:b/>
          <w:bCs/>
          <w:color w:val="auto"/>
          <w:sz w:val="28"/>
          <w:szCs w:val="28"/>
          <w:highlight w:val="none"/>
        </w:rPr>
      </w:pPr>
      <w:bookmarkStart w:id="29" w:name="_Toc20943"/>
      <w:bookmarkStart w:id="30" w:name="_Toc82589702"/>
      <w:bookmarkStart w:id="31" w:name="_Toc71613682"/>
      <w:bookmarkStart w:id="32" w:name="_Toc67645691"/>
      <w:bookmarkStart w:id="33" w:name="_Toc24686"/>
      <w:r>
        <w:rPr>
          <w:rFonts w:hint="eastAsia" w:ascii="楷体" w:hAnsi="楷体" w:eastAsia="楷体" w:cs="楷体"/>
          <w:b/>
          <w:bCs/>
          <w:color w:val="auto"/>
          <w:sz w:val="28"/>
          <w:szCs w:val="28"/>
          <w:highlight w:val="none"/>
          <w:lang w:val="en-US" w:eastAsia="zh-CN"/>
        </w:rPr>
        <w:t>2.</w:t>
      </w:r>
      <w:r>
        <w:rPr>
          <w:rFonts w:hint="eastAsia" w:ascii="楷体" w:hAnsi="楷体" w:eastAsia="楷体" w:cs="楷体"/>
          <w:b/>
          <w:bCs/>
          <w:color w:val="auto"/>
          <w:sz w:val="28"/>
          <w:szCs w:val="28"/>
          <w:highlight w:val="none"/>
        </w:rPr>
        <w:t>实事求是、科学测算</w:t>
      </w:r>
      <w:bookmarkEnd w:id="29"/>
      <w:bookmarkEnd w:id="30"/>
      <w:bookmarkEnd w:id="31"/>
      <w:bookmarkEnd w:id="32"/>
      <w:bookmarkEnd w:id="33"/>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补偿标准测算需充分调查、合理采样，确保基础资料真实可靠。其中，地上附着物补偿标准测算主要考虑区域内经济社会发展水平、物价指数、GDP增长等因素；青苗补偿标准测算主要考虑区域内土地资源条件、利用水平和农作物产值变化等因素科学测算。</w:t>
      </w:r>
    </w:p>
    <w:p>
      <w:pPr>
        <w:spacing w:line="360" w:lineRule="auto"/>
        <w:ind w:firstLine="562" w:firstLineChars="200"/>
        <w:outlineLvl w:val="2"/>
        <w:rPr>
          <w:rFonts w:hint="eastAsia" w:ascii="楷体" w:hAnsi="楷体" w:eastAsia="楷体" w:cs="楷体"/>
          <w:b/>
          <w:bCs/>
          <w:color w:val="auto"/>
          <w:sz w:val="28"/>
          <w:szCs w:val="28"/>
          <w:highlight w:val="none"/>
        </w:rPr>
      </w:pPr>
      <w:bookmarkStart w:id="34" w:name="_Toc71613683"/>
      <w:bookmarkStart w:id="35" w:name="_Toc10875"/>
      <w:bookmarkStart w:id="36" w:name="_Toc31064"/>
      <w:bookmarkStart w:id="37" w:name="_Toc67645692"/>
      <w:bookmarkStart w:id="38" w:name="_Toc82589703"/>
      <w:r>
        <w:rPr>
          <w:rFonts w:hint="eastAsia" w:ascii="楷体" w:hAnsi="楷体" w:eastAsia="楷体" w:cs="楷体"/>
          <w:b/>
          <w:bCs/>
          <w:color w:val="auto"/>
          <w:sz w:val="28"/>
          <w:szCs w:val="28"/>
          <w:highlight w:val="none"/>
          <w:lang w:val="en-US" w:eastAsia="zh-CN"/>
        </w:rPr>
        <w:t>3.</w:t>
      </w:r>
      <w:r>
        <w:rPr>
          <w:rFonts w:hint="eastAsia" w:ascii="楷体" w:hAnsi="楷体" w:eastAsia="楷体" w:cs="楷体"/>
          <w:b/>
          <w:bCs/>
          <w:color w:val="auto"/>
          <w:sz w:val="28"/>
          <w:szCs w:val="28"/>
          <w:highlight w:val="none"/>
        </w:rPr>
        <w:t>协调平衡、充分衔接</w:t>
      </w:r>
      <w:bookmarkEnd w:id="34"/>
      <w:bookmarkEnd w:id="35"/>
      <w:bookmarkEnd w:id="36"/>
      <w:bookmarkEnd w:id="37"/>
      <w:bookmarkEnd w:id="38"/>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制定地上附着物和青苗补偿标准，相邻区域之间应相互平衡，确保补偿标准价差合理。同时，制定的补偿标准要符合实际情况、与经济社会发展水平相适应、与现行补偿水平充分衔接。</w:t>
      </w:r>
    </w:p>
    <w:p>
      <w:pPr>
        <w:spacing w:line="360" w:lineRule="auto"/>
        <w:ind w:firstLine="562" w:firstLineChars="200"/>
        <w:outlineLvl w:val="2"/>
        <w:rPr>
          <w:rFonts w:hint="eastAsia" w:ascii="楷体" w:hAnsi="楷体" w:eastAsia="楷体" w:cs="楷体"/>
          <w:b/>
          <w:bCs/>
          <w:color w:val="auto"/>
          <w:sz w:val="28"/>
          <w:szCs w:val="28"/>
          <w:highlight w:val="none"/>
        </w:rPr>
      </w:pPr>
      <w:bookmarkStart w:id="39" w:name="_Toc67645693"/>
      <w:bookmarkStart w:id="40" w:name="_Toc71613684"/>
      <w:bookmarkStart w:id="41" w:name="_Toc880"/>
      <w:bookmarkStart w:id="42" w:name="_Toc26806"/>
      <w:bookmarkStart w:id="43" w:name="_Toc82589704"/>
      <w:r>
        <w:rPr>
          <w:rFonts w:hint="eastAsia" w:ascii="楷体" w:hAnsi="楷体" w:eastAsia="楷体" w:cs="楷体"/>
          <w:b/>
          <w:bCs/>
          <w:color w:val="auto"/>
          <w:sz w:val="28"/>
          <w:szCs w:val="28"/>
          <w:highlight w:val="none"/>
          <w:lang w:val="en-US" w:eastAsia="zh-CN"/>
        </w:rPr>
        <w:t>4.</w:t>
      </w:r>
      <w:r>
        <w:rPr>
          <w:rFonts w:hint="eastAsia" w:ascii="楷体" w:hAnsi="楷体" w:eastAsia="楷体" w:cs="楷体"/>
          <w:b/>
          <w:bCs/>
          <w:color w:val="auto"/>
          <w:sz w:val="28"/>
          <w:szCs w:val="28"/>
          <w:highlight w:val="none"/>
        </w:rPr>
        <w:t>定量评价</w:t>
      </w:r>
      <w:bookmarkEnd w:id="39"/>
      <w:bookmarkEnd w:id="40"/>
      <w:r>
        <w:rPr>
          <w:rFonts w:hint="eastAsia" w:ascii="楷体" w:hAnsi="楷体" w:eastAsia="楷体" w:cs="楷体"/>
          <w:b/>
          <w:bCs/>
          <w:color w:val="auto"/>
          <w:sz w:val="28"/>
          <w:szCs w:val="28"/>
          <w:highlight w:val="none"/>
        </w:rPr>
        <w:t>、定性分析</w:t>
      </w:r>
      <w:bookmarkEnd w:id="41"/>
      <w:bookmarkEnd w:id="42"/>
      <w:bookmarkEnd w:id="43"/>
    </w:p>
    <w:p>
      <w:pPr>
        <w:spacing w:line="360" w:lineRule="auto"/>
        <w:ind w:firstLine="560" w:firstLineChars="200"/>
        <w:rPr>
          <w:rFonts w:hint="eastAsia" w:ascii="楷体" w:hAnsi="楷体" w:eastAsia="楷体" w:cs="楷体"/>
          <w:color w:val="auto"/>
          <w:sz w:val="28"/>
          <w:szCs w:val="28"/>
          <w:highlight w:val="none"/>
        </w:rPr>
      </w:pPr>
      <w:bookmarkStart w:id="44" w:name="_Hlk67159564"/>
      <w:r>
        <w:rPr>
          <w:rFonts w:hint="eastAsia" w:ascii="楷体" w:hAnsi="楷体" w:eastAsia="楷体" w:cs="楷体"/>
          <w:color w:val="auto"/>
          <w:sz w:val="28"/>
          <w:szCs w:val="28"/>
          <w:highlight w:val="none"/>
        </w:rPr>
        <w:t>制定地上附着物和青苗补偿标准</w:t>
      </w:r>
      <w:bookmarkEnd w:id="44"/>
      <w:r>
        <w:rPr>
          <w:rFonts w:hint="eastAsia" w:ascii="楷体" w:hAnsi="楷体" w:eastAsia="楷体" w:cs="楷体"/>
          <w:color w:val="auto"/>
          <w:sz w:val="28"/>
          <w:szCs w:val="28"/>
          <w:highlight w:val="none"/>
        </w:rPr>
        <w:t>，以定量评价为主，对现阶段难以定量的自然、经济社会等因素采用必要的定性分析，以提高成果的准确性。</w:t>
      </w:r>
    </w:p>
    <w:p>
      <w:pPr>
        <w:spacing w:line="360" w:lineRule="auto"/>
        <w:ind w:firstLine="562" w:firstLineChars="200"/>
        <w:outlineLvl w:val="1"/>
        <w:rPr>
          <w:rFonts w:hint="eastAsia" w:ascii="楷体" w:hAnsi="楷体" w:eastAsia="楷体" w:cs="楷体"/>
          <w:b/>
          <w:bCs/>
          <w:color w:val="auto"/>
          <w:sz w:val="28"/>
          <w:szCs w:val="28"/>
          <w:highlight w:val="none"/>
        </w:rPr>
      </w:pPr>
      <w:bookmarkStart w:id="45" w:name="_Toc20813"/>
      <w:r>
        <w:rPr>
          <w:rFonts w:hint="eastAsia" w:ascii="楷体" w:hAnsi="楷体" w:eastAsia="楷体" w:cs="楷体"/>
          <w:b/>
          <w:bCs/>
          <w:color w:val="auto"/>
          <w:sz w:val="28"/>
          <w:szCs w:val="28"/>
          <w:highlight w:val="none"/>
        </w:rPr>
        <w:t>（五）编制依据</w:t>
      </w:r>
      <w:bookmarkEnd w:id="45"/>
    </w:p>
    <w:p>
      <w:pPr>
        <w:spacing w:line="360" w:lineRule="auto"/>
        <w:ind w:firstLine="562" w:firstLineChars="200"/>
        <w:outlineLvl w:val="2"/>
        <w:rPr>
          <w:rFonts w:hint="eastAsia" w:ascii="楷体" w:hAnsi="楷体" w:eastAsia="楷体" w:cs="楷体"/>
          <w:b/>
          <w:bCs/>
          <w:color w:val="auto"/>
          <w:sz w:val="28"/>
          <w:szCs w:val="28"/>
          <w:highlight w:val="none"/>
        </w:rPr>
      </w:pPr>
      <w:bookmarkStart w:id="46" w:name="_Toc291575754"/>
      <w:bookmarkStart w:id="47" w:name="_Toc82589697"/>
      <w:bookmarkStart w:id="48" w:name="_Toc27646"/>
      <w:bookmarkStart w:id="49" w:name="_Toc67645686"/>
      <w:bookmarkStart w:id="50" w:name="_Toc20743"/>
      <w:bookmarkStart w:id="51" w:name="_Toc23309"/>
      <w:bookmarkStart w:id="52" w:name="_Toc433803864"/>
      <w:bookmarkStart w:id="53" w:name="_Toc26483"/>
      <w:bookmarkStart w:id="54" w:name="_Toc29818076"/>
      <w:bookmarkStart w:id="55" w:name="_Toc1127"/>
      <w:r>
        <w:rPr>
          <w:rFonts w:hint="eastAsia" w:ascii="楷体" w:hAnsi="楷体" w:eastAsia="楷体" w:cs="楷体"/>
          <w:b/>
          <w:bCs/>
          <w:color w:val="auto"/>
          <w:sz w:val="28"/>
          <w:szCs w:val="28"/>
          <w:highlight w:val="none"/>
          <w:lang w:val="en-US" w:eastAsia="zh-CN"/>
        </w:rPr>
        <w:t>1.</w:t>
      </w:r>
      <w:r>
        <w:rPr>
          <w:rFonts w:hint="eastAsia" w:ascii="楷体" w:hAnsi="楷体" w:eastAsia="楷体" w:cs="楷体"/>
          <w:b/>
          <w:bCs/>
          <w:color w:val="auto"/>
          <w:sz w:val="28"/>
          <w:szCs w:val="28"/>
          <w:highlight w:val="none"/>
        </w:rPr>
        <w:t>法律法规</w:t>
      </w:r>
      <w:bookmarkEnd w:id="46"/>
      <w:bookmarkEnd w:id="47"/>
      <w:bookmarkEnd w:id="48"/>
      <w:bookmarkEnd w:id="49"/>
      <w:bookmarkEnd w:id="50"/>
      <w:bookmarkEnd w:id="51"/>
      <w:bookmarkEnd w:id="52"/>
      <w:bookmarkEnd w:id="53"/>
      <w:bookmarkEnd w:id="54"/>
      <w:bookmarkEnd w:id="55"/>
    </w:p>
    <w:p>
      <w:pPr>
        <w:spacing w:line="360" w:lineRule="auto"/>
        <w:ind w:firstLine="560" w:firstLineChars="200"/>
        <w:rPr>
          <w:rFonts w:hint="eastAsia" w:ascii="楷体" w:hAnsi="楷体" w:eastAsia="楷体" w:cs="楷体"/>
          <w:color w:val="auto"/>
          <w:sz w:val="28"/>
          <w:szCs w:val="28"/>
          <w:highlight w:val="none"/>
        </w:rPr>
      </w:pPr>
      <w:bookmarkStart w:id="56" w:name="_Toc67645687"/>
      <w:bookmarkStart w:id="57" w:name="_Toc26668"/>
      <w:bookmarkStart w:id="58" w:name="_Toc291575755"/>
      <w:bookmarkStart w:id="59" w:name="_Toc433803865"/>
      <w:r>
        <w:rPr>
          <w:rFonts w:hint="eastAsia" w:ascii="楷体" w:hAnsi="楷体" w:eastAsia="楷体" w:cs="楷体"/>
          <w:color w:val="auto"/>
          <w:sz w:val="28"/>
          <w:szCs w:val="28"/>
          <w:highlight w:val="none"/>
        </w:rPr>
        <w:t>1.《中华人民共和国民法典》；</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2.《中华人民共和国土地管理法》（2019年修正版）；</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3.《中华人民共和国森林法》（2019年修订版）；</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4.《中华人民共和国城市房地产管理法》（2019年修正版）；</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5.《中华人民共和国城乡规划法》（2019年修正版）；</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6.《中华人民共和国资产评估法》（2016年修正版）；</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7.《云南省重大行政决策程序规定》（云南省人民政府令第217号）；</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8.《云南省林地管理办法》（云南省人民政府令第43号）。</w:t>
      </w:r>
    </w:p>
    <w:p>
      <w:pPr>
        <w:spacing w:line="360" w:lineRule="auto"/>
        <w:ind w:firstLine="562" w:firstLineChars="200"/>
        <w:outlineLvl w:val="2"/>
        <w:rPr>
          <w:rFonts w:hint="eastAsia" w:ascii="楷体" w:hAnsi="楷体" w:eastAsia="楷体" w:cs="楷体"/>
          <w:b/>
          <w:bCs/>
          <w:color w:val="auto"/>
          <w:sz w:val="28"/>
          <w:szCs w:val="28"/>
          <w:highlight w:val="none"/>
        </w:rPr>
      </w:pPr>
      <w:bookmarkStart w:id="60" w:name="_Toc11199"/>
      <w:bookmarkStart w:id="61" w:name="_Toc82589698"/>
      <w:bookmarkStart w:id="62" w:name="_Toc30855"/>
      <w:r>
        <w:rPr>
          <w:rFonts w:hint="eastAsia" w:ascii="楷体" w:hAnsi="楷体" w:eastAsia="楷体" w:cs="楷体"/>
          <w:b/>
          <w:bCs/>
          <w:color w:val="auto"/>
          <w:sz w:val="28"/>
          <w:szCs w:val="28"/>
          <w:highlight w:val="none"/>
          <w:lang w:val="en-US" w:eastAsia="zh-CN"/>
        </w:rPr>
        <w:t>2.</w:t>
      </w:r>
      <w:r>
        <w:rPr>
          <w:rFonts w:hint="eastAsia" w:ascii="楷体" w:hAnsi="楷体" w:eastAsia="楷体" w:cs="楷体"/>
          <w:b/>
          <w:bCs/>
          <w:color w:val="auto"/>
          <w:sz w:val="28"/>
          <w:szCs w:val="28"/>
          <w:highlight w:val="none"/>
        </w:rPr>
        <w:t>政策文件</w:t>
      </w:r>
      <w:bookmarkEnd w:id="56"/>
      <w:bookmarkEnd w:id="57"/>
      <w:bookmarkEnd w:id="60"/>
      <w:bookmarkEnd w:id="61"/>
      <w:bookmarkEnd w:id="62"/>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1.《自然资源部办公厅关于新&lt;土地管理法&gt;实施后在审建设项目用地审查报批有关问题的通知》（自然资办函﹝2020﹞328号）；</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2.《云南省人民政府关于印发云南省被征地农民基本养老保障试行办法的通知》（云政发〔2008〕226号）；</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3.《云南省人民政府办公厅关于改革完善被征地农民基本养老保障的指导意见》（云政办发〔2019〕1号）；</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4.《云南省农村住房建设管理办法》（2011年1月1日起实施）；</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5.《云南省建设工程造价计价标准（2020版）》（云建科〔2021〕15号）；</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6.《云南省自然资源厅关于公布实施全省征收农用地区片综合地价的通知》（云自然资〔2020〕173号）；</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7.《云南省自然资源厅关于做好建设项目申请征收土地前期工作相关事宜的通知》（云自然资审批〔2020〕203号）；</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8.《昆明市人民政府办公厅关于印发昆明市集体土地上房屋拆迁补偿安置指导意见的通知》（昆政办〔2015〕103号）。</w:t>
      </w:r>
    </w:p>
    <w:p>
      <w:pPr>
        <w:pStyle w:val="18"/>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9.《云南省地上附着物和青苗补偿标准制定技术指南（试行稿）》；</w:t>
      </w:r>
    </w:p>
    <w:p>
      <w:pPr>
        <w:pStyle w:val="18"/>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10.《云南省地上附着物和青苗补偿标准制定工作方案》；</w:t>
      </w:r>
    </w:p>
    <w:p>
      <w:pPr>
        <w:pStyle w:val="18"/>
        <w:ind w:firstLine="560"/>
        <w:rPr>
          <w:rFonts w:hint="default"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11.省级指导意见。</w:t>
      </w:r>
    </w:p>
    <w:p>
      <w:pPr>
        <w:pStyle w:val="2"/>
        <w:outlineLvl w:val="9"/>
        <w:rPr>
          <w:rFonts w:hint="default" w:eastAsia="楷体"/>
          <w:lang w:val="en-US" w:eastAsia="zh-CN"/>
        </w:rPr>
      </w:pPr>
    </w:p>
    <w:bookmarkEnd w:id="58"/>
    <w:bookmarkEnd w:id="59"/>
    <w:p>
      <w:pPr>
        <w:spacing w:line="360" w:lineRule="auto"/>
        <w:ind w:firstLine="562" w:firstLineChars="200"/>
        <w:outlineLvl w:val="2"/>
        <w:rPr>
          <w:rFonts w:hint="eastAsia" w:ascii="楷体" w:hAnsi="楷体" w:eastAsia="楷体" w:cs="楷体"/>
          <w:b/>
          <w:bCs/>
          <w:color w:val="auto"/>
          <w:sz w:val="28"/>
          <w:szCs w:val="28"/>
          <w:highlight w:val="none"/>
        </w:rPr>
      </w:pPr>
      <w:bookmarkStart w:id="63" w:name="_Toc18204"/>
      <w:bookmarkStart w:id="64" w:name="_Toc82589699"/>
      <w:bookmarkStart w:id="65" w:name="_Toc15537"/>
      <w:bookmarkStart w:id="66" w:name="_Toc3150"/>
      <w:bookmarkStart w:id="67" w:name="_Toc67645688"/>
      <w:r>
        <w:rPr>
          <w:rFonts w:hint="eastAsia" w:ascii="楷体" w:hAnsi="楷体" w:eastAsia="楷体" w:cs="楷体"/>
          <w:b/>
          <w:bCs/>
          <w:color w:val="auto"/>
          <w:sz w:val="28"/>
          <w:szCs w:val="28"/>
          <w:highlight w:val="none"/>
          <w:lang w:val="en-US" w:eastAsia="zh-CN"/>
        </w:rPr>
        <w:t>3.</w:t>
      </w:r>
      <w:r>
        <w:rPr>
          <w:rFonts w:hint="eastAsia" w:ascii="楷体" w:hAnsi="楷体" w:eastAsia="楷体" w:cs="楷体"/>
          <w:b/>
          <w:bCs/>
          <w:color w:val="auto"/>
          <w:sz w:val="28"/>
          <w:szCs w:val="28"/>
          <w:highlight w:val="none"/>
        </w:rPr>
        <w:t>规程规范</w:t>
      </w:r>
      <w:bookmarkEnd w:id="63"/>
      <w:bookmarkEnd w:id="64"/>
      <w:bookmarkEnd w:id="65"/>
      <w:bookmarkEnd w:id="66"/>
      <w:bookmarkEnd w:id="67"/>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1.《国家重点保护野生植物名录（第一批）》（1999年版）；</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2.《农用地估价规程》（GB/T28406-2012）；</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3.《农用地定级规程》（GB/T28405-2012）；</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4.《农用地质量分等规程》（GB/T28407-2012）；</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5.《房地产估价规范》（GB/T50291-2015）；</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6.《房地产估价基本术语标准》（GB/T50899-2013）；</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7.《土地利用现状分类》（GB/T21010-2017）；</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8.《自然资源价格评估通则》（TD/T 1061-2021）；</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9.《第三次全国土地调查技术规程》（TD/T 1055-2019）；</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10.《国土调查数据库标准》（TD/T 1057-2020）；</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11.《第三次全国国土调查县级数据库建设技术规范》（TD/T 1058-2020）；</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12.《资产评估准则—基本准则》（财资〔2017〕43号）；</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13.《主要树种龄级与龄组划分》（LY/T 2908—2017）；</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14.《自然资源（森林）资产评价技术规范》（LY∕T2735-2016）；</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15.《国家森林资源连续清查技术规定》（2014）；</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16.《云南省森林资源规划设计调查操作细则》（2013年修订）；</w:t>
      </w:r>
    </w:p>
    <w:p>
      <w:pPr>
        <w:numPr>
          <w:ilvl w:val="0"/>
          <w:numId w:val="0"/>
        </w:numPr>
        <w:spacing w:line="360" w:lineRule="auto"/>
        <w:ind w:leftChars="0"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17.《全民所有自然资源资产清查技术指南》（2020年12月4日）。</w:t>
      </w:r>
    </w:p>
    <w:p>
      <w:pPr>
        <w:spacing w:line="360" w:lineRule="auto"/>
        <w:ind w:firstLine="562" w:firstLineChars="200"/>
        <w:outlineLvl w:val="2"/>
        <w:rPr>
          <w:rFonts w:hint="eastAsia" w:ascii="楷体" w:hAnsi="楷体" w:eastAsia="楷体" w:cs="楷体"/>
          <w:b/>
          <w:bCs/>
          <w:color w:val="auto"/>
          <w:sz w:val="28"/>
          <w:szCs w:val="28"/>
          <w:highlight w:val="none"/>
        </w:rPr>
      </w:pPr>
      <w:bookmarkStart w:id="68" w:name="_Toc20138"/>
      <w:bookmarkStart w:id="69" w:name="_Toc1135"/>
      <w:r>
        <w:rPr>
          <w:rFonts w:hint="eastAsia" w:ascii="楷体" w:hAnsi="楷体" w:eastAsia="楷体" w:cs="楷体"/>
          <w:b/>
          <w:bCs/>
          <w:color w:val="auto"/>
          <w:sz w:val="28"/>
          <w:szCs w:val="28"/>
          <w:highlight w:val="none"/>
          <w:lang w:val="en-US" w:eastAsia="zh-CN"/>
        </w:rPr>
        <w:t>4.</w:t>
      </w:r>
      <w:r>
        <w:rPr>
          <w:rFonts w:hint="eastAsia" w:ascii="楷体" w:hAnsi="楷体" w:eastAsia="楷体" w:cs="楷体"/>
          <w:b/>
          <w:bCs/>
          <w:color w:val="auto"/>
          <w:sz w:val="28"/>
          <w:szCs w:val="28"/>
          <w:highlight w:val="none"/>
        </w:rPr>
        <w:t>资料依据</w:t>
      </w:r>
      <w:bookmarkEnd w:id="68"/>
      <w:bookmarkEnd w:id="69"/>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统计年鉴；</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相关经济统计指标调查表；</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国民经济和社会发展统计公报；</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各村委会农业统计报表和农村经济统计报表；</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各乡（镇）的各类农用地面积、农作物播种情况、年亩产量、农产品价格；</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农作物类型资料、主要农作物年产量情况调查表；</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的农业综合统计报表，以行政村为统计单位；</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的农村经济统计报表，以行政村为统计单位；</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城镇居民最低生活保障标准、农村居民最低生活保障标准；</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各类地上附着物的重置价格、区域材料价格信息；</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各结构、各类型地上建构筑物重置价格、建筑材料价格信息；</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征地项目涉及的房屋及附着物拆迁补偿标准价格；</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林业生产、分布情况；</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各乡（镇）的各类林地面积、种植林木类型及名称、单位面积产量、价格以及造林成本资料；</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范围内制定的林木补偿标准；</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第三次全国国土调查数据；</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2019年耕地质量等别更新成果；</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2020年征收农用地区片综合地价成果；</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地上附着物和青苗补偿具体案例及现行标准；</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最新土地变更调查成果；</w:t>
      </w:r>
    </w:p>
    <w:p>
      <w:pPr>
        <w:pStyle w:val="61"/>
        <w:numPr>
          <w:ilvl w:val="0"/>
          <w:numId w:val="7"/>
        </w:numPr>
        <w:spacing w:line="360" w:lineRule="auto"/>
        <w:ind w:left="420" w:leftChars="0" w:firstLineChars="0"/>
        <w:rPr>
          <w:rFonts w:hint="eastAsia" w:ascii="楷体" w:hAnsi="楷体" w:eastAsia="楷体" w:cs="楷体"/>
          <w:color w:val="auto"/>
          <w:sz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近五年征地案例资料；包括征地协议、征地台账（征地位置具体到行政村）；</w:t>
      </w:r>
    </w:p>
    <w:p>
      <w:pPr>
        <w:pStyle w:val="61"/>
        <w:numPr>
          <w:ilvl w:val="0"/>
          <w:numId w:val="7"/>
        </w:numPr>
        <w:spacing w:line="360" w:lineRule="auto"/>
        <w:ind w:left="420" w:leftChars="0" w:firstLineChars="0"/>
        <w:rPr>
          <w:rFonts w:hint="eastAsia" w:ascii="楷体" w:hAnsi="楷体" w:eastAsia="楷体" w:cs="楷体"/>
          <w:color w:val="auto"/>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征地涉及的各项税费及失地农民保障基金文件。</w:t>
      </w:r>
      <w:bookmarkEnd w:id="27"/>
      <w:bookmarkEnd w:id="28"/>
    </w:p>
    <w:p>
      <w:pPr>
        <w:spacing w:line="360" w:lineRule="auto"/>
        <w:ind w:firstLine="562" w:firstLineChars="200"/>
        <w:outlineLvl w:val="1"/>
        <w:rPr>
          <w:rFonts w:hint="eastAsia" w:ascii="楷体" w:hAnsi="楷体" w:eastAsia="楷体" w:cs="楷体"/>
          <w:b/>
          <w:bCs/>
          <w:color w:val="auto"/>
          <w:sz w:val="28"/>
          <w:szCs w:val="28"/>
          <w:highlight w:val="none"/>
        </w:rPr>
      </w:pPr>
      <w:bookmarkStart w:id="70" w:name="_Toc18483"/>
      <w:r>
        <w:rPr>
          <w:rFonts w:hint="eastAsia" w:ascii="楷体" w:hAnsi="楷体" w:eastAsia="楷体" w:cs="楷体"/>
          <w:b/>
          <w:bCs/>
          <w:color w:val="auto"/>
          <w:sz w:val="28"/>
          <w:szCs w:val="28"/>
          <w:highlight w:val="none"/>
        </w:rPr>
        <w:t>（六）概念内涵与工作对象</w:t>
      </w:r>
      <w:bookmarkEnd w:id="70"/>
    </w:p>
    <w:p>
      <w:pPr>
        <w:spacing w:line="360" w:lineRule="auto"/>
        <w:ind w:firstLine="562" w:firstLineChars="200"/>
        <w:outlineLvl w:val="2"/>
        <w:rPr>
          <w:rFonts w:hint="eastAsia" w:ascii="楷体" w:hAnsi="楷体" w:eastAsia="楷体" w:cs="楷体"/>
          <w:b/>
          <w:bCs/>
          <w:color w:val="auto"/>
          <w:kern w:val="0"/>
          <w:sz w:val="28"/>
          <w:szCs w:val="28"/>
          <w:highlight w:val="none"/>
        </w:rPr>
      </w:pPr>
      <w:bookmarkStart w:id="71" w:name="_Toc25822"/>
      <w:bookmarkStart w:id="72" w:name="_Toc3540"/>
      <w:r>
        <w:rPr>
          <w:rFonts w:hint="eastAsia" w:ascii="楷体" w:hAnsi="楷体" w:eastAsia="楷体" w:cs="楷体"/>
          <w:b/>
          <w:bCs/>
          <w:color w:val="auto"/>
          <w:kern w:val="0"/>
          <w:sz w:val="28"/>
          <w:szCs w:val="28"/>
          <w:highlight w:val="none"/>
        </w:rPr>
        <w:t>1.地上附着物和青苗</w:t>
      </w:r>
      <w:bookmarkEnd w:id="71"/>
      <w:bookmarkEnd w:id="72"/>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地上附着物：是指在土地上建造的一切建筑物、构筑物及地上定着物的总称。</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青苗：是指处于生命、发育、生长的最初或相对较早阶段的没有成熟的农作物，主要包括粮食作物、经济作物和蔬菜瓜果类等作物。</w:t>
      </w:r>
    </w:p>
    <w:p>
      <w:pPr>
        <w:spacing w:line="360" w:lineRule="auto"/>
        <w:ind w:firstLine="560" w:firstLineChars="200"/>
        <w:outlineLvl w:val="2"/>
        <w:rPr>
          <w:rFonts w:hint="eastAsia" w:ascii="楷体" w:hAnsi="楷体" w:eastAsia="楷体" w:cs="楷体"/>
          <w:color w:val="auto"/>
          <w:kern w:val="0"/>
          <w:sz w:val="28"/>
          <w:szCs w:val="28"/>
          <w:highlight w:val="none"/>
        </w:rPr>
      </w:pPr>
      <w:bookmarkStart w:id="73" w:name="_Toc1378"/>
      <w:bookmarkStart w:id="74" w:name="_Toc7427"/>
      <w:r>
        <w:rPr>
          <w:rFonts w:hint="eastAsia" w:ascii="楷体" w:hAnsi="楷体" w:eastAsia="楷体" w:cs="楷体"/>
          <w:color w:val="auto"/>
          <w:kern w:val="0"/>
          <w:sz w:val="28"/>
          <w:szCs w:val="28"/>
          <w:highlight w:val="none"/>
        </w:rPr>
        <w:t>2.地上附着物和青苗补偿标准</w:t>
      </w:r>
      <w:bookmarkEnd w:id="73"/>
      <w:bookmarkEnd w:id="74"/>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地上附着物补偿标准：是指由县人民政府主导，按照《云南省地上附着物和青苗补偿标准制定技术指南（试行稿）》和相关行业标准要求进行科学测算，经过广泛的征求意见、听证论证、逐级报批后形成的</w:t>
      </w:r>
      <w:r>
        <w:rPr>
          <w:rFonts w:hint="eastAsia" w:ascii="楷体" w:hAnsi="楷体" w:eastAsia="楷体" w:cs="楷体"/>
          <w:color w:val="auto"/>
          <w:sz w:val="28"/>
          <w:szCs w:val="28"/>
          <w:highlight w:val="none"/>
          <w:lang w:eastAsia="zh-CN"/>
        </w:rPr>
        <w:t>盘龙区</w:t>
      </w:r>
      <w:r>
        <w:rPr>
          <w:rFonts w:hint="eastAsia" w:ascii="楷体" w:hAnsi="楷体" w:eastAsia="楷体" w:cs="楷体"/>
          <w:color w:val="auto"/>
          <w:sz w:val="28"/>
          <w:szCs w:val="28"/>
          <w:highlight w:val="none"/>
        </w:rPr>
        <w:t>行政区范围内农村集体经济组织所有土地上的各类地上附着物的平均补偿价款。具体表现形式为地上附着物补偿费。</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青苗补偿标准：是指由县人民政府主导，按照《云南省地上附着物和青苗补偿标准制定技术指南（试行稿）》和相关行业标准要求进行科学测算，经过广泛的征求意见、听证论证、逐级报批后形成的</w:t>
      </w: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szCs w:val="28"/>
          <w:highlight w:val="none"/>
        </w:rPr>
        <w:t>行政区范围内农村集体经济组织所有土地上的各类青苗的平均补偿价款。具体表现形式为青苗补偿费。</w:t>
      </w:r>
    </w:p>
    <w:p>
      <w:pPr>
        <w:spacing w:line="360" w:lineRule="auto"/>
        <w:ind w:firstLine="562" w:firstLineChars="200"/>
        <w:outlineLvl w:val="2"/>
        <w:rPr>
          <w:rFonts w:hint="eastAsia" w:ascii="楷体" w:hAnsi="楷体" w:eastAsia="楷体" w:cs="楷体"/>
          <w:b/>
          <w:bCs/>
          <w:color w:val="auto"/>
          <w:sz w:val="28"/>
          <w:szCs w:val="28"/>
          <w:highlight w:val="none"/>
        </w:rPr>
      </w:pPr>
      <w:bookmarkStart w:id="75" w:name="_Toc29942"/>
      <w:bookmarkStart w:id="76" w:name="_Toc10993"/>
      <w:r>
        <w:rPr>
          <w:rFonts w:hint="eastAsia" w:ascii="楷体" w:hAnsi="楷体" w:eastAsia="楷体" w:cs="楷体"/>
          <w:b/>
          <w:bCs/>
          <w:color w:val="auto"/>
          <w:sz w:val="28"/>
          <w:szCs w:val="28"/>
          <w:highlight w:val="none"/>
        </w:rPr>
        <w:t>3.</w:t>
      </w:r>
      <w:bookmarkStart w:id="77" w:name="_Hlk79405946"/>
      <w:r>
        <w:rPr>
          <w:rFonts w:hint="eastAsia" w:ascii="楷体" w:hAnsi="楷体" w:eastAsia="楷体" w:cs="楷体"/>
          <w:b/>
          <w:bCs/>
          <w:color w:val="auto"/>
          <w:sz w:val="28"/>
          <w:szCs w:val="28"/>
          <w:highlight w:val="none"/>
        </w:rPr>
        <w:t>工作对象与范围</w:t>
      </w:r>
      <w:bookmarkEnd w:id="75"/>
      <w:bookmarkEnd w:id="76"/>
      <w:bookmarkEnd w:id="77"/>
    </w:p>
    <w:p>
      <w:pPr>
        <w:spacing w:line="360" w:lineRule="auto"/>
        <w:ind w:firstLine="560" w:firstLineChars="200"/>
        <w:rPr>
          <w:rFonts w:hint="eastAsia" w:ascii="楷体" w:hAnsi="楷体" w:eastAsia="楷体" w:cs="楷体"/>
          <w:color w:val="auto"/>
          <w:sz w:val="28"/>
          <w:szCs w:val="28"/>
          <w:highlight w:val="none"/>
        </w:rPr>
      </w:pPr>
      <w:bookmarkStart w:id="78" w:name="_Hlk79405954"/>
      <w:r>
        <w:rPr>
          <w:rFonts w:hint="eastAsia" w:ascii="楷体" w:hAnsi="楷体" w:eastAsia="楷体" w:cs="楷体"/>
          <w:color w:val="auto"/>
          <w:sz w:val="28"/>
          <w:szCs w:val="28"/>
          <w:highlight w:val="none"/>
        </w:rPr>
        <w:t>工作对象：</w:t>
      </w: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szCs w:val="28"/>
          <w:highlight w:val="none"/>
        </w:rPr>
        <w:t>域内农村集体经济组织所有土地地上附着物及青苗补偿标准制定，具体测算不包括国有土地地上附着物及青苗补偿标准。</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工作范围：包括盘龙区全境内集体经济组织所有的土地地上附着物和青苗补偿标准测算，具体为建筑物、构筑物及其他附属设施、林木、果木、青苗等补偿标准的测算。</w:t>
      </w:r>
    </w:p>
    <w:bookmarkEnd w:id="78"/>
    <w:p>
      <w:pPr>
        <w:spacing w:line="360" w:lineRule="auto"/>
        <w:ind w:firstLine="562" w:firstLineChars="200"/>
        <w:outlineLvl w:val="2"/>
        <w:rPr>
          <w:rFonts w:hint="eastAsia" w:ascii="楷体" w:hAnsi="楷体" w:eastAsia="楷体" w:cs="楷体"/>
          <w:b/>
          <w:bCs/>
          <w:color w:val="auto"/>
          <w:sz w:val="28"/>
          <w:szCs w:val="28"/>
          <w:highlight w:val="none"/>
        </w:rPr>
      </w:pPr>
      <w:bookmarkStart w:id="79" w:name="_Toc21707"/>
      <w:bookmarkStart w:id="80" w:name="_Toc7979"/>
      <w:r>
        <w:rPr>
          <w:rFonts w:hint="eastAsia" w:ascii="楷体" w:hAnsi="楷体" w:eastAsia="楷体" w:cs="楷体"/>
          <w:b/>
          <w:bCs/>
          <w:color w:val="auto"/>
          <w:sz w:val="28"/>
          <w:szCs w:val="28"/>
          <w:highlight w:val="none"/>
        </w:rPr>
        <w:t>4.基准时点</w:t>
      </w:r>
      <w:bookmarkEnd w:id="79"/>
      <w:bookmarkEnd w:id="80"/>
    </w:p>
    <w:p>
      <w:pPr>
        <w:spacing w:line="360" w:lineRule="auto"/>
        <w:ind w:firstLine="560" w:firstLineChars="200"/>
        <w:rPr>
          <w:rFonts w:hint="eastAsia" w:ascii="楷体" w:hAnsi="楷体" w:eastAsia="楷体" w:cs="楷体"/>
          <w:color w:val="auto"/>
          <w:sz w:val="28"/>
          <w:szCs w:val="28"/>
          <w:highlight w:val="none"/>
          <w:lang w:val="zh-CN"/>
        </w:rPr>
      </w:pPr>
      <w:bookmarkStart w:id="81" w:name="_Hlk79405986"/>
      <w:r>
        <w:rPr>
          <w:rFonts w:hint="eastAsia" w:ascii="楷体" w:hAnsi="楷体" w:eastAsia="楷体" w:cs="楷体"/>
          <w:color w:val="auto"/>
          <w:sz w:val="28"/>
          <w:szCs w:val="28"/>
          <w:highlight w:val="none"/>
        </w:rPr>
        <w:t>根据</w:t>
      </w:r>
      <w:r>
        <w:rPr>
          <w:rFonts w:hint="eastAsia" w:ascii="楷体" w:hAnsi="楷体" w:eastAsia="楷体" w:cs="楷体"/>
          <w:color w:val="auto"/>
          <w:sz w:val="28"/>
          <w:szCs w:val="28"/>
          <w:highlight w:val="none"/>
          <w:lang w:val="zh-CN"/>
        </w:rPr>
        <w:t>《云南省地上附着物和青苗补偿标准制定技术指南（试行稿）》</w:t>
      </w:r>
      <w:r>
        <w:rPr>
          <w:rFonts w:hint="eastAsia" w:ascii="楷体" w:hAnsi="楷体" w:eastAsia="楷体" w:cs="楷体"/>
          <w:color w:val="auto"/>
          <w:sz w:val="28"/>
          <w:szCs w:val="28"/>
          <w:highlight w:val="none"/>
        </w:rPr>
        <w:t>确定征地地上附着物和青苗补偿标准基准时点为</w:t>
      </w:r>
      <w:r>
        <w:rPr>
          <w:rFonts w:hint="eastAsia" w:ascii="楷体" w:hAnsi="楷体" w:eastAsia="楷体" w:cs="楷体"/>
          <w:color w:val="auto"/>
          <w:sz w:val="28"/>
          <w:szCs w:val="28"/>
          <w:highlight w:val="none"/>
          <w:lang w:val="zh-CN"/>
        </w:rPr>
        <w:t>2020年1月1日。</w:t>
      </w:r>
    </w:p>
    <w:bookmarkEnd w:id="81"/>
    <w:p>
      <w:pPr>
        <w:spacing w:line="360" w:lineRule="auto"/>
        <w:outlineLvl w:val="1"/>
        <w:rPr>
          <w:rFonts w:hint="eastAsia" w:ascii="楷体" w:hAnsi="楷体" w:eastAsia="楷体" w:cs="楷体"/>
          <w:b/>
          <w:bCs/>
          <w:color w:val="auto"/>
          <w:sz w:val="28"/>
          <w:szCs w:val="28"/>
          <w:highlight w:val="none"/>
        </w:rPr>
      </w:pPr>
      <w:bookmarkStart w:id="82" w:name="_Toc970"/>
      <w:r>
        <w:rPr>
          <w:rFonts w:hint="eastAsia" w:ascii="楷体" w:hAnsi="楷体" w:eastAsia="楷体" w:cs="楷体"/>
          <w:b/>
          <w:bCs/>
          <w:color w:val="auto"/>
          <w:sz w:val="28"/>
          <w:szCs w:val="28"/>
          <w:highlight w:val="none"/>
        </w:rPr>
        <w:t>（七）工作任务和目标</w:t>
      </w:r>
      <w:bookmarkEnd w:id="82"/>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szCs w:val="28"/>
          <w:highlight w:val="none"/>
          <w:lang w:val="zh-CN"/>
        </w:rPr>
        <w:t>地上附着物和青苗补偿标准制定</w:t>
      </w:r>
      <w:r>
        <w:rPr>
          <w:rFonts w:hint="eastAsia" w:ascii="楷体" w:hAnsi="楷体" w:eastAsia="楷体" w:cs="楷体"/>
          <w:color w:val="auto"/>
          <w:sz w:val="28"/>
          <w:szCs w:val="28"/>
          <w:highlight w:val="none"/>
        </w:rPr>
        <w:t>工作任务和目标：在原</w:t>
      </w:r>
      <w:r>
        <w:rPr>
          <w:rFonts w:hint="eastAsia" w:ascii="楷体" w:hAnsi="楷体" w:eastAsia="楷体" w:cs="楷体"/>
          <w:color w:val="auto"/>
          <w:sz w:val="28"/>
          <w:szCs w:val="28"/>
          <w:highlight w:val="none"/>
          <w:lang w:val="zh-CN"/>
        </w:rPr>
        <w:t>地上附着物和青苗补偿标准</w:t>
      </w:r>
      <w:r>
        <w:rPr>
          <w:rFonts w:hint="eastAsia" w:ascii="楷体" w:hAnsi="楷体" w:eastAsia="楷体" w:cs="楷体"/>
          <w:color w:val="auto"/>
          <w:sz w:val="28"/>
          <w:szCs w:val="28"/>
          <w:highlight w:val="none"/>
        </w:rPr>
        <w:t>工作基础上，通过开展</w:t>
      </w:r>
      <w:r>
        <w:rPr>
          <w:rFonts w:hint="eastAsia" w:ascii="楷体" w:hAnsi="楷体" w:eastAsia="楷体" w:cs="楷体"/>
          <w:color w:val="auto"/>
          <w:sz w:val="28"/>
          <w:szCs w:val="28"/>
          <w:highlight w:val="none"/>
          <w:lang w:val="zh-CN"/>
        </w:rPr>
        <w:t>地上附着物和青苗补偿标准</w:t>
      </w:r>
      <w:r>
        <w:rPr>
          <w:rFonts w:hint="eastAsia" w:ascii="楷体" w:hAnsi="楷体" w:eastAsia="楷体" w:cs="楷体"/>
          <w:color w:val="auto"/>
          <w:sz w:val="28"/>
          <w:szCs w:val="28"/>
          <w:highlight w:val="none"/>
        </w:rPr>
        <w:t>实施情况的调查，结合实施</w:t>
      </w:r>
      <w:r>
        <w:rPr>
          <w:rFonts w:hint="eastAsia" w:ascii="楷体" w:hAnsi="楷体" w:eastAsia="楷体" w:cs="楷体"/>
          <w:color w:val="auto"/>
          <w:sz w:val="28"/>
          <w:szCs w:val="28"/>
          <w:highlight w:val="none"/>
          <w:lang w:val="zh-CN"/>
        </w:rPr>
        <w:t>地上附着物和青苗补偿标准</w:t>
      </w:r>
      <w:r>
        <w:rPr>
          <w:rFonts w:hint="eastAsia" w:ascii="楷体" w:hAnsi="楷体" w:eastAsia="楷体" w:cs="楷体"/>
          <w:color w:val="auto"/>
          <w:sz w:val="28"/>
          <w:szCs w:val="28"/>
          <w:highlight w:val="none"/>
        </w:rPr>
        <w:t>的实际，总结经验，分析存在的问题，并在此基础上开展</w:t>
      </w: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szCs w:val="28"/>
          <w:highlight w:val="none"/>
          <w:lang w:val="zh-CN"/>
        </w:rPr>
        <w:t>地上附着物和青苗补偿标准制定</w:t>
      </w:r>
      <w:r>
        <w:rPr>
          <w:rFonts w:hint="eastAsia" w:ascii="楷体" w:hAnsi="楷体" w:eastAsia="楷体" w:cs="楷体"/>
          <w:color w:val="auto"/>
          <w:sz w:val="28"/>
          <w:szCs w:val="28"/>
          <w:highlight w:val="none"/>
        </w:rPr>
        <w:t>工作，全面制定实施</w:t>
      </w: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szCs w:val="28"/>
          <w:highlight w:val="none"/>
        </w:rPr>
        <w:t>地上附着物和青苗补偿标准，为</w:t>
      </w: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szCs w:val="28"/>
          <w:highlight w:val="none"/>
        </w:rPr>
        <w:t>征地补偿提供依据，适度提高现有补偿标准，服务于当前土地征收工作，并为制定相关的</w:t>
      </w:r>
      <w:r>
        <w:rPr>
          <w:rFonts w:hint="eastAsia" w:ascii="楷体" w:hAnsi="楷体" w:eastAsia="楷体" w:cs="楷体"/>
          <w:color w:val="auto"/>
          <w:sz w:val="28"/>
          <w:szCs w:val="28"/>
          <w:highlight w:val="none"/>
          <w:lang w:val="zh-CN"/>
        </w:rPr>
        <w:t>地上附着物和青苗补偿标准</w:t>
      </w:r>
      <w:r>
        <w:rPr>
          <w:rFonts w:hint="eastAsia" w:ascii="楷体" w:hAnsi="楷体" w:eastAsia="楷体" w:cs="楷体"/>
          <w:color w:val="auto"/>
          <w:sz w:val="28"/>
          <w:szCs w:val="28"/>
          <w:highlight w:val="none"/>
        </w:rPr>
        <w:t>政策提供依据，保持</w:t>
      </w:r>
      <w:r>
        <w:rPr>
          <w:rFonts w:hint="eastAsia" w:ascii="楷体" w:hAnsi="楷体" w:eastAsia="楷体" w:cs="楷体"/>
          <w:color w:val="auto"/>
          <w:sz w:val="28"/>
          <w:szCs w:val="28"/>
          <w:highlight w:val="none"/>
          <w:lang w:val="zh-CN"/>
        </w:rPr>
        <w:t>地上附着物和青苗补偿标准</w:t>
      </w:r>
      <w:r>
        <w:rPr>
          <w:rFonts w:hint="eastAsia" w:ascii="楷体" w:hAnsi="楷体" w:eastAsia="楷体" w:cs="楷体"/>
          <w:color w:val="auto"/>
          <w:sz w:val="28"/>
          <w:szCs w:val="28"/>
          <w:highlight w:val="none"/>
        </w:rPr>
        <w:t>的合法性和现势性。</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按照《云南省地上附着物和青苗补偿标准制定技术指南（试行稿）》等相关要求，制定地上附着物和青苗补偿标准的主要工作任务包括：</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1.准备工作。主要包括成立工作领导小组，落实工作经费，制定工作方案和技术指南，开展工作培训动员等。</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2.基础资料收集。主要包括填写相关调查表格，开展基础资料收集，对存在问题的数据和表格重新进行调查，资料整理等。</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3.编制工作底图。为做好地上附着物和青苗补偿标准与区片综合地价配套实施，满足今后征地管理工作的需要，以区片综合地价分布图为基础，结合最新第三次全国国土调查成果编制“青苗补偿等级区分布图”。</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4.测算区域各类地上附着物补偿标准。结合现有补偿标准以及《自然资源价格评估通则》、《房地产估价规范》、《资产评估法》等要求，测算各类地上附着物补偿标准。</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5.测算青苗补偿标准。采用因素法和调整法确定青苗补偿等级区后，测算各分区青苗补偿标准。</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6.论证和听证。按照国家或省相关要求开展听证论证，广泛邀请农村集体经济组织和村民代表、相关部门对成果进行听证，确保农民群众知悉测算过程的科学性、应用相关标准数据的准确性、补偿标准制定的合理性。</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7.编制成果。编制地上附着物和青苗补偿标准工作报告、技术报告、数据表格、成果图件、数据库等。</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8.做好衔接。要做好新旧补偿标准的过渡和衔接工作，并按照《云南省重大行政决策程序规定》的要求做好社会稳定风险评估工作。</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9.公布实施。地上附着物和青苗补偿标准通过市级、省级审核后，按省人民政府的要求公布实施。</w:t>
      </w:r>
    </w:p>
    <w:p>
      <w:pPr>
        <w:spacing w:line="360" w:lineRule="auto"/>
        <w:outlineLvl w:val="0"/>
        <w:rPr>
          <w:rFonts w:hint="eastAsia" w:ascii="楷体" w:hAnsi="楷体" w:eastAsia="楷体" w:cs="楷体"/>
          <w:b/>
          <w:bCs/>
          <w:color w:val="auto"/>
          <w:sz w:val="30"/>
          <w:szCs w:val="30"/>
          <w:highlight w:val="none"/>
        </w:rPr>
      </w:pPr>
      <w:bookmarkStart w:id="83" w:name="_Toc15557"/>
      <w:r>
        <w:rPr>
          <w:rFonts w:hint="eastAsia" w:ascii="楷体" w:hAnsi="楷体" w:eastAsia="楷体" w:cs="楷体"/>
          <w:b/>
          <w:bCs/>
          <w:color w:val="auto"/>
          <w:sz w:val="30"/>
          <w:szCs w:val="30"/>
          <w:highlight w:val="none"/>
        </w:rPr>
        <w:t>二、区域概况</w:t>
      </w:r>
      <w:bookmarkEnd w:id="83"/>
    </w:p>
    <w:p>
      <w:pPr>
        <w:spacing w:line="360" w:lineRule="auto"/>
        <w:ind w:firstLine="562" w:firstLineChars="200"/>
        <w:outlineLvl w:val="1"/>
        <w:rPr>
          <w:rFonts w:hint="eastAsia" w:ascii="楷体" w:hAnsi="楷体" w:eastAsia="楷体" w:cs="楷体"/>
          <w:b/>
          <w:bCs/>
          <w:color w:val="auto"/>
          <w:sz w:val="28"/>
          <w:szCs w:val="28"/>
          <w:highlight w:val="none"/>
        </w:rPr>
      </w:pPr>
      <w:bookmarkStart w:id="84" w:name="_Toc27551"/>
      <w:r>
        <w:rPr>
          <w:rFonts w:hint="eastAsia" w:ascii="楷体" w:hAnsi="楷体" w:eastAsia="楷体" w:cs="楷体"/>
          <w:b/>
          <w:bCs/>
          <w:color w:val="auto"/>
          <w:sz w:val="28"/>
          <w:szCs w:val="28"/>
          <w:highlight w:val="none"/>
        </w:rPr>
        <w:t>（一）地理位置</w:t>
      </w:r>
      <w:bookmarkEnd w:id="84"/>
    </w:p>
    <w:p>
      <w:pPr>
        <w:pStyle w:val="18"/>
        <w:bidi w:val="0"/>
        <w:spacing w:line="360" w:lineRule="auto"/>
        <w:ind w:firstLine="560" w:firstLineChars="200"/>
        <w:rPr>
          <w:rFonts w:hint="eastAsia" w:ascii="楷体" w:hAnsi="楷体" w:eastAsia="楷体" w:cs="楷体"/>
          <w:b w:val="0"/>
          <w:bCs w:val="0"/>
          <w:color w:val="auto"/>
          <w:sz w:val="28"/>
          <w:szCs w:val="28"/>
          <w:highlight w:val="none"/>
          <w:lang w:val="en-US" w:eastAsia="zh-CN"/>
        </w:rPr>
      </w:pPr>
      <w:bookmarkStart w:id="85" w:name="_Toc13778"/>
      <w:bookmarkStart w:id="86" w:name="_Toc4657"/>
      <w:bookmarkStart w:id="87" w:name="_Toc18308"/>
      <w:bookmarkStart w:id="88" w:name="_Toc2688"/>
      <w:bookmarkStart w:id="89" w:name="_Toc535831264"/>
      <w:r>
        <w:rPr>
          <w:rFonts w:hint="eastAsia" w:ascii="楷体" w:hAnsi="楷体" w:eastAsia="楷体" w:cs="楷体"/>
          <w:color w:val="auto"/>
          <w:kern w:val="2"/>
          <w:sz w:val="28"/>
          <w:szCs w:val="28"/>
          <w:highlight w:val="none"/>
          <w:lang w:val="en-US" w:eastAsia="zh-CN" w:bidi="ar-SA"/>
        </w:rPr>
        <w:t>盘龙区地处滇中高原中部，是昆明市的五个市区之一，地理坐标东经102°42′20″～102°55′，北纬25°1′50″～26°30′30″之间。东、南与官渡区接壤，西与五华区、西山区毗邻，北与嵩明县相接。全境东西宽18.8公里，南北长28.7公里，土地总面积345.418平方公里。盘龙区在昆明市的地理位置如图2-1所示。</w:t>
      </w:r>
    </w:p>
    <w:p>
      <w:pPr>
        <w:pStyle w:val="18"/>
        <w:bidi w:val="0"/>
        <w:spacing w:line="360" w:lineRule="auto"/>
        <w:ind w:firstLine="480" w:firstLineChars="200"/>
        <w:jc w:val="center"/>
        <w:rPr>
          <w:rFonts w:hint="eastAsia" w:ascii="楷体" w:hAnsi="楷体" w:eastAsia="楷体" w:cs="楷体"/>
          <w:b/>
          <w:bCs/>
          <w:color w:val="auto"/>
          <w:sz w:val="28"/>
          <w:szCs w:val="28"/>
          <w:highlight w:val="none"/>
        </w:rPr>
      </w:pPr>
      <w:r>
        <w:rPr>
          <w:rFonts w:hint="eastAsia" w:ascii="楷体" w:hAnsi="楷体" w:eastAsia="楷体" w:cs="楷体"/>
          <w:color w:val="auto"/>
          <w:sz w:val="24"/>
          <w:highlight w:val="none"/>
        </w:rPr>
        <w:drawing>
          <wp:anchor distT="0" distB="0" distL="0" distR="0" simplePos="0" relativeHeight="251662336" behindDoc="0" locked="0" layoutInCell="1" allowOverlap="1">
            <wp:simplePos x="0" y="0"/>
            <wp:positionH relativeFrom="column">
              <wp:posOffset>954405</wp:posOffset>
            </wp:positionH>
            <wp:positionV relativeFrom="paragraph">
              <wp:posOffset>66675</wp:posOffset>
            </wp:positionV>
            <wp:extent cx="3848100" cy="4456430"/>
            <wp:effectExtent l="9525" t="9525" r="9525" b="10795"/>
            <wp:wrapTopAndBottom/>
            <wp:docPr id="3" name="图片 3" descr="盘龙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盘龙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48100" cy="4456430"/>
                    </a:xfrm>
                    <a:prstGeom prst="rect">
                      <a:avLst/>
                    </a:prstGeom>
                    <a:noFill/>
                    <a:ln w="6350" cmpd="sng">
                      <a:solidFill>
                        <a:srgbClr val="000000"/>
                      </a:solidFill>
                      <a:miter lim="800000"/>
                      <a:headEnd/>
                      <a:tailEnd/>
                    </a:ln>
                    <a:effectLst/>
                  </pic:spPr>
                </pic:pic>
              </a:graphicData>
            </a:graphic>
          </wp:anchor>
        </w:drawing>
      </w:r>
      <w:r>
        <w:rPr>
          <w:rFonts w:hint="eastAsia" w:ascii="楷体" w:hAnsi="楷体" w:eastAsia="楷体" w:cs="楷体"/>
          <w:b w:val="0"/>
          <w:bCs w:val="0"/>
          <w:color w:val="auto"/>
          <w:sz w:val="28"/>
          <w:szCs w:val="28"/>
          <w:highlight w:val="none"/>
          <w:lang w:val="en-US" w:eastAsia="zh-CN"/>
        </w:rPr>
        <w:t>图2-1   盘龙区在昆明市的地理位置图</w:t>
      </w:r>
    </w:p>
    <w:p>
      <w:pPr>
        <w:spacing w:line="360" w:lineRule="auto"/>
        <w:ind w:firstLine="562" w:firstLineChars="200"/>
        <w:outlineLvl w:val="1"/>
        <w:rPr>
          <w:rFonts w:hint="eastAsia" w:ascii="楷体" w:hAnsi="楷体" w:eastAsia="楷体" w:cs="楷体"/>
          <w:b/>
          <w:bCs/>
          <w:color w:val="auto"/>
          <w:sz w:val="28"/>
          <w:szCs w:val="28"/>
          <w:highlight w:val="none"/>
        </w:rPr>
      </w:pPr>
      <w:bookmarkStart w:id="90" w:name="_Toc3744"/>
      <w:r>
        <w:rPr>
          <w:rFonts w:hint="eastAsia" w:ascii="楷体" w:hAnsi="楷体" w:eastAsia="楷体" w:cs="楷体"/>
          <w:b/>
          <w:bCs/>
          <w:color w:val="auto"/>
          <w:sz w:val="28"/>
          <w:szCs w:val="28"/>
          <w:highlight w:val="none"/>
        </w:rPr>
        <w:t>（二）行政区划</w:t>
      </w:r>
      <w:bookmarkEnd w:id="85"/>
      <w:bookmarkEnd w:id="86"/>
      <w:bookmarkEnd w:id="87"/>
      <w:bookmarkEnd w:id="88"/>
      <w:bookmarkEnd w:id="89"/>
      <w:r>
        <w:rPr>
          <w:rFonts w:hint="eastAsia" w:ascii="楷体" w:hAnsi="楷体" w:eastAsia="楷体" w:cs="楷体"/>
          <w:b/>
          <w:bCs/>
          <w:color w:val="auto"/>
          <w:sz w:val="28"/>
          <w:szCs w:val="28"/>
          <w:highlight w:val="none"/>
        </w:rPr>
        <w:t>与人口</w:t>
      </w:r>
      <w:bookmarkEnd w:id="90"/>
    </w:p>
    <w:p>
      <w:pPr>
        <w:pStyle w:val="18"/>
        <w:bidi w:val="0"/>
        <w:spacing w:line="360" w:lineRule="auto"/>
        <w:ind w:firstLine="560" w:firstLineChars="200"/>
        <w:rPr>
          <w:rFonts w:hint="eastAsia" w:ascii="楷体" w:hAnsi="楷体" w:eastAsia="楷体" w:cs="楷体"/>
          <w:color w:val="auto"/>
          <w:kern w:val="2"/>
          <w:sz w:val="28"/>
          <w:szCs w:val="28"/>
          <w:highlight w:val="none"/>
          <w:lang w:val="en-US" w:eastAsia="zh-CN" w:bidi="ar-SA"/>
        </w:rPr>
      </w:pPr>
      <w:bookmarkStart w:id="91" w:name="_Toc208"/>
      <w:bookmarkStart w:id="92" w:name="_Toc15546"/>
      <w:bookmarkStart w:id="93" w:name="_Toc22655"/>
      <w:bookmarkStart w:id="94" w:name="_Toc17746"/>
      <w:bookmarkStart w:id="95" w:name="_Toc25723"/>
      <w:bookmarkStart w:id="96" w:name="_Toc23561"/>
      <w:bookmarkStart w:id="97" w:name="_Toc21667"/>
      <w:bookmarkStart w:id="98" w:name="_Toc535831265"/>
      <w:bookmarkStart w:id="99" w:name="_Toc2418"/>
      <w:bookmarkStart w:id="100" w:name="_Toc8561"/>
      <w:bookmarkStart w:id="101" w:name="_Toc30861"/>
      <w:bookmarkStart w:id="102" w:name="_Toc9796"/>
      <w:bookmarkStart w:id="103" w:name="_Toc26497"/>
      <w:r>
        <w:rPr>
          <w:rFonts w:hint="eastAsia" w:ascii="楷体" w:hAnsi="楷体" w:eastAsia="楷体" w:cs="楷体"/>
          <w:color w:val="auto"/>
          <w:kern w:val="2"/>
          <w:sz w:val="28"/>
          <w:szCs w:val="28"/>
          <w:highlight w:val="none"/>
          <w:lang w:val="en-US" w:eastAsia="zh-CN" w:bidi="ar-SA"/>
        </w:rPr>
        <w:t>盘龙区全区共辖拓东、鼓楼、东华、联盟、金辰、青云、龙泉、茨坝、松华、双龙、滇源和阿子营 12个街道办事处。</w:t>
      </w:r>
    </w:p>
    <w:p>
      <w:pPr>
        <w:pStyle w:val="18"/>
        <w:bidi w:val="0"/>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截至2019年12月31日，全区在册户籍人口585244人，盘龙区城镇人口迁入23336人，城镇人口净增长13499人。户籍人口，城镇人口525220人、乡村人口60024人；男性290590人、女性294654人；流动人口482432人;汉族人口516243人，占总人口的88.21%；60岁以上的老年人12.96万人，占全区户籍人口的22.15%。 </w:t>
      </w:r>
    </w:p>
    <w:p>
      <w:pPr>
        <w:pStyle w:val="18"/>
        <w:bidi w:val="0"/>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根据第七次人口普查数据，截至2020年11月1日零时，盘龙区常住人口为987955人。</w:t>
      </w:r>
    </w:p>
    <w:p>
      <w:pPr>
        <w:pStyle w:val="18"/>
        <w:bidi w:val="0"/>
        <w:spacing w:line="360" w:lineRule="auto"/>
        <w:jc w:val="center"/>
        <w:rPr>
          <w:rFonts w:hint="eastAsia" w:ascii="楷体" w:hAnsi="楷体" w:eastAsia="楷体" w:cs="楷体"/>
          <w:color w:val="000000"/>
          <w:sz w:val="24"/>
          <w:szCs w:val="24"/>
        </w:rPr>
      </w:pPr>
    </w:p>
    <w:p>
      <w:pPr>
        <w:pStyle w:val="18"/>
        <w:bidi w:val="0"/>
        <w:spacing w:line="360" w:lineRule="auto"/>
        <w:jc w:val="center"/>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000000"/>
          <w:sz w:val="24"/>
          <w:szCs w:val="24"/>
        </w:rPr>
        <w:t>表</w:t>
      </w:r>
      <w:r>
        <w:rPr>
          <w:rFonts w:hint="eastAsia" w:ascii="楷体" w:hAnsi="楷体" w:eastAsia="楷体" w:cs="楷体"/>
          <w:color w:val="000000"/>
          <w:sz w:val="24"/>
          <w:szCs w:val="24"/>
          <w:lang w:val="en-US" w:eastAsia="zh-CN"/>
        </w:rPr>
        <w:t>2-1</w:t>
      </w:r>
      <w:r>
        <w:rPr>
          <w:rFonts w:hint="eastAsia" w:ascii="楷体" w:hAnsi="楷体" w:eastAsia="楷体" w:cs="楷体"/>
          <w:color w:val="000000"/>
          <w:sz w:val="24"/>
          <w:szCs w:val="24"/>
        </w:rPr>
        <w:t xml:space="preserve"> 2020年</w:t>
      </w:r>
      <w:r>
        <w:rPr>
          <w:rFonts w:hint="eastAsia" w:ascii="楷体" w:hAnsi="楷体" w:eastAsia="楷体" w:cs="楷体"/>
          <w:color w:val="000000"/>
          <w:sz w:val="24"/>
          <w:szCs w:val="24"/>
          <w:lang w:val="en-US" w:eastAsia="zh-CN"/>
        </w:rPr>
        <w:t>盘龙区</w:t>
      </w:r>
      <w:r>
        <w:rPr>
          <w:rFonts w:hint="eastAsia" w:ascii="楷体" w:hAnsi="楷体" w:eastAsia="楷体" w:cs="楷体"/>
          <w:color w:val="000000"/>
          <w:sz w:val="24"/>
          <w:szCs w:val="24"/>
        </w:rPr>
        <w:t>户籍人口及其构成</w:t>
      </w:r>
    </w:p>
    <w:tbl>
      <w:tblPr>
        <w:tblStyle w:val="45"/>
        <w:tblW w:w="5000" w:type="pct"/>
        <w:jc w:val="center"/>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975"/>
        <w:gridCol w:w="2744"/>
        <w:gridCol w:w="2507"/>
      </w:tblGrid>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指标</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年末数（人）</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比重（%）</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全区户籍人口</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450"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594535</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100</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其中：城镇人口</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450"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594535</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100</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乡村人口</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450"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0</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0</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其中：男性</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450"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293832</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49. 4</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女性</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450"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300703</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50. 6</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其中：18岁以下</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450"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111763</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18. 8</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18-34岁</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450"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109416</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18. 4</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35-59岁</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450"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240851</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40. 5</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450" w:hRule="atLeast"/>
          <w:tblHeader/>
          <w:jc w:val="center"/>
        </w:trPr>
        <w:tc>
          <w:tcPr>
            <w:tcW w:w="2154"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60岁及以上</w:t>
            </w:r>
          </w:p>
        </w:tc>
        <w:tc>
          <w:tcPr>
            <w:tcW w:w="1487"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450"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132505</w:t>
            </w:r>
          </w:p>
        </w:tc>
        <w:tc>
          <w:tcPr>
            <w:tcW w:w="1358" w:type="pct"/>
            <w:tcBorders>
              <w:top w:val="single" w:color="000000" w:sz="8" w:space="0"/>
              <w:left w:val="single" w:color="000000" w:sz="8" w:space="0"/>
              <w:bottom w:val="single" w:color="000000" w:sz="8" w:space="0"/>
              <w:right w:val="single" w:color="000000" w:sz="8" w:space="0"/>
            </w:tcBorders>
            <w:shd w:val="clear" w:color="auto" w:fill="FFFFFF"/>
            <w:tcMar>
              <w:top w:w="0" w:type="dxa"/>
              <w:left w:w="285" w:type="dxa"/>
              <w:bottom w:w="0" w:type="dxa"/>
              <w:right w:w="105" w:type="dxa"/>
            </w:tcMar>
            <w:vAlign w:val="center"/>
          </w:tcPr>
          <w:p>
            <w:pPr>
              <w:spacing w:line="360" w:lineRule="auto"/>
              <w:jc w:val="center"/>
              <w:rPr>
                <w:rFonts w:hint="eastAsia" w:ascii="楷体" w:hAnsi="楷体" w:eastAsia="楷体" w:cs="楷体"/>
                <w:color w:val="000000"/>
                <w:sz w:val="24"/>
                <w:szCs w:val="24"/>
              </w:rPr>
            </w:pPr>
            <w:r>
              <w:rPr>
                <w:rFonts w:hint="eastAsia" w:ascii="楷体" w:hAnsi="楷体" w:eastAsia="楷体" w:cs="楷体"/>
                <w:color w:val="000000"/>
                <w:sz w:val="24"/>
                <w:szCs w:val="24"/>
              </w:rPr>
              <w:t>22. 3</w:t>
            </w:r>
          </w:p>
        </w:tc>
      </w:tr>
    </w:tbl>
    <w:p>
      <w:pPr>
        <w:pStyle w:val="18"/>
        <w:bidi w:val="0"/>
        <w:spacing w:line="360" w:lineRule="auto"/>
        <w:ind w:firstLine="560" w:firstLineChars="200"/>
        <w:rPr>
          <w:rFonts w:hint="eastAsia" w:ascii="楷体" w:hAnsi="楷体" w:eastAsia="楷体" w:cs="楷体"/>
          <w:color w:val="auto"/>
          <w:kern w:val="2"/>
          <w:sz w:val="28"/>
          <w:szCs w:val="28"/>
          <w:highlight w:val="none"/>
          <w:lang w:val="en-US" w:eastAsia="zh-CN" w:bidi="ar-SA"/>
        </w:rPr>
      </w:pPr>
    </w:p>
    <w:p>
      <w:pPr>
        <w:pStyle w:val="18"/>
        <w:bidi w:val="0"/>
        <w:spacing w:line="360" w:lineRule="auto"/>
        <w:ind w:firstLine="560" w:firstLineChars="200"/>
        <w:rPr>
          <w:rFonts w:hint="eastAsia" w:ascii="楷体" w:hAnsi="楷体" w:eastAsia="楷体" w:cs="楷体"/>
          <w:color w:val="auto"/>
          <w:kern w:val="2"/>
          <w:sz w:val="28"/>
          <w:szCs w:val="28"/>
          <w:highlight w:val="none"/>
          <w:lang w:val="en-US" w:eastAsia="zh-CN" w:bidi="ar-SA"/>
        </w:rPr>
      </w:pPr>
    </w:p>
    <w:p>
      <w:pPr>
        <w:spacing w:line="360" w:lineRule="auto"/>
        <w:ind w:firstLine="562" w:firstLineChars="200"/>
        <w:outlineLvl w:val="1"/>
        <w:rPr>
          <w:rFonts w:hint="eastAsia" w:ascii="楷体" w:hAnsi="楷体" w:eastAsia="楷体" w:cs="楷体"/>
          <w:b/>
          <w:bCs/>
          <w:color w:val="auto"/>
          <w:sz w:val="28"/>
          <w:szCs w:val="28"/>
          <w:highlight w:val="none"/>
        </w:rPr>
      </w:pPr>
      <w:bookmarkStart w:id="104" w:name="_Toc8221"/>
      <w:r>
        <w:rPr>
          <w:rFonts w:hint="eastAsia" w:ascii="楷体" w:hAnsi="楷体" w:eastAsia="楷体" w:cs="楷体"/>
          <w:b/>
          <w:bCs/>
          <w:color w:val="auto"/>
          <w:sz w:val="28"/>
          <w:szCs w:val="28"/>
          <w:highlight w:val="none"/>
        </w:rPr>
        <w:t>（三）自然条件</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spacing w:line="360" w:lineRule="auto"/>
        <w:ind w:firstLine="562" w:firstLineChars="200"/>
        <w:outlineLvl w:val="2"/>
        <w:rPr>
          <w:rFonts w:hint="eastAsia" w:ascii="楷体" w:hAnsi="楷体" w:eastAsia="楷体" w:cs="楷体"/>
          <w:b/>
          <w:bCs/>
          <w:color w:val="auto"/>
          <w:kern w:val="0"/>
          <w:sz w:val="28"/>
          <w:szCs w:val="28"/>
          <w:highlight w:val="none"/>
        </w:rPr>
      </w:pPr>
      <w:bookmarkStart w:id="105" w:name="_Toc3147"/>
      <w:bookmarkStart w:id="106" w:name="_Toc8347"/>
      <w:bookmarkStart w:id="107" w:name="_Toc14912"/>
      <w:r>
        <w:rPr>
          <w:rFonts w:hint="eastAsia" w:ascii="楷体" w:hAnsi="楷体" w:eastAsia="楷体" w:cs="楷体"/>
          <w:b/>
          <w:bCs/>
          <w:color w:val="auto"/>
          <w:kern w:val="0"/>
          <w:sz w:val="28"/>
          <w:szCs w:val="28"/>
          <w:highlight w:val="none"/>
        </w:rPr>
        <w:t>1.地形地貌</w:t>
      </w:r>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楷体" w:hAnsi="楷体" w:eastAsia="楷体" w:cs="楷体"/>
          <w:color w:val="auto"/>
          <w:sz w:val="28"/>
          <w:szCs w:val="28"/>
          <w:highlight w:val="none"/>
        </w:rPr>
      </w:pPr>
      <w:bookmarkStart w:id="108" w:name="_Toc29983"/>
      <w:r>
        <w:rPr>
          <w:rFonts w:hint="eastAsia" w:ascii="楷体" w:hAnsi="楷体" w:eastAsia="楷体" w:cs="楷体"/>
          <w:b w:val="0"/>
          <w:bCs w:val="0"/>
          <w:color w:val="auto"/>
          <w:sz w:val="28"/>
          <w:szCs w:val="28"/>
          <w:highlight w:val="none"/>
          <w:lang w:val="en-US" w:eastAsia="zh-CN"/>
        </w:rPr>
        <w:t>盘龙区地处“川滇南北构造带”的中部和“云南山字形构造带”的脊柱部分，两个构造作用的复合，形成了普渡河断裂和昆明南北马蹄型盾地，决定了盘龙区湖滨坝子和浅切割中山的地貌类型。地势北东高而南西低。南部滇池湖滨坝子，海拔1887～1900米，发育宽广的冲湖积平原，地势微向滇池倾斜，发育四级阶地及一级侵蚀台地，堆积了近千米的新生界地层，第四系下、中、上更新统地层广泛分布于湖盆周围，包括残积、坡积、洪积、冲积、湖积等沉积物或其混合类型。北部浅切割中山，是昆明城市主要水源地，属于松华坝水源保护区，海拔2100～2620米，山地、丘陵与坝子相间，又可分为中山河谷、中山丘陵、中山山地三种地貌，主要接受了古生界的沉积，包括寒武系、奥陶系、志留系、泥盆系、石炭系、二叠系地层，岩溶地貌发育，也有中生界地层零星分布。</w:t>
      </w:r>
    </w:p>
    <w:p>
      <w:pPr>
        <w:spacing w:line="360" w:lineRule="auto"/>
        <w:ind w:firstLine="562" w:firstLineChars="200"/>
        <w:outlineLvl w:val="2"/>
        <w:rPr>
          <w:rFonts w:hint="eastAsia" w:ascii="楷体" w:hAnsi="楷体" w:eastAsia="楷体" w:cs="楷体"/>
          <w:b/>
          <w:bCs/>
          <w:color w:val="auto"/>
          <w:kern w:val="0"/>
          <w:sz w:val="28"/>
          <w:szCs w:val="28"/>
          <w:highlight w:val="none"/>
        </w:rPr>
      </w:pPr>
      <w:bookmarkStart w:id="109" w:name="_Toc21234"/>
      <w:bookmarkStart w:id="110" w:name="_Toc30553"/>
      <w:r>
        <w:rPr>
          <w:rFonts w:hint="eastAsia" w:ascii="楷体" w:hAnsi="楷体" w:eastAsia="楷体" w:cs="楷体"/>
          <w:b/>
          <w:bCs/>
          <w:color w:val="auto"/>
          <w:kern w:val="0"/>
          <w:sz w:val="28"/>
          <w:szCs w:val="28"/>
          <w:highlight w:val="none"/>
        </w:rPr>
        <w:t>2.气候</w:t>
      </w:r>
      <w:bookmarkEnd w:id="108"/>
      <w:bookmarkEnd w:id="109"/>
      <w:bookmarkEnd w:id="11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楷体" w:hAnsi="楷体" w:eastAsia="楷体" w:cs="楷体"/>
          <w:b w:val="0"/>
          <w:bCs w:val="0"/>
          <w:color w:val="auto"/>
          <w:sz w:val="28"/>
          <w:szCs w:val="28"/>
          <w:highlight w:val="none"/>
          <w:lang w:val="en-US" w:eastAsia="zh-CN"/>
        </w:rPr>
      </w:pPr>
      <w:bookmarkStart w:id="111" w:name="_Toc26342"/>
      <w:r>
        <w:rPr>
          <w:rFonts w:hint="eastAsia" w:ascii="楷体" w:hAnsi="楷体" w:eastAsia="楷体" w:cs="楷体"/>
          <w:b w:val="0"/>
          <w:bCs w:val="0"/>
          <w:color w:val="auto"/>
          <w:sz w:val="28"/>
          <w:szCs w:val="28"/>
          <w:highlight w:val="none"/>
          <w:lang w:val="en-US" w:eastAsia="zh-CN"/>
        </w:rPr>
        <w:t>盘龙区属亚热带半湿润季风气候，主要受西南季风和热带大陆气团交替影响。滇池沿湖坝区，属中亚热带气候，年平均气温14.7℃，最冷月均温7.5℃，最热月均温19.7℃，≥10℃天数264天，≥10℃积温4510℃，年平均降雨量917毫米，年平均蒸发量1167毫米，年平均无霜期232天，具有低纬度高海拔季风气候特征。主要气候特点是冬无严寒、夏无酷暑、冬暖夏凉、四季如春，冬干夏湿、干湿分明。湖盆周围中山山地，属北亚热带气候，少数2500米以上山地，属暖温带气候。</w:t>
      </w:r>
    </w:p>
    <w:p>
      <w:pPr>
        <w:spacing w:line="360" w:lineRule="auto"/>
        <w:ind w:firstLine="562" w:firstLineChars="200"/>
        <w:outlineLvl w:val="9"/>
        <w:rPr>
          <w:rFonts w:hint="eastAsia" w:ascii="楷体" w:hAnsi="楷体" w:eastAsia="楷体" w:cs="楷体"/>
          <w:b/>
          <w:bCs/>
          <w:color w:val="auto"/>
          <w:kern w:val="0"/>
          <w:sz w:val="28"/>
          <w:szCs w:val="28"/>
          <w:highlight w:val="none"/>
        </w:rPr>
      </w:pPr>
      <w:bookmarkStart w:id="112" w:name="_Toc13842"/>
    </w:p>
    <w:p>
      <w:pPr>
        <w:spacing w:line="360" w:lineRule="auto"/>
        <w:ind w:firstLine="562" w:firstLineChars="200"/>
        <w:outlineLvl w:val="2"/>
        <w:rPr>
          <w:rFonts w:hint="eastAsia" w:ascii="楷体" w:hAnsi="楷体" w:eastAsia="楷体" w:cs="楷体"/>
          <w:b/>
          <w:bCs/>
          <w:color w:val="auto"/>
          <w:kern w:val="0"/>
          <w:sz w:val="28"/>
          <w:szCs w:val="28"/>
          <w:highlight w:val="none"/>
        </w:rPr>
      </w:pPr>
      <w:bookmarkStart w:id="113" w:name="_Toc26728"/>
      <w:r>
        <w:rPr>
          <w:rFonts w:hint="eastAsia" w:ascii="楷体" w:hAnsi="楷体" w:eastAsia="楷体" w:cs="楷体"/>
          <w:b/>
          <w:bCs/>
          <w:color w:val="auto"/>
          <w:kern w:val="0"/>
          <w:sz w:val="28"/>
          <w:szCs w:val="28"/>
          <w:highlight w:val="none"/>
        </w:rPr>
        <w:t>3.水文与水文地质</w:t>
      </w:r>
      <w:bookmarkEnd w:id="112"/>
      <w:bookmarkEnd w:id="113"/>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盘龙区地处滇池流域，属金沙江水系，过境河流有盘龙江。盘龙江是昆明地区的主要河流，全长104公里，同时过境五华区、官渡区、西山区。盘龙江流域面积761平方公里，松华坝以上593平方公里，以下168平方公里，年平均径流量2.66亿立方米。盘龙江有两个源头。正源牧羊河，发源于梁王山西北嵩明阿子营喳拉箐，至岔河口汇盘龙江处长54公里，径流面积346.8平方公里，历史最大洪峰流量122立方米每秒；次源冷水河，发源于冷水洞，至岔河口汇盘龙江处长20.8公里，径流面积111.4平方公里。历史最大洪峰流量80立方米每秒。</w:t>
      </w:r>
    </w:p>
    <w:bookmarkEnd w:id="111"/>
    <w:p>
      <w:pPr>
        <w:spacing w:line="360" w:lineRule="auto"/>
        <w:ind w:firstLine="562" w:firstLineChars="200"/>
        <w:outlineLvl w:val="1"/>
        <w:rPr>
          <w:rFonts w:hint="eastAsia" w:ascii="楷体" w:hAnsi="楷体" w:eastAsia="楷体" w:cs="楷体"/>
          <w:b/>
          <w:bCs/>
          <w:color w:val="auto"/>
          <w:sz w:val="28"/>
          <w:szCs w:val="28"/>
          <w:highlight w:val="none"/>
        </w:rPr>
      </w:pPr>
      <w:bookmarkStart w:id="114" w:name="_Toc8137"/>
      <w:bookmarkStart w:id="115" w:name="_Toc5636"/>
      <w:bookmarkStart w:id="116" w:name="_Toc16335"/>
      <w:bookmarkStart w:id="117" w:name="_Toc8991"/>
      <w:bookmarkStart w:id="118" w:name="_Toc32573"/>
      <w:bookmarkStart w:id="119" w:name="_Toc14030"/>
      <w:bookmarkStart w:id="120" w:name="_Toc6928"/>
      <w:bookmarkStart w:id="121" w:name="_Toc277"/>
      <w:bookmarkStart w:id="122" w:name="_Toc832"/>
      <w:bookmarkStart w:id="123" w:name="_Toc535831266"/>
      <w:bookmarkStart w:id="124" w:name="_Toc918"/>
      <w:bookmarkStart w:id="125" w:name="_Toc2754"/>
      <w:bookmarkStart w:id="126" w:name="_Toc13156"/>
      <w:bookmarkStart w:id="127" w:name="_Toc18709"/>
      <w:r>
        <w:rPr>
          <w:rFonts w:hint="eastAsia" w:ascii="楷体" w:hAnsi="楷体" w:eastAsia="楷体" w:cs="楷体"/>
          <w:b/>
          <w:bCs/>
          <w:color w:val="auto"/>
          <w:sz w:val="28"/>
          <w:szCs w:val="28"/>
          <w:highlight w:val="none"/>
        </w:rPr>
        <w:t>（四）社会经济条件</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outlineLvl w:val="2"/>
        <w:rPr>
          <w:rFonts w:hint="eastAsia" w:ascii="楷体" w:hAnsi="楷体" w:eastAsia="楷体" w:cs="楷体"/>
          <w:b/>
          <w:bCs/>
          <w:color w:val="auto"/>
          <w:sz w:val="28"/>
          <w:szCs w:val="28"/>
          <w:highlight w:val="none"/>
          <w:lang w:val="en-US" w:eastAsia="zh-CN"/>
        </w:rPr>
      </w:pPr>
      <w:bookmarkStart w:id="128" w:name="_Toc29464"/>
      <w:bookmarkStart w:id="129" w:name="_Toc756"/>
      <w:r>
        <w:rPr>
          <w:rFonts w:hint="eastAsia" w:ascii="楷体" w:hAnsi="楷体" w:eastAsia="楷体" w:cs="楷体"/>
          <w:b/>
          <w:bCs/>
          <w:color w:val="auto"/>
          <w:sz w:val="28"/>
          <w:szCs w:val="28"/>
          <w:highlight w:val="none"/>
          <w:lang w:val="en-US" w:eastAsia="zh-CN"/>
        </w:rPr>
        <w:t>1、综合</w:t>
      </w:r>
      <w:bookmarkEnd w:id="128"/>
      <w:bookmarkEnd w:id="12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2"/>
        <w:rPr>
          <w:rFonts w:hint="eastAsia" w:ascii="楷体" w:hAnsi="楷体" w:eastAsia="楷体" w:cs="楷体"/>
          <w:b w:val="0"/>
          <w:bCs w:val="0"/>
          <w:color w:val="auto"/>
          <w:sz w:val="28"/>
          <w:szCs w:val="28"/>
          <w:highlight w:val="none"/>
          <w:lang w:val="en-US" w:eastAsia="zh-CN"/>
        </w:rPr>
      </w:pPr>
      <w:bookmarkStart w:id="130" w:name="_Toc9810"/>
      <w:bookmarkStart w:id="131" w:name="_Toc27563"/>
      <w:r>
        <w:rPr>
          <w:rFonts w:hint="eastAsia" w:ascii="楷体" w:hAnsi="楷体" w:eastAsia="楷体" w:cs="楷体"/>
          <w:b w:val="0"/>
          <w:bCs w:val="0"/>
          <w:color w:val="auto"/>
          <w:sz w:val="28"/>
          <w:szCs w:val="28"/>
          <w:highlight w:val="none"/>
          <w:lang w:val="en-US" w:eastAsia="zh-CN"/>
        </w:rPr>
        <w:t>2019年，全区生产总值完成889.25亿元，同比增长4%。其中，第一产业5.69亿元，同比增长1.5%；第二产业206.83亿元，同比增长1.3%；第三产业676.73亿元，同比增长5%。一般公共预算收入，完成43.81亿元，同比增长5.82%；一般公共预算支出51.24亿元，同比增长2.30%。固定资产投资（不含农户），完成306.48亿元。</w:t>
      </w:r>
      <w:bookmarkEnd w:id="130"/>
      <w:bookmarkEnd w:id="13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2"/>
        <w:rPr>
          <w:rFonts w:hint="eastAsia" w:ascii="楷体" w:hAnsi="楷体" w:eastAsia="楷体" w:cs="楷体"/>
          <w:b w:val="0"/>
          <w:bCs w:val="0"/>
          <w:color w:val="auto"/>
          <w:sz w:val="28"/>
          <w:szCs w:val="28"/>
          <w:highlight w:val="none"/>
          <w:lang w:val="en-US" w:eastAsia="zh-CN"/>
        </w:rPr>
      </w:pPr>
      <w:bookmarkStart w:id="132" w:name="_Toc23372"/>
      <w:bookmarkStart w:id="133" w:name="_Toc32456"/>
      <w:r>
        <w:rPr>
          <w:rFonts w:hint="eastAsia" w:ascii="楷体" w:hAnsi="楷体" w:eastAsia="楷体" w:cs="楷体"/>
          <w:b w:val="0"/>
          <w:bCs w:val="0"/>
          <w:color w:val="auto"/>
          <w:sz w:val="28"/>
          <w:szCs w:val="28"/>
          <w:highlight w:val="none"/>
          <w:lang w:val="en-US" w:eastAsia="zh-CN"/>
        </w:rPr>
        <w:t>2020年，盘龙区全区地区生产总值928.16亿元，同比增长2.6%，增速较前三季度提高1.1个百分点。第一产业增加值5.95亿元，同比增长2.2%；第二产业增加值188.74亿元，同比下降6.0%，第三产业增加值733.47亿元，同比增长5.5%。</w:t>
      </w:r>
      <w:bookmarkEnd w:id="132"/>
      <w:bookmarkEnd w:id="133"/>
      <w:r>
        <w:rPr>
          <w:rFonts w:hint="eastAsia" w:ascii="楷体" w:hAnsi="楷体" w:eastAsia="楷体" w:cs="楷体"/>
          <w:b w:val="0"/>
          <w:bCs w:val="0"/>
          <w:color w:val="auto"/>
          <w:sz w:val="28"/>
          <w:szCs w:val="28"/>
          <w:highlight w:val="none"/>
          <w:lang w:val="en-US" w:eastAsia="zh-CN"/>
        </w:rPr>
        <w:t xml:space="preserve"> </w:t>
      </w:r>
    </w:p>
    <w:p>
      <w:pPr>
        <w:pStyle w:val="2"/>
        <w:outlineLvl w:val="9"/>
        <w:rPr>
          <w:rFonts w:hint="eastAsia" w:ascii="楷体" w:hAnsi="楷体" w:eastAsia="楷体" w:cs="楷体"/>
          <w:b w:val="0"/>
          <w:bCs w:val="0"/>
          <w:color w:val="auto"/>
          <w:sz w:val="28"/>
          <w:szCs w:val="28"/>
          <w:highlight w:val="none"/>
          <w:lang w:val="en-US" w:eastAsia="zh-CN"/>
        </w:rPr>
      </w:pPr>
      <w:r>
        <w:drawing>
          <wp:anchor distT="0" distB="0" distL="114300" distR="114300" simplePos="0" relativeHeight="251663360" behindDoc="0" locked="0" layoutInCell="1" allowOverlap="1">
            <wp:simplePos x="0" y="0"/>
            <wp:positionH relativeFrom="column">
              <wp:posOffset>-421640</wp:posOffset>
            </wp:positionH>
            <wp:positionV relativeFrom="page">
              <wp:posOffset>1306830</wp:posOffset>
            </wp:positionV>
            <wp:extent cx="6576060" cy="4028440"/>
            <wp:effectExtent l="0" t="0" r="15240" b="10160"/>
            <wp:wrapTopAndBottom/>
            <wp:docPr id="6" name="图表 2" descr="7b0a202020202263686172745265734964223a2022323034373333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pStyle w:val="2"/>
        <w:jc w:val="center"/>
        <w:rPr>
          <w:rFonts w:hint="default" w:ascii="楷体" w:hAnsi="楷体" w:eastAsia="楷体" w:cs="楷体"/>
          <w:b w:val="0"/>
          <w:bCs w:val="0"/>
          <w:color w:val="auto"/>
          <w:sz w:val="28"/>
          <w:szCs w:val="28"/>
          <w:highlight w:val="none"/>
          <w:lang w:val="en-US" w:eastAsia="zh-CN"/>
        </w:rPr>
      </w:pPr>
      <w:bookmarkStart w:id="134" w:name="_Toc29146"/>
      <w:r>
        <w:rPr>
          <w:rFonts w:hint="eastAsia" w:ascii="楷体" w:hAnsi="楷体" w:eastAsia="楷体" w:cs="楷体"/>
          <w:b w:val="0"/>
          <w:bCs w:val="0"/>
          <w:color w:val="auto"/>
          <w:sz w:val="28"/>
          <w:szCs w:val="28"/>
          <w:highlight w:val="none"/>
          <w:lang w:val="en-US" w:eastAsia="zh-CN"/>
        </w:rPr>
        <w:t>图2-2 2016-2020年盘龙区地区生产总值及增长速度图</w:t>
      </w:r>
      <w:bookmarkEnd w:id="134"/>
    </w:p>
    <w:p>
      <w:pPr>
        <w:pStyle w:val="2"/>
        <w:outlineLvl w:val="9"/>
        <w:rPr>
          <w:rFonts w:hint="default" w:ascii="楷体" w:hAnsi="楷体" w:eastAsia="楷体" w:cs="楷体"/>
          <w:b w:val="0"/>
          <w:bCs w:val="0"/>
          <w:color w:val="auto"/>
          <w:sz w:val="28"/>
          <w:szCs w:val="28"/>
          <w:highlight w:val="none"/>
          <w:lang w:val="en-US" w:eastAsia="zh-CN"/>
        </w:rPr>
      </w:pPr>
    </w:p>
    <w:p>
      <w:pPr>
        <w:rPr>
          <w:rFonts w:hint="eastAsia"/>
          <w:lang w:val="en-US" w:eastAsia="zh-CN"/>
        </w:rPr>
      </w:pPr>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bookmarkStart w:id="135" w:name="6-2"/>
      <w:bookmarkEnd w:id="135"/>
      <w:bookmarkStart w:id="136" w:name="6_2"/>
      <w:bookmarkEnd w:id="136"/>
      <w:bookmarkStart w:id="137" w:name="sub481139_6_2"/>
      <w:bookmarkEnd w:id="137"/>
      <w:bookmarkStart w:id="138" w:name="第一产业"/>
      <w:bookmarkEnd w:id="138"/>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盘龙区第一产业：</w:t>
      </w:r>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盘龙区是昆明市主城区，无第一产业。</w:t>
      </w:r>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bookmarkStart w:id="139" w:name="sub481139_6_3"/>
      <w:bookmarkEnd w:id="139"/>
      <w:bookmarkStart w:id="140" w:name="6-3"/>
      <w:bookmarkEnd w:id="140"/>
      <w:bookmarkStart w:id="141" w:name="第二产业"/>
      <w:bookmarkEnd w:id="141"/>
      <w:bookmarkStart w:id="142" w:name="6_3"/>
      <w:bookmarkEnd w:id="142"/>
      <w:r>
        <w:rPr>
          <w:rFonts w:hint="eastAsia" w:ascii="楷体" w:hAnsi="楷体" w:eastAsia="楷体" w:cs="楷体"/>
          <w:b w:val="0"/>
          <w:bCs w:val="0"/>
          <w:color w:val="auto"/>
          <w:sz w:val="28"/>
          <w:szCs w:val="28"/>
          <w:highlight w:val="none"/>
          <w:lang w:val="en-US" w:eastAsia="zh-CN"/>
        </w:rPr>
        <w:t>盘龙区第二产业;</w:t>
      </w:r>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2014年开年以来，工业产品市场价格下跌，原材料和用工成本上升，市场结构性矛盾突出，非金属制品制造业、装备制造业等行业冲击严重，全区工业经济下行压力不断增大。全区主要支撑行业“贵金属冶炼业”年末发力扭转颓势，实现增加值46.8亿元，占规模以上工业增加值64.5%，同比增长24.1%，对规模以上工业增加值贡献率为129.7%，拉动增长14.4个百分点。</w:t>
      </w:r>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 xml:space="preserve">全区19个行业中，增加值呈现8增11降的态势。其中，有3个行业增长超过20%。分别是：燃气生产和供应业增长36.4%，有色金属冶炼和压延加工业增长23.8%，酒饮料和精制茶制造业增长23.6%。 </w:t>
      </w:r>
      <w:bookmarkStart w:id="143" w:name="ref_[7]_481139"/>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bookmarkStart w:id="144" w:name="第三产业"/>
      <w:bookmarkEnd w:id="144"/>
      <w:bookmarkStart w:id="145" w:name="sub481139_6_4"/>
      <w:bookmarkEnd w:id="145"/>
      <w:bookmarkStart w:id="146" w:name="6_4"/>
      <w:bookmarkEnd w:id="146"/>
      <w:bookmarkStart w:id="147" w:name="6-4"/>
      <w:bookmarkEnd w:id="147"/>
      <w:r>
        <w:rPr>
          <w:rFonts w:hint="eastAsia" w:ascii="楷体" w:hAnsi="楷体" w:eastAsia="楷体" w:cs="楷体"/>
          <w:b w:val="0"/>
          <w:bCs w:val="0"/>
          <w:color w:val="auto"/>
          <w:sz w:val="28"/>
          <w:szCs w:val="28"/>
          <w:highlight w:val="none"/>
          <w:lang w:val="en-US" w:eastAsia="zh-CN"/>
        </w:rPr>
        <w:t>盘龙区第三产业：</w:t>
      </w:r>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 xml:space="preserve">2014年，全区社会消费品零售总额完成375.19亿元，同比增长11.45%，增速低于全市平均水平0.51个百分点。其中，限额以上社会消费品零售额完成294.41亿元，同比增长5.99%。　全区零售业共有19种商品类别，其中13种商品类别呈增长态势，6种商品类别为下滑态势。对全区社会消费品零售总额起拉动作用的商品主要为以下6类：粮油食品饮料烟酒类（同比增长17%）、化妆品类（同比增长7.4%）、日用品类（同比增长39.7%）、体育娱乐用品类（同比增长40%）、家用电器和音像制品类（同比增长24.6%），家具类（同比增长14.2%）。 </w:t>
      </w:r>
      <w:bookmarkEnd w:id="143"/>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2018年，盘龙区大力推进产城融合，国家植物博物馆选址茨坝，生物科技创新中心加速打造，汽车产业服务孵化园实现开园，为生物科技、大健康、文化旅游、汽车服务等产业发展注入新动能。楼宇（总部）经济对现代服务业引领作用充分发挥，保有税收千万元以上楼宇 40 幢，其中亿元以上楼宇 14 幢，是全省唯一荣获“中国楼宇经济最具投资价值城区”奖的县区。</w:t>
      </w:r>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2018年，盘龙区兑现楼宇（总部）经济和现代服务业奖励扶持资金 4572 万元，成立楼宇经济促进会，评定星级楼宇 26 幢，引入区域型总部企业 3 户，第三产业完成增加值487.86 亿元。社会消费品零售总额完成 554.52 亿元，同比增长11.1%。</w:t>
      </w:r>
    </w:p>
    <w:p>
      <w:pPr>
        <w:widowControl/>
        <w:spacing w:line="360" w:lineRule="auto"/>
        <w:ind w:firstLine="560" w:firstLineChars="200"/>
        <w:jc w:val="left"/>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完成“一部手机游云南”阶段性任务，重拳整治旅游市场秩序，实现旅游综合收入 303.55 亿元</w:t>
      </w:r>
    </w:p>
    <w:p>
      <w:pPr>
        <w:widowControl/>
        <w:numPr>
          <w:ilvl w:val="0"/>
          <w:numId w:val="8"/>
        </w:numPr>
        <w:shd w:val="clear" w:color="auto" w:fill="FFFFFF"/>
        <w:spacing w:line="360" w:lineRule="auto"/>
        <w:ind w:firstLine="560"/>
        <w:outlineLvl w:val="2"/>
        <w:rPr>
          <w:rFonts w:hint="eastAsia" w:ascii="楷体" w:hAnsi="楷体" w:eastAsia="楷体" w:cs="楷体"/>
          <w:b/>
          <w:bCs/>
          <w:color w:val="auto"/>
          <w:sz w:val="28"/>
          <w:szCs w:val="28"/>
          <w:highlight w:val="none"/>
          <w:lang w:val="en-US" w:eastAsia="zh-CN"/>
        </w:rPr>
      </w:pPr>
      <w:bookmarkStart w:id="148" w:name="_Toc10798"/>
      <w:bookmarkStart w:id="149" w:name="_Toc29347"/>
      <w:r>
        <w:rPr>
          <w:rFonts w:hint="eastAsia" w:ascii="楷体" w:hAnsi="楷体" w:eastAsia="楷体" w:cs="楷体"/>
          <w:b/>
          <w:bCs/>
          <w:color w:val="auto"/>
          <w:sz w:val="28"/>
          <w:szCs w:val="28"/>
          <w:highlight w:val="none"/>
          <w:lang w:val="en-US" w:eastAsia="zh-CN"/>
        </w:rPr>
        <w:t>农业</w:t>
      </w:r>
      <w:bookmarkEnd w:id="148"/>
      <w:bookmarkEnd w:id="14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2018年全年农林牧渔业总产值8.22亿元，扣除物价因素同比增长    1.5%。其中：农业产值6.63亿元，同比增长7.7%；林业产值0.4亿元，同比增长37%；畜牧业产值0.93亿元，同比下降20%；渔业产值0.07亿元，同比下降5.0%；农林牧渔服务业产值0.18亿元，同比增长25%。</w:t>
      </w:r>
    </w:p>
    <w:p>
      <w:pPr>
        <w:widowControl/>
        <w:numPr>
          <w:ilvl w:val="0"/>
          <w:numId w:val="0"/>
        </w:numPr>
        <w:shd w:val="clear" w:color="auto" w:fill="FFFFFF"/>
        <w:spacing w:line="360" w:lineRule="auto"/>
        <w:ind w:firstLine="560" w:firstLineChars="200"/>
        <w:outlineLvl w:val="9"/>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全年粮食播种面积6180.9公顷，同比下降7.63%，总产量23355吨，同比下降9.05%。蔬菜播种面积3528.9公顷，同比增长0.87%，总产量94652吨，同比增长3.96%。花卉种植面积410.6公顷，同比下降16.63%，鲜切花产量3900万枝，同比下降7.81%。</w:t>
      </w:r>
    </w:p>
    <w:p>
      <w:pPr>
        <w:widowControl/>
        <w:numPr>
          <w:ilvl w:val="0"/>
          <w:numId w:val="0"/>
        </w:numPr>
        <w:shd w:val="clear" w:color="auto" w:fill="FFFFFF"/>
        <w:spacing w:line="360" w:lineRule="auto"/>
        <w:ind w:firstLine="560" w:firstLineChars="200"/>
        <w:outlineLvl w:val="9"/>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2020年全年农林牧渔业总产值9.51亿元，扣除物价因素比上年增长1.5%。其中：农业产值7.22亿元，下降1.8%；林业产值0.79亿元，增长36.6%；畜牧业产值1.17亿元，增长2.7%；渔业产值0.06亿元，增长0.8%；农林牧渔专业及辅助性活动产值0.27亿元，增长14.0%。</w:t>
      </w:r>
    </w:p>
    <w:p>
      <w:pPr>
        <w:widowControl/>
        <w:numPr>
          <w:ilvl w:val="0"/>
          <w:numId w:val="0"/>
        </w:numPr>
        <w:shd w:val="clear" w:color="auto" w:fill="FFFFFF"/>
        <w:spacing w:line="360" w:lineRule="auto"/>
        <w:ind w:firstLine="560" w:firstLineChars="200"/>
        <w:outlineLvl w:val="9"/>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全年粮食播种面积7593公顷，比上年增长4.2%，总产量32090吨，比上年增产3.8%；蔬菜播种面积3995公顷，增长12.9%，总产量98277吨，增产5.2%；花卉种植面积95.6公顷，下降76.5%，鲜切花产量2952万枝，减产18.6%；水产品产量230吨，下降22.3%。全年肉类总产量2637吨，比上年增长18.5%。其中，猪肉产量1724吨，增长12.9%；牛肉产量235吨，增长9.9%；羊肉产量182吨，增长6.8%；禽肉产量497吨，增长58.0%。禽蛋产量822吨，比上年下降45.9%；大牲畜年末存栏5112头，比上年增长3.5%；猪年末存栏14789头，比上年增长16.1%；肉用牛出栏1942头，比上年增长2.8%；肉用猪出栏16649头，比上年增长14.5%。</w:t>
      </w:r>
    </w:p>
    <w:p>
      <w:pPr>
        <w:pStyle w:val="2"/>
        <w:outlineLvl w:val="9"/>
        <w:rPr>
          <w:rFonts w:hint="eastAsia"/>
          <w:lang w:val="en-US" w:eastAsia="zh-CN"/>
        </w:rPr>
      </w:pPr>
    </w:p>
    <w:tbl>
      <w:tblPr>
        <w:tblStyle w:val="45"/>
        <w:tblpPr w:leftFromText="180" w:rightFromText="180" w:vertAnchor="text" w:horzAnchor="page" w:tblpX="1659" w:tblpY="727"/>
        <w:tblOverlap w:val="never"/>
        <w:tblW w:w="5000" w:type="pct"/>
        <w:jc w:val="center"/>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99"/>
        <w:gridCol w:w="1560"/>
        <w:gridCol w:w="2078"/>
        <w:gridCol w:w="2439"/>
      </w:tblGrid>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1391"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30" w:type="dxa"/>
              <w:bottom w:w="0" w:type="dxa"/>
              <w:right w:w="3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产品名称</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30" w:type="dxa"/>
              <w:bottom w:w="0" w:type="dxa"/>
              <w:right w:w="3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计量单位</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30" w:type="dxa"/>
              <w:bottom w:w="0" w:type="dxa"/>
              <w:right w:w="3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产量</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30" w:type="dxa"/>
              <w:bottom w:w="0" w:type="dxa"/>
              <w:right w:w="3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比上年增长（±%）</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粮食</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吨</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32090</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3. 8</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蔬菜</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吨</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98277</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5. 2</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烟叶</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吨</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3016</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-9.4</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鲜切花</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万枝</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2952</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-18.6</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水产品产量</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吨</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230</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-22.3</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肉类总产量</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吨</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2637</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18. 5</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禽蛋产量</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吨</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822</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-45.9</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大牲畜年末存栏</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头</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5112</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3. 5</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猪年末存栏</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头</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14789</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16. 1</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15" w:type="dxa"/>
            <w:left w:w="15" w:type="dxa"/>
            <w:bottom w:w="15" w:type="dxa"/>
            <w:right w:w="15" w:type="dxa"/>
          </w:tblCellMar>
        </w:tblPrEx>
        <w:trPr>
          <w:cantSplit/>
          <w:trHeight w:val="706"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肉用牛出栏</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头</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1942</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2. 8</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728" w:hRule="atLeast"/>
          <w:tblHeader/>
          <w:jc w:val="center"/>
        </w:trPr>
        <w:tc>
          <w:tcPr>
            <w:tcW w:w="1652"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肉用猪出栏</w:t>
            </w:r>
          </w:p>
        </w:tc>
        <w:tc>
          <w:tcPr>
            <w:tcW w:w="859"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头</w:t>
            </w:r>
          </w:p>
        </w:tc>
        <w:tc>
          <w:tcPr>
            <w:tcW w:w="1144"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16649</w:t>
            </w:r>
          </w:p>
        </w:tc>
        <w:tc>
          <w:tcPr>
            <w:tcW w:w="1343"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390" w:type="dxa"/>
            </w:tcMar>
            <w:vAlign w:val="center"/>
          </w:tcPr>
          <w:p>
            <w:pPr>
              <w:pStyle w:val="40"/>
              <w:keepNext w:val="0"/>
              <w:keepLines w:val="0"/>
              <w:widowControl/>
              <w:suppressLineNumbers w:val="0"/>
              <w:spacing w:line="360" w:lineRule="auto"/>
              <w:ind w:left="0" w:leftChars="0" w:firstLine="0" w:firstLineChars="0"/>
              <w:jc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14. 5</w:t>
            </w:r>
          </w:p>
        </w:tc>
      </w:tr>
    </w:tbl>
    <w:p>
      <w:pPr>
        <w:pStyle w:val="2"/>
        <w:jc w:val="center"/>
        <w:rPr>
          <w:rFonts w:hint="eastAsia"/>
          <w:lang w:val="en-US" w:eastAsia="zh-CN"/>
        </w:rPr>
      </w:pPr>
      <w:bookmarkStart w:id="150" w:name="_Toc3658"/>
      <w:r>
        <w:rPr>
          <w:rFonts w:hint="eastAsia" w:ascii="楷体" w:hAnsi="楷体" w:eastAsia="楷体" w:cs="楷体"/>
          <w:i w:val="0"/>
          <w:color w:val="000000"/>
          <w:kern w:val="0"/>
          <w:sz w:val="24"/>
          <w:szCs w:val="24"/>
          <w:highlight w:val="none"/>
          <w:u w:val="none"/>
          <w:lang w:val="en-US" w:eastAsia="zh-CN" w:bidi="ar"/>
        </w:rPr>
        <w:t>表2-2 2020年盘龙区主要农产品产量及其增长速度</w:t>
      </w:r>
      <w:bookmarkEnd w:id="150"/>
    </w:p>
    <w:p>
      <w:pPr>
        <w:widowControl/>
        <w:numPr>
          <w:ilvl w:val="0"/>
          <w:numId w:val="0"/>
        </w:numPr>
        <w:shd w:val="clear" w:color="auto" w:fill="FFFFFF"/>
        <w:spacing w:line="360" w:lineRule="auto"/>
        <w:ind w:firstLine="560" w:firstLineChars="200"/>
        <w:outlineLvl w:val="9"/>
        <w:rPr>
          <w:rFonts w:hint="eastAsia" w:ascii="楷体" w:hAnsi="楷体" w:eastAsia="楷体" w:cs="楷体"/>
          <w:b w:val="0"/>
          <w:bCs w:val="0"/>
          <w:color w:val="auto"/>
          <w:sz w:val="28"/>
          <w:szCs w:val="28"/>
          <w:highlight w:val="none"/>
          <w:lang w:val="en-US" w:eastAsia="zh-CN"/>
        </w:rPr>
      </w:pPr>
    </w:p>
    <w:p>
      <w:pPr>
        <w:pStyle w:val="2"/>
        <w:outlineLvl w:val="9"/>
        <w:rPr>
          <w:rFonts w:hint="eastAsia"/>
          <w:lang w:val="en-US" w:eastAsia="zh-CN"/>
        </w:rPr>
      </w:pPr>
    </w:p>
    <w:p>
      <w:pPr>
        <w:widowControl/>
        <w:numPr>
          <w:ilvl w:val="0"/>
          <w:numId w:val="8"/>
        </w:numPr>
        <w:shd w:val="clear" w:color="auto" w:fill="FFFFFF"/>
        <w:spacing w:line="360" w:lineRule="auto"/>
        <w:ind w:firstLine="560"/>
        <w:outlineLvl w:val="2"/>
        <w:rPr>
          <w:rFonts w:hint="eastAsia" w:ascii="楷体" w:hAnsi="楷体" w:eastAsia="楷体" w:cs="楷体"/>
          <w:b/>
          <w:bCs/>
          <w:color w:val="auto"/>
          <w:sz w:val="28"/>
          <w:szCs w:val="28"/>
          <w:highlight w:val="none"/>
          <w:lang w:val="en-US" w:eastAsia="zh-CN"/>
        </w:rPr>
      </w:pPr>
      <w:bookmarkStart w:id="151" w:name="_Toc25711"/>
      <w:bookmarkStart w:id="152" w:name="_Toc28894"/>
      <w:r>
        <w:rPr>
          <w:rFonts w:hint="eastAsia" w:ascii="楷体" w:hAnsi="楷体" w:eastAsia="楷体" w:cs="楷体"/>
          <w:b/>
          <w:bCs/>
          <w:color w:val="auto"/>
          <w:sz w:val="28"/>
          <w:szCs w:val="28"/>
          <w:highlight w:val="none"/>
          <w:lang w:val="en-US" w:eastAsia="zh-CN"/>
        </w:rPr>
        <w:t>工业和建筑业</w:t>
      </w:r>
      <w:bookmarkEnd w:id="151"/>
      <w:bookmarkEnd w:id="15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2018年全年工业增加值125.22亿元，同比增长29.6%，其中规模以上工业增加值同比增长33%。全年工业总产值169.34亿元，同比增长72.34%。其中：轻工业总产值27.84亿元，同比增长1.76%；重工业总产值141.49亿元，同比增长99.57%。</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2018年全年建筑业总产值524.34亿元，同比增长27.54%。其中：建筑工程产值447.87亿元，同比增长39.12%；安装工程产值60.68亿元，同比增长13.44%。全年建筑业增加值87.56亿元，同比增长14.3%。</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2020全年工业增加值81.21亿元，比上年增长3.2%，其中规模以上工业增加值增长3.0%。在规模以上工业中，医药制品业增加值增长39.6%，烟草制品业增加值增长0.2%，电力、热力生产和供应业增加值净增长。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 xml:space="preserve">2020全年规模以上工业总产值204.87亿元，比上年增长14.1%。其中，轻工业总产值23.15亿元，下降4.6%；重工业总产值181.72亿元，增长17.0%。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2020全年规模以上工业企业利润总额28.64亿元，比上年增长294.2%。分经济类型看，国有企业亏损0.07亿元，增长542.8%；股份制企业利润23.56亿元，增长886.4%；外商及港澳台商投资企业利润5.15亿元，增长5.4%。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楷体" w:hAnsi="楷体" w:eastAsia="楷体" w:cs="楷体"/>
          <w:b w:val="0"/>
          <w:bCs w:val="0"/>
          <w:color w:val="auto"/>
          <w:sz w:val="28"/>
          <w:szCs w:val="28"/>
          <w:highlight w:val="none"/>
          <w:lang w:val="en-US" w:eastAsia="zh-CN"/>
        </w:rPr>
      </w:pPr>
      <w:r>
        <w:rPr>
          <w:rFonts w:hint="eastAsia" w:ascii="楷体" w:hAnsi="楷体" w:eastAsia="楷体" w:cs="楷体"/>
          <w:b w:val="0"/>
          <w:bCs w:val="0"/>
          <w:color w:val="auto"/>
          <w:sz w:val="28"/>
          <w:szCs w:val="28"/>
          <w:highlight w:val="none"/>
          <w:lang w:val="en-US" w:eastAsia="zh-CN"/>
        </w:rPr>
        <w:t>2020全年建筑业总产值460.38亿元，比上年下降14.3%。其中，建筑工程产值387.68亿元，下降13.2%；安装工程产值55.09亿元，下降22.9%；其他产值17.61亿元，下降9.1%。建筑业增加值107.54亿元，比上年下降13.7%</w:t>
      </w:r>
    </w:p>
    <w:p>
      <w:pPr>
        <w:pStyle w:val="2"/>
        <w:outlineLvl w:val="9"/>
        <w:rPr>
          <w:rFonts w:hint="eastAsia" w:ascii="楷体" w:hAnsi="楷体" w:eastAsia="楷体" w:cs="楷体"/>
          <w:b w:val="0"/>
          <w:bCs w:val="0"/>
          <w:color w:val="auto"/>
          <w:sz w:val="28"/>
          <w:szCs w:val="28"/>
          <w:highlight w:val="none"/>
          <w:lang w:val="en-US" w:eastAsia="zh-CN"/>
        </w:rPr>
      </w:pPr>
    </w:p>
    <w:p>
      <w:pPr>
        <w:jc w:val="center"/>
        <w:rPr>
          <w:rFonts w:hint="default" w:ascii="楷体" w:hAnsi="楷体" w:eastAsia="楷体" w:cs="楷体"/>
          <w:b w:val="0"/>
          <w:bCs w:val="0"/>
          <w:color w:val="auto"/>
          <w:sz w:val="28"/>
          <w:szCs w:val="28"/>
          <w:highlight w:val="none"/>
          <w:lang w:val="en-US" w:eastAsia="zh-CN"/>
        </w:rPr>
      </w:pPr>
      <w:r>
        <w:drawing>
          <wp:anchor distT="0" distB="0" distL="114300" distR="114300" simplePos="0" relativeHeight="251664384" behindDoc="0" locked="0" layoutInCell="1" allowOverlap="1">
            <wp:simplePos x="0" y="0"/>
            <wp:positionH relativeFrom="column">
              <wp:posOffset>-513080</wp:posOffset>
            </wp:positionH>
            <wp:positionV relativeFrom="paragraph">
              <wp:posOffset>158115</wp:posOffset>
            </wp:positionV>
            <wp:extent cx="6840220" cy="4019550"/>
            <wp:effectExtent l="0" t="0" r="17780" b="0"/>
            <wp:wrapTopAndBottom/>
            <wp:docPr id="9" name="图表 2" descr="7b0a202020202263686172745265734964223a2022323034373333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楷体" w:hAnsi="楷体" w:eastAsia="楷体" w:cs="楷体"/>
          <w:b w:val="0"/>
          <w:bCs w:val="0"/>
          <w:color w:val="auto"/>
          <w:sz w:val="28"/>
          <w:szCs w:val="28"/>
          <w:highlight w:val="none"/>
          <w:lang w:val="en-US" w:eastAsia="zh-CN"/>
        </w:rPr>
        <w:t>图2-2 2016-2020年盘龙区地区生产总值及增长速图</w:t>
      </w:r>
    </w:p>
    <w:p>
      <w:pPr>
        <w:spacing w:line="360" w:lineRule="auto"/>
        <w:outlineLvl w:val="9"/>
        <w:rPr>
          <w:rFonts w:hint="eastAsia" w:ascii="楷体" w:hAnsi="楷体" w:eastAsia="楷体" w:cs="楷体"/>
          <w:b/>
          <w:bCs/>
          <w:color w:val="auto"/>
          <w:sz w:val="28"/>
          <w:szCs w:val="28"/>
          <w:highlight w:val="none"/>
        </w:rPr>
      </w:pPr>
    </w:p>
    <w:p>
      <w:pPr>
        <w:spacing w:line="360" w:lineRule="auto"/>
        <w:ind w:left="0" w:leftChars="0" w:firstLine="560" w:firstLineChars="0"/>
        <w:outlineLvl w:val="9"/>
        <w:rPr>
          <w:rFonts w:hint="eastAsia" w:ascii="楷体" w:hAnsi="楷体" w:eastAsia="楷体" w:cs="楷体"/>
          <w:b/>
          <w:bCs/>
          <w:color w:val="auto"/>
          <w:sz w:val="28"/>
          <w:szCs w:val="28"/>
          <w:highlight w:val="none"/>
        </w:rPr>
      </w:pPr>
    </w:p>
    <w:p>
      <w:pPr>
        <w:spacing w:line="360" w:lineRule="auto"/>
        <w:ind w:left="0" w:leftChars="0" w:firstLine="560" w:firstLineChars="0"/>
        <w:outlineLvl w:val="9"/>
        <w:rPr>
          <w:rFonts w:hint="eastAsia" w:ascii="楷体" w:hAnsi="楷体" w:eastAsia="楷体" w:cs="楷体"/>
          <w:b/>
          <w:bCs/>
          <w:color w:val="auto"/>
          <w:sz w:val="28"/>
          <w:szCs w:val="28"/>
          <w:highlight w:val="none"/>
        </w:rPr>
      </w:pPr>
    </w:p>
    <w:p>
      <w:pPr>
        <w:spacing w:line="360" w:lineRule="auto"/>
        <w:ind w:left="0" w:leftChars="0" w:firstLine="560" w:firstLineChars="0"/>
        <w:outlineLvl w:val="9"/>
        <w:rPr>
          <w:rFonts w:hint="eastAsia" w:ascii="楷体" w:hAnsi="楷体" w:eastAsia="楷体" w:cs="楷体"/>
          <w:b/>
          <w:bCs/>
          <w:color w:val="auto"/>
          <w:sz w:val="28"/>
          <w:szCs w:val="28"/>
          <w:highlight w:val="none"/>
        </w:rPr>
      </w:pPr>
    </w:p>
    <w:p>
      <w:pPr>
        <w:spacing w:line="360" w:lineRule="auto"/>
        <w:ind w:left="0" w:leftChars="0" w:firstLine="560" w:firstLineChars="0"/>
        <w:outlineLvl w:val="9"/>
        <w:rPr>
          <w:rFonts w:hint="eastAsia" w:ascii="楷体" w:hAnsi="楷体" w:eastAsia="楷体" w:cs="楷体"/>
          <w:b/>
          <w:bCs/>
          <w:color w:val="auto"/>
          <w:sz w:val="28"/>
          <w:szCs w:val="28"/>
          <w:highlight w:val="none"/>
        </w:rPr>
      </w:pPr>
    </w:p>
    <w:p>
      <w:pPr>
        <w:spacing w:line="360" w:lineRule="auto"/>
        <w:ind w:left="0" w:leftChars="0" w:firstLine="560" w:firstLineChars="0"/>
        <w:outlineLvl w:val="9"/>
        <w:rPr>
          <w:rFonts w:hint="eastAsia" w:ascii="楷体" w:hAnsi="楷体" w:eastAsia="楷体" w:cs="楷体"/>
          <w:b/>
          <w:bCs/>
          <w:color w:val="auto"/>
          <w:sz w:val="28"/>
          <w:szCs w:val="28"/>
          <w:highlight w:val="none"/>
        </w:rPr>
      </w:pPr>
    </w:p>
    <w:p>
      <w:pPr>
        <w:spacing w:line="360" w:lineRule="auto"/>
        <w:ind w:left="0" w:leftChars="0" w:firstLine="560" w:firstLineChars="0"/>
        <w:outlineLvl w:val="9"/>
        <w:rPr>
          <w:rFonts w:hint="eastAsia" w:ascii="楷体" w:hAnsi="楷体" w:eastAsia="楷体" w:cs="楷体"/>
          <w:b/>
          <w:bCs/>
          <w:color w:val="auto"/>
          <w:sz w:val="28"/>
          <w:szCs w:val="28"/>
          <w:highlight w:val="none"/>
        </w:rPr>
      </w:pPr>
    </w:p>
    <w:p>
      <w:pPr>
        <w:spacing w:line="360" w:lineRule="auto"/>
        <w:ind w:left="0" w:leftChars="0" w:firstLine="560" w:firstLineChars="0"/>
        <w:outlineLvl w:val="9"/>
        <w:rPr>
          <w:rFonts w:hint="eastAsia" w:ascii="楷体" w:hAnsi="楷体" w:eastAsia="楷体" w:cs="楷体"/>
          <w:b/>
          <w:bCs/>
          <w:color w:val="auto"/>
          <w:sz w:val="28"/>
          <w:szCs w:val="28"/>
          <w:highlight w:val="none"/>
        </w:rPr>
      </w:pPr>
    </w:p>
    <w:p>
      <w:pPr>
        <w:spacing w:line="360" w:lineRule="auto"/>
        <w:ind w:left="0" w:leftChars="0" w:firstLine="560" w:firstLineChars="0"/>
        <w:outlineLvl w:val="9"/>
        <w:rPr>
          <w:rFonts w:hint="eastAsia" w:ascii="楷体" w:hAnsi="楷体" w:eastAsia="楷体" w:cs="楷体"/>
          <w:b/>
          <w:bCs/>
          <w:color w:val="auto"/>
          <w:sz w:val="28"/>
          <w:szCs w:val="28"/>
          <w:highlight w:val="none"/>
        </w:rPr>
      </w:pPr>
    </w:p>
    <w:p>
      <w:pPr>
        <w:spacing w:line="360" w:lineRule="auto"/>
        <w:ind w:left="0" w:leftChars="0" w:firstLine="560" w:firstLineChars="0"/>
        <w:outlineLvl w:val="1"/>
        <w:rPr>
          <w:rFonts w:hint="eastAsia" w:ascii="楷体" w:hAnsi="楷体" w:eastAsia="楷体" w:cs="楷体"/>
          <w:b/>
          <w:bCs/>
          <w:color w:val="auto"/>
          <w:kern w:val="0"/>
          <w:sz w:val="24"/>
          <w:highlight w:val="none"/>
          <w:lang w:val="en-US" w:eastAsia="zh-CN"/>
        </w:rPr>
      </w:pPr>
      <w:bookmarkStart w:id="153" w:name="_Toc14807"/>
      <w:r>
        <w:rPr>
          <w:rFonts w:hint="eastAsia" w:ascii="楷体" w:hAnsi="楷体" w:eastAsia="楷体" w:cs="楷体"/>
          <w:b/>
          <w:bCs/>
          <w:color w:val="auto"/>
          <w:sz w:val="28"/>
          <w:szCs w:val="28"/>
          <w:highlight w:val="none"/>
        </w:rPr>
        <w:t>（五）区片综合地价</w:t>
      </w:r>
      <w:r>
        <w:rPr>
          <w:rFonts w:hint="eastAsia" w:ascii="楷体" w:hAnsi="楷体" w:eastAsia="楷体" w:cs="楷体"/>
          <w:b/>
          <w:bCs/>
          <w:color w:val="auto"/>
          <w:sz w:val="28"/>
          <w:szCs w:val="28"/>
          <w:highlight w:val="none"/>
          <w:lang w:val="en-US" w:eastAsia="zh-CN"/>
        </w:rPr>
        <w:t>结果</w:t>
      </w:r>
      <w:bookmarkEnd w:id="153"/>
    </w:p>
    <w:p>
      <w:pPr>
        <w:spacing w:before="156" w:beforeLines="50" w:after="156" w:afterLines="50" w:line="360" w:lineRule="auto"/>
        <w:jc w:val="center"/>
        <w:outlineLvl w:val="1"/>
        <w:rPr>
          <w:rFonts w:hint="eastAsia" w:ascii="楷体" w:hAnsi="楷体" w:eastAsia="楷体" w:cs="楷体"/>
          <w:b w:val="0"/>
          <w:bCs w:val="0"/>
          <w:color w:val="auto"/>
          <w:sz w:val="28"/>
          <w:szCs w:val="28"/>
          <w:highlight w:val="none"/>
          <w:lang w:val="en-US" w:eastAsia="zh-CN"/>
        </w:rPr>
      </w:pPr>
      <w:bookmarkStart w:id="154" w:name="_Toc20028"/>
      <w:bookmarkStart w:id="155" w:name="_Toc29819"/>
      <w:r>
        <w:rPr>
          <w:rFonts w:hint="eastAsia" w:ascii="楷体" w:hAnsi="楷体" w:eastAsia="楷体" w:cs="楷体"/>
          <w:b w:val="0"/>
          <w:bCs w:val="0"/>
          <w:color w:val="auto"/>
          <w:kern w:val="0"/>
          <w:sz w:val="24"/>
          <w:highlight w:val="none"/>
          <w:lang w:val="en-US" w:eastAsia="zh-CN"/>
        </w:rPr>
        <w:t>表2-3盘龙区区片综合地价分区结果表</w:t>
      </w:r>
      <w:bookmarkEnd w:id="154"/>
      <w:bookmarkEnd w:id="155"/>
    </w:p>
    <w:tbl>
      <w:tblPr>
        <w:tblStyle w:val="45"/>
        <w:tblW w:w="9662" w:type="dxa"/>
        <w:tblInd w:w="0" w:type="dxa"/>
        <w:shd w:val="clear" w:color="auto" w:fill="auto"/>
        <w:tblLayout w:type="fixed"/>
        <w:tblCellMar>
          <w:top w:w="0" w:type="dxa"/>
          <w:left w:w="0" w:type="dxa"/>
          <w:bottom w:w="0" w:type="dxa"/>
          <w:right w:w="0" w:type="dxa"/>
        </w:tblCellMar>
      </w:tblPr>
      <w:tblGrid>
        <w:gridCol w:w="1030"/>
        <w:gridCol w:w="5539"/>
        <w:gridCol w:w="1031"/>
        <w:gridCol w:w="1031"/>
        <w:gridCol w:w="1031"/>
      </w:tblGrid>
      <w:tr>
        <w:tblPrEx>
          <w:tblCellMar>
            <w:top w:w="0" w:type="dxa"/>
            <w:left w:w="0" w:type="dxa"/>
            <w:bottom w:w="0" w:type="dxa"/>
            <w:right w:w="0" w:type="dxa"/>
          </w:tblCellMar>
        </w:tblPrEx>
        <w:trPr>
          <w:trHeight w:val="675" w:hRule="atLeast"/>
          <w:tblHead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区片编号</w:t>
            </w:r>
          </w:p>
        </w:tc>
        <w:tc>
          <w:tcPr>
            <w:tcW w:w="5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区片范围描述</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测算单元（行政区个数）</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涉及人口(万人)</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测算面积（亩）</w:t>
            </w:r>
          </w:p>
        </w:tc>
      </w:tr>
      <w:tr>
        <w:tblPrEx>
          <w:shd w:val="clear" w:color="auto" w:fill="auto"/>
          <w:tblCellMar>
            <w:top w:w="0" w:type="dxa"/>
            <w:left w:w="0" w:type="dxa"/>
            <w:bottom w:w="0" w:type="dxa"/>
            <w:right w:w="0" w:type="dxa"/>
          </w:tblCellMar>
        </w:tblPrEx>
        <w:trPr>
          <w:trHeight w:val="900" w:hRule="atLeast"/>
          <w:tblHead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I</w:t>
            </w:r>
          </w:p>
        </w:tc>
        <w:tc>
          <w:tcPr>
            <w:tcW w:w="5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拓东街道办事处、鼓楼街道办事处、东华街道办事处、联盟街道办事处、金辰街道办事处、青云街道办事处、龙泉街道办事处的所有社区以及茨坝街道办事处的和平社区居民委员会、花渔沟居民委员会（西北绕城高速公路以南，包含花渔沟社区一组、二组、石关居民小组）</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11</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45.44</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85520.7</w:t>
            </w:r>
          </w:p>
        </w:tc>
      </w:tr>
      <w:tr>
        <w:tblPrEx>
          <w:shd w:val="clear" w:color="auto" w:fill="auto"/>
          <w:tblCellMar>
            <w:top w:w="0" w:type="dxa"/>
            <w:left w:w="0" w:type="dxa"/>
            <w:bottom w:w="0" w:type="dxa"/>
            <w:right w:w="0" w:type="dxa"/>
          </w:tblCellMar>
        </w:tblPrEx>
        <w:trPr>
          <w:trHeight w:val="450" w:hRule="atLeast"/>
          <w:tblHead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II</w:t>
            </w:r>
          </w:p>
        </w:tc>
        <w:tc>
          <w:tcPr>
            <w:tcW w:w="5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茨坝街道办事处：花渔沟居民委员会（西北绕城高速公路以北，包含华渔沟社区石关、小哨、小空山居民小组）</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0.59</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20487.64</w:t>
            </w:r>
          </w:p>
        </w:tc>
      </w:tr>
      <w:tr>
        <w:tblPrEx>
          <w:shd w:val="clear" w:color="auto" w:fill="auto"/>
          <w:tblCellMar>
            <w:top w:w="0" w:type="dxa"/>
            <w:left w:w="0" w:type="dxa"/>
            <w:bottom w:w="0" w:type="dxa"/>
            <w:right w:w="0" w:type="dxa"/>
          </w:tblCellMar>
        </w:tblPrEx>
        <w:trPr>
          <w:trHeight w:val="450" w:hRule="atLeast"/>
          <w:tblHead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III</w:t>
            </w:r>
          </w:p>
        </w:tc>
        <w:tc>
          <w:tcPr>
            <w:tcW w:w="5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双龙街道办事处：庄房村民委员会、麦地塘村民委员会、麦冲村民委员会、乌龙村民委员会</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9</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0.82</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92202.77</w:t>
            </w:r>
          </w:p>
        </w:tc>
      </w:tr>
      <w:tr>
        <w:tblPrEx>
          <w:shd w:val="clear" w:color="auto" w:fill="auto"/>
          <w:tblCellMar>
            <w:top w:w="0" w:type="dxa"/>
            <w:left w:w="0" w:type="dxa"/>
            <w:bottom w:w="0" w:type="dxa"/>
            <w:right w:w="0" w:type="dxa"/>
          </w:tblCellMar>
        </w:tblPrEx>
        <w:trPr>
          <w:trHeight w:val="675" w:hRule="atLeast"/>
          <w:tblHead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IV</w:t>
            </w:r>
          </w:p>
        </w:tc>
        <w:tc>
          <w:tcPr>
            <w:tcW w:w="5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松华街道办事处：三家村民委员会、大摆村民委员会、回流村民委员会、小河村民委员会、双玉村民委员会、团结村民委员会、大哨村民委员会</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7</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0.94</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136157.73</w:t>
            </w:r>
          </w:p>
        </w:tc>
      </w:tr>
      <w:tr>
        <w:tblPrEx>
          <w:shd w:val="clear" w:color="auto" w:fill="auto"/>
          <w:tblCellMar>
            <w:top w:w="0" w:type="dxa"/>
            <w:left w:w="0" w:type="dxa"/>
            <w:bottom w:w="0" w:type="dxa"/>
            <w:right w:w="0" w:type="dxa"/>
          </w:tblCellMar>
        </w:tblPrEx>
        <w:trPr>
          <w:trHeight w:val="450" w:hRule="atLeast"/>
          <w:tblHead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V</w:t>
            </w:r>
          </w:p>
        </w:tc>
        <w:tc>
          <w:tcPr>
            <w:tcW w:w="5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松华街道办事处：新街村民委员会以及阿子营街道办事处、滇源街道办事处的所有社区（村委会）</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36</w:t>
            </w:r>
          </w:p>
        </w:tc>
        <w:tc>
          <w:tcPr>
            <w:tcW w:w="10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8.42</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756013.14</w:t>
            </w:r>
          </w:p>
        </w:tc>
      </w:tr>
      <w:tr>
        <w:tblPrEx>
          <w:shd w:val="clear" w:color="auto" w:fill="auto"/>
          <w:tblCellMar>
            <w:top w:w="0" w:type="dxa"/>
            <w:left w:w="0" w:type="dxa"/>
            <w:bottom w:w="0" w:type="dxa"/>
            <w:right w:w="0" w:type="dxa"/>
          </w:tblCellMar>
        </w:tblPrEx>
        <w:trPr>
          <w:trHeight w:val="300" w:hRule="atLeast"/>
          <w:tblHeader/>
        </w:trPr>
        <w:tc>
          <w:tcPr>
            <w:tcW w:w="656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汇总</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64</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56.21</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sz w:val="24"/>
                <w:szCs w:val="24"/>
                <w:highlight w:val="none"/>
                <w:u w:val="none"/>
              </w:rPr>
            </w:pPr>
            <w:r>
              <w:rPr>
                <w:rFonts w:hint="eastAsia" w:ascii="楷体" w:hAnsi="楷体" w:eastAsia="楷体" w:cs="楷体"/>
                <w:i w:val="0"/>
                <w:color w:val="auto"/>
                <w:kern w:val="0"/>
                <w:sz w:val="24"/>
                <w:szCs w:val="24"/>
                <w:highlight w:val="none"/>
                <w:u w:val="none"/>
                <w:lang w:val="en-US" w:eastAsia="zh-CN" w:bidi="ar"/>
              </w:rPr>
              <w:t>1090381.97</w:t>
            </w:r>
          </w:p>
        </w:tc>
      </w:tr>
    </w:tbl>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rPr>
          <w:rFonts w:hint="eastAsia"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br w:type="page"/>
      </w:r>
    </w:p>
    <w:p>
      <w:pPr>
        <w:spacing w:line="360" w:lineRule="auto"/>
        <w:outlineLvl w:val="0"/>
        <w:rPr>
          <w:rFonts w:hint="eastAsia" w:ascii="楷体" w:hAnsi="楷体" w:eastAsia="楷体" w:cs="楷体"/>
          <w:b/>
          <w:bCs/>
          <w:color w:val="auto"/>
          <w:sz w:val="30"/>
          <w:szCs w:val="30"/>
          <w:highlight w:val="none"/>
        </w:rPr>
      </w:pPr>
      <w:bookmarkStart w:id="156" w:name="_Toc3288"/>
      <w:r>
        <w:rPr>
          <w:rFonts w:hint="eastAsia" w:ascii="楷体" w:hAnsi="楷体" w:eastAsia="楷体" w:cs="楷体"/>
          <w:b/>
          <w:bCs/>
          <w:color w:val="auto"/>
          <w:sz w:val="30"/>
          <w:szCs w:val="30"/>
          <w:highlight w:val="none"/>
        </w:rPr>
        <w:t>三、原地上附着物和青苗补偿标准的实施情况</w:t>
      </w:r>
      <w:bookmarkEnd w:id="156"/>
    </w:p>
    <w:p>
      <w:pPr>
        <w:spacing w:line="360" w:lineRule="auto"/>
        <w:ind w:firstLine="562" w:firstLineChars="200"/>
        <w:outlineLvl w:val="1"/>
        <w:rPr>
          <w:rFonts w:hint="eastAsia" w:ascii="楷体" w:hAnsi="楷体" w:eastAsia="楷体" w:cs="楷体"/>
          <w:b/>
          <w:bCs/>
          <w:color w:val="auto"/>
          <w:sz w:val="28"/>
          <w:szCs w:val="28"/>
          <w:highlight w:val="none"/>
        </w:rPr>
      </w:pPr>
      <w:bookmarkStart w:id="157" w:name="_Toc4122"/>
      <w:r>
        <w:rPr>
          <w:rFonts w:hint="eastAsia" w:ascii="楷体" w:hAnsi="楷体" w:eastAsia="楷体" w:cs="楷体"/>
          <w:b/>
          <w:bCs/>
          <w:color w:val="auto"/>
          <w:sz w:val="28"/>
          <w:szCs w:val="28"/>
          <w:highlight w:val="none"/>
        </w:rPr>
        <w:t>（一）原补偿标准的基本情况</w:t>
      </w:r>
      <w:bookmarkEnd w:id="157"/>
    </w:p>
    <w:p>
      <w:pPr>
        <w:spacing w:line="360" w:lineRule="auto"/>
        <w:ind w:firstLine="560" w:firstLineChars="200"/>
        <w:outlineLvl w:val="9"/>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目前盘龙区规划区内没有统一的地上附着物和青苗补偿标准现行执行的标准，从已有补偿案列来看，均为一个项目一个补偿标准，昆明市盘龙区人民政府办公室关于印发《盘龙区宝云片区小窑村城中村改造项目集体土地征地拆迁补偿安置方案》的通知（盘政办通</w:t>
      </w:r>
      <w:r>
        <w:rPr>
          <w:rFonts w:hint="eastAsia" w:ascii="楷体" w:hAnsi="楷体" w:eastAsia="楷体" w:cs="楷体"/>
          <w:color w:val="auto"/>
          <w:sz w:val="28"/>
          <w:highlight w:val="none"/>
        </w:rPr>
        <w:t>〔2019〕121号</w:t>
      </w:r>
      <w:r>
        <w:rPr>
          <w:rFonts w:hint="eastAsia" w:ascii="楷体" w:hAnsi="楷体" w:eastAsia="楷体" w:cs="楷体"/>
          <w:color w:val="auto"/>
          <w:sz w:val="28"/>
          <w:szCs w:val="28"/>
          <w:highlight w:val="none"/>
        </w:rPr>
        <w:t>）、昆明市盘龙区人民政府办公室关于印发《盘龙区长地埂村城中村改造项目集体土地征地拆迁补偿安置方案》的通知（盘政办通</w:t>
      </w:r>
      <w:r>
        <w:rPr>
          <w:rFonts w:hint="eastAsia" w:ascii="楷体" w:hAnsi="楷体" w:eastAsia="楷体" w:cs="楷体"/>
          <w:color w:val="auto"/>
          <w:sz w:val="28"/>
          <w:highlight w:val="none"/>
        </w:rPr>
        <w:t>〔2020〕23号</w:t>
      </w:r>
      <w:r>
        <w:rPr>
          <w:rFonts w:hint="eastAsia" w:ascii="楷体" w:hAnsi="楷体" w:eastAsia="楷体" w:cs="楷体"/>
          <w:color w:val="auto"/>
          <w:sz w:val="28"/>
          <w:szCs w:val="28"/>
          <w:highlight w:val="none"/>
        </w:rPr>
        <w:t>）、盘龙区人民政府金辰街道办事处关于《盘龙区金刀营村城中村改造项目集体土地上房屋征地拆迁补偿安置方案》的公告等案例为参照，主要涉及房屋构筑物的补偿，同一构筑物不同项目补偿标准各异且差异较大，同时补偿项目类别不全；林木涉及类别少或直接不涉及，没有相关补偿案例及标准；由于盘龙区大部分区域为城区，耕地面积较少，农作物种植面积少，青苗部分没有具体的补偿标准，补偿标准模棱两可。</w:t>
      </w:r>
    </w:p>
    <w:p>
      <w:pPr>
        <w:pStyle w:val="2"/>
        <w:outlineLvl w:val="9"/>
        <w:rPr>
          <w:rFonts w:hint="eastAsia"/>
        </w:rPr>
      </w:pPr>
    </w:p>
    <w:p>
      <w:pPr>
        <w:spacing w:line="360" w:lineRule="auto"/>
        <w:ind w:firstLine="562" w:firstLineChars="200"/>
        <w:outlineLvl w:val="1"/>
        <w:rPr>
          <w:rFonts w:hint="eastAsia" w:ascii="楷体" w:hAnsi="楷体" w:eastAsia="楷体" w:cs="楷体"/>
          <w:b/>
          <w:bCs/>
          <w:color w:val="auto"/>
          <w:sz w:val="28"/>
          <w:szCs w:val="28"/>
          <w:highlight w:val="none"/>
        </w:rPr>
      </w:pPr>
      <w:bookmarkStart w:id="158" w:name="_Toc29112"/>
      <w:r>
        <w:rPr>
          <w:rFonts w:hint="eastAsia" w:ascii="楷体" w:hAnsi="楷体" w:eastAsia="楷体" w:cs="楷体"/>
          <w:b/>
          <w:bCs/>
          <w:color w:val="auto"/>
          <w:sz w:val="28"/>
          <w:szCs w:val="28"/>
          <w:highlight w:val="none"/>
        </w:rPr>
        <w:t>（二）现行青苗和地上附着物补偿标准实施中存在的问题和措施建议</w:t>
      </w:r>
      <w:bookmarkEnd w:id="158"/>
    </w:p>
    <w:p>
      <w:pPr>
        <w:spacing w:line="360" w:lineRule="auto"/>
        <w:ind w:firstLine="562" w:firstLineChars="200"/>
        <w:outlineLvl w:val="2"/>
        <w:rPr>
          <w:rFonts w:hint="eastAsia" w:ascii="楷体" w:hAnsi="楷体" w:eastAsia="楷体" w:cs="楷体"/>
          <w:b/>
          <w:bCs/>
          <w:color w:val="auto"/>
          <w:kern w:val="0"/>
          <w:sz w:val="28"/>
          <w:szCs w:val="28"/>
          <w:highlight w:val="none"/>
        </w:rPr>
      </w:pPr>
      <w:bookmarkStart w:id="159" w:name="_Toc14246"/>
      <w:bookmarkStart w:id="160" w:name="_Toc22881"/>
      <w:r>
        <w:rPr>
          <w:rFonts w:hint="eastAsia" w:ascii="楷体" w:hAnsi="楷体" w:eastAsia="楷体" w:cs="楷体"/>
          <w:b/>
          <w:bCs/>
          <w:color w:val="auto"/>
          <w:kern w:val="0"/>
          <w:sz w:val="28"/>
          <w:szCs w:val="28"/>
          <w:highlight w:val="none"/>
        </w:rPr>
        <w:t>1.存在的问题</w:t>
      </w:r>
      <w:bookmarkEnd w:id="159"/>
      <w:bookmarkEnd w:id="160"/>
    </w:p>
    <w:p>
      <w:pPr>
        <w:pStyle w:val="61"/>
        <w:spacing w:line="360" w:lineRule="auto"/>
        <w:ind w:firstLine="560"/>
        <w:rPr>
          <w:rFonts w:hint="eastAsia" w:ascii="楷体" w:hAnsi="楷体" w:eastAsia="楷体" w:cs="楷体"/>
          <w:color w:val="auto"/>
          <w:sz w:val="28"/>
          <w:highlight w:val="none"/>
        </w:rPr>
      </w:pPr>
      <w:r>
        <w:rPr>
          <w:rFonts w:hint="eastAsia" w:ascii="楷体" w:hAnsi="楷体" w:eastAsia="楷体" w:cs="楷体"/>
          <w:color w:val="auto"/>
          <w:sz w:val="28"/>
          <w:highlight w:val="none"/>
        </w:rPr>
        <w:t>今年8月份，根据《云南省自然资源厅关于开展地上附着物和青苗补偿标准制定工作的通知》（云自然资审批〔2021〕370号）的工作要求，盘龙区启动了地上附着物和青苗补偿标准制定工作，并于9月5日前完成了对征地拆迁案例的区域，如盘龙区宝云片区小窑村城中村改造项目、盘龙区长地埂村城中村改造项目、盘龙区金刀营村城中村改造项目、以及各街道办事处近年来涉及征地拆迁较多的区域和青苗种植和生产情况，进行实地调研，听取现行地上附着物和青苗补偿标准在执行过程中存在的问题、困难和化解问题的措施建议等，通过前期工作调查，目前全区地上附着物和青苗补偿标准存在问题为：</w:t>
      </w:r>
    </w:p>
    <w:p>
      <w:pPr>
        <w:pStyle w:val="61"/>
        <w:spacing w:line="360" w:lineRule="auto"/>
        <w:ind w:firstLine="560"/>
        <w:rPr>
          <w:rFonts w:hint="eastAsia" w:ascii="楷体" w:hAnsi="楷体" w:eastAsia="楷体" w:cs="楷体"/>
          <w:color w:val="auto"/>
          <w:sz w:val="28"/>
          <w:highlight w:val="none"/>
        </w:rPr>
      </w:pPr>
      <w:r>
        <w:rPr>
          <w:rFonts w:hint="eastAsia" w:ascii="楷体" w:hAnsi="楷体" w:eastAsia="楷体" w:cs="楷体"/>
          <w:color w:val="auto"/>
          <w:sz w:val="28"/>
          <w:highlight w:val="none"/>
          <w:lang w:val="en-US" w:eastAsia="zh-CN"/>
        </w:rPr>
        <w:t>①</w:t>
      </w:r>
      <w:r>
        <w:rPr>
          <w:rFonts w:hint="eastAsia" w:ascii="楷体" w:hAnsi="楷体" w:eastAsia="楷体" w:cs="楷体"/>
          <w:color w:val="auto"/>
          <w:sz w:val="28"/>
          <w:highlight w:val="none"/>
        </w:rPr>
        <w:t>是历史补偿案例中，补偿标准都是以房地合一的方式进行补偿，而现行补偿标准只涉及到房屋。</w:t>
      </w:r>
    </w:p>
    <w:p>
      <w:pPr>
        <w:pStyle w:val="61"/>
        <w:spacing w:line="360" w:lineRule="auto"/>
        <w:ind w:firstLine="560"/>
        <w:rPr>
          <w:rFonts w:hint="eastAsia" w:ascii="楷体" w:hAnsi="楷体" w:eastAsia="楷体" w:cs="楷体"/>
          <w:color w:val="auto"/>
          <w:sz w:val="28"/>
          <w:highlight w:val="none"/>
        </w:rPr>
      </w:pPr>
      <w:r>
        <w:rPr>
          <w:rFonts w:hint="eastAsia" w:ascii="楷体" w:hAnsi="楷体" w:eastAsia="楷体" w:cs="楷体"/>
          <w:color w:val="auto"/>
          <w:sz w:val="28"/>
          <w:highlight w:val="none"/>
          <w:lang w:val="en-US" w:eastAsia="zh-CN"/>
        </w:rPr>
        <w:t>②</w:t>
      </w:r>
      <w:r>
        <w:rPr>
          <w:rFonts w:hint="eastAsia" w:ascii="楷体" w:hAnsi="楷体" w:eastAsia="楷体" w:cs="楷体"/>
          <w:color w:val="auto"/>
          <w:sz w:val="28"/>
          <w:highlight w:val="none"/>
        </w:rPr>
        <w:t>是补偿的形式不统一，有的项目按照标准执行，有的项目通过评估认定。从现行补偿项目中发现补偿标准的制定缺乏有效依据和科学依据，幅度变化较大。</w:t>
      </w:r>
    </w:p>
    <w:p>
      <w:pPr>
        <w:pStyle w:val="61"/>
        <w:spacing w:line="360" w:lineRule="auto"/>
        <w:ind w:firstLine="560"/>
        <w:rPr>
          <w:rFonts w:hint="eastAsia" w:ascii="楷体" w:hAnsi="楷体" w:eastAsia="楷体" w:cs="楷体"/>
          <w:color w:val="auto"/>
          <w:sz w:val="28"/>
          <w:highlight w:val="none"/>
        </w:rPr>
      </w:pPr>
      <w:r>
        <w:rPr>
          <w:rFonts w:hint="eastAsia" w:ascii="楷体" w:hAnsi="楷体" w:eastAsia="楷体" w:cs="楷体"/>
          <w:color w:val="auto"/>
          <w:sz w:val="28"/>
          <w:highlight w:val="none"/>
          <w:lang w:val="en-US" w:eastAsia="zh-CN"/>
        </w:rPr>
        <w:t>③</w:t>
      </w:r>
      <w:r>
        <w:rPr>
          <w:rFonts w:hint="eastAsia" w:ascii="楷体" w:hAnsi="楷体" w:eastAsia="楷体" w:cs="楷体"/>
          <w:color w:val="auto"/>
          <w:sz w:val="28"/>
          <w:highlight w:val="none"/>
        </w:rPr>
        <w:t>是没有地上附着青苗物补偿标准相关案例，已收集到的资料中青苗数量类型较少，青苗历史补偿标准只能参照昆明市整体平均水平来计算。</w:t>
      </w:r>
    </w:p>
    <w:p>
      <w:pPr>
        <w:pStyle w:val="61"/>
        <w:spacing w:line="360" w:lineRule="auto"/>
        <w:ind w:firstLine="560"/>
        <w:rPr>
          <w:rFonts w:hint="eastAsia" w:ascii="楷体" w:hAnsi="楷体" w:eastAsia="楷体" w:cs="楷体"/>
          <w:color w:val="auto"/>
          <w:sz w:val="28"/>
          <w:highlight w:val="none"/>
        </w:rPr>
      </w:pPr>
      <w:r>
        <w:rPr>
          <w:rFonts w:hint="eastAsia" w:ascii="楷体" w:hAnsi="楷体" w:eastAsia="楷体" w:cs="楷体"/>
          <w:bCs/>
          <w:color w:val="auto"/>
          <w:sz w:val="28"/>
          <w:highlight w:val="none"/>
          <w:lang w:val="en-US" w:eastAsia="zh-CN"/>
        </w:rPr>
        <w:t>④</w:t>
      </w:r>
      <w:r>
        <w:rPr>
          <w:rFonts w:hint="eastAsia" w:ascii="楷体" w:hAnsi="楷体" w:eastAsia="楷体" w:cs="楷体"/>
          <w:bCs/>
          <w:color w:val="auto"/>
          <w:sz w:val="28"/>
          <w:highlight w:val="none"/>
        </w:rPr>
        <w:t>是盘龙区现有</w:t>
      </w:r>
      <w:r>
        <w:rPr>
          <w:rFonts w:hint="eastAsia" w:ascii="楷体" w:hAnsi="楷体" w:eastAsia="楷体" w:cs="楷体"/>
          <w:color w:val="auto"/>
          <w:sz w:val="28"/>
          <w:highlight w:val="none"/>
        </w:rPr>
        <w:t>林（果）木类数量及种类较少，且缺乏原有的补偿标准和补偿案例，林（果）木类补偿的形式不同，本次将林（果）木类补偿标准按照标准林分林组进行区分，即将林（果）木具体细分为产前期、初产期、盛产期、衰产期或幼龄林、中龄林（近熟林）、成熟林（过熟林）以往是根据苗木、幼树、初挂果，盛果或者胸径大小，树木高度来区分。因为没有分区且补偿标准各不相同，难以对历史价格进行比较；没有具体历史案例或者材料说明历史补偿标准。</w:t>
      </w:r>
    </w:p>
    <w:p>
      <w:pPr>
        <w:spacing w:line="360" w:lineRule="auto"/>
        <w:ind w:firstLine="562" w:firstLineChars="200"/>
        <w:outlineLvl w:val="2"/>
        <w:rPr>
          <w:rFonts w:hint="eastAsia" w:ascii="楷体" w:hAnsi="楷体" w:eastAsia="楷体" w:cs="楷体"/>
          <w:b/>
          <w:bCs/>
          <w:color w:val="auto"/>
          <w:kern w:val="0"/>
          <w:sz w:val="28"/>
          <w:szCs w:val="28"/>
          <w:highlight w:val="none"/>
        </w:rPr>
      </w:pPr>
      <w:bookmarkStart w:id="161" w:name="_Toc1430"/>
      <w:bookmarkStart w:id="162" w:name="_Toc20682"/>
      <w:r>
        <w:rPr>
          <w:rFonts w:hint="eastAsia" w:ascii="楷体" w:hAnsi="楷体" w:eastAsia="楷体" w:cs="楷体"/>
          <w:b/>
          <w:bCs/>
          <w:color w:val="auto"/>
          <w:kern w:val="0"/>
          <w:sz w:val="28"/>
          <w:szCs w:val="28"/>
          <w:highlight w:val="none"/>
        </w:rPr>
        <w:t>2.措施及建议</w:t>
      </w:r>
      <w:bookmarkEnd w:id="161"/>
      <w:bookmarkEnd w:id="162"/>
    </w:p>
    <w:p>
      <w:pPr>
        <w:pStyle w:val="61"/>
        <w:spacing w:line="360" w:lineRule="auto"/>
        <w:ind w:firstLine="560"/>
        <w:rPr>
          <w:rFonts w:hint="eastAsia" w:ascii="楷体" w:hAnsi="楷体" w:eastAsia="楷体" w:cs="楷体"/>
          <w:color w:val="auto"/>
          <w:sz w:val="28"/>
          <w:highlight w:val="none"/>
        </w:rPr>
      </w:pPr>
      <w:r>
        <w:rPr>
          <w:rFonts w:hint="eastAsia" w:ascii="楷体" w:hAnsi="楷体" w:eastAsia="楷体" w:cs="楷体"/>
          <w:color w:val="auto"/>
          <w:sz w:val="28"/>
          <w:highlight w:val="none"/>
          <w:lang w:val="en-US" w:eastAsia="zh-CN"/>
        </w:rPr>
        <w:t>①</w:t>
      </w:r>
      <w:r>
        <w:rPr>
          <w:rFonts w:hint="eastAsia" w:ascii="楷体" w:hAnsi="楷体" w:eastAsia="楷体" w:cs="楷体"/>
          <w:color w:val="auto"/>
          <w:sz w:val="28"/>
          <w:highlight w:val="none"/>
        </w:rPr>
        <w:t>按照《技术指南要求》制定符合</w:t>
      </w:r>
      <w:r>
        <w:rPr>
          <w:rFonts w:hint="eastAsia" w:ascii="楷体" w:hAnsi="楷体" w:eastAsia="楷体" w:cs="楷体"/>
          <w:color w:val="auto"/>
          <w:sz w:val="28"/>
          <w:highlight w:val="none"/>
          <w:lang w:eastAsia="zh-CN"/>
        </w:rPr>
        <w:t>盘龙区</w:t>
      </w:r>
      <w:r>
        <w:rPr>
          <w:rFonts w:hint="eastAsia" w:ascii="楷体" w:hAnsi="楷体" w:eastAsia="楷体" w:cs="楷体"/>
          <w:color w:val="auto"/>
          <w:sz w:val="28"/>
          <w:highlight w:val="none"/>
        </w:rPr>
        <w:t>实际情况的地上附着物和青苗补偿标准。</w:t>
      </w:r>
    </w:p>
    <w:p>
      <w:pPr>
        <w:pStyle w:val="61"/>
        <w:spacing w:line="360" w:lineRule="auto"/>
        <w:ind w:firstLine="560"/>
        <w:rPr>
          <w:rFonts w:hint="eastAsia" w:ascii="楷体" w:hAnsi="楷体" w:eastAsia="楷体" w:cs="楷体"/>
          <w:color w:val="auto"/>
          <w:sz w:val="28"/>
          <w:highlight w:val="none"/>
        </w:rPr>
      </w:pPr>
      <w:r>
        <w:rPr>
          <w:rFonts w:hint="eastAsia" w:ascii="楷体" w:hAnsi="楷体" w:eastAsia="楷体" w:cs="楷体"/>
          <w:color w:val="auto"/>
          <w:sz w:val="28"/>
          <w:highlight w:val="none"/>
          <w:lang w:val="en-US" w:eastAsia="zh-CN"/>
        </w:rPr>
        <w:t>②</w:t>
      </w:r>
      <w:r>
        <w:rPr>
          <w:rFonts w:hint="eastAsia" w:ascii="楷体" w:hAnsi="楷体" w:eastAsia="楷体" w:cs="楷体"/>
          <w:color w:val="auto"/>
          <w:sz w:val="28"/>
          <w:highlight w:val="none"/>
        </w:rPr>
        <w:t>在制定补偿标准过程中充分考虑经济社会水平以及相关投入成本，科学合理、公平公正制定补偿标准。</w:t>
      </w:r>
    </w:p>
    <w:p>
      <w:pPr>
        <w:pStyle w:val="61"/>
        <w:spacing w:line="360" w:lineRule="auto"/>
        <w:ind w:firstLine="560"/>
        <w:rPr>
          <w:rFonts w:hint="eastAsia" w:ascii="楷体" w:hAnsi="楷体" w:eastAsia="楷体" w:cs="楷体"/>
          <w:color w:val="auto"/>
          <w:sz w:val="28"/>
          <w:highlight w:val="none"/>
        </w:rPr>
      </w:pPr>
      <w:r>
        <w:rPr>
          <w:rFonts w:hint="eastAsia" w:ascii="楷体" w:hAnsi="楷体" w:eastAsia="楷体" w:cs="楷体"/>
          <w:color w:val="auto"/>
          <w:sz w:val="28"/>
          <w:highlight w:val="none"/>
          <w:lang w:val="en-US" w:eastAsia="zh-CN"/>
        </w:rPr>
        <w:t>③</w:t>
      </w:r>
      <w:r>
        <w:rPr>
          <w:rFonts w:hint="eastAsia" w:ascii="楷体" w:hAnsi="楷体" w:eastAsia="楷体" w:cs="楷体"/>
          <w:color w:val="auto"/>
          <w:sz w:val="28"/>
          <w:highlight w:val="none"/>
        </w:rPr>
        <w:t>发放土地补偿费用过程中做到信息公开、透明，同时足额及时支付补偿费用。</w:t>
      </w:r>
    </w:p>
    <w:p>
      <w:pPr>
        <w:pStyle w:val="61"/>
        <w:spacing w:line="360" w:lineRule="auto"/>
        <w:ind w:firstLine="560"/>
        <w:rPr>
          <w:rFonts w:hint="eastAsia" w:ascii="楷体" w:hAnsi="楷体" w:eastAsia="楷体" w:cs="楷体"/>
          <w:color w:val="auto"/>
          <w:sz w:val="28"/>
          <w:highlight w:val="none"/>
        </w:rPr>
      </w:pPr>
      <w:r>
        <w:rPr>
          <w:rFonts w:hint="eastAsia" w:ascii="楷体" w:hAnsi="楷体" w:eastAsia="楷体" w:cs="楷体"/>
          <w:color w:val="auto"/>
          <w:sz w:val="28"/>
          <w:highlight w:val="none"/>
          <w:lang w:val="en-US" w:eastAsia="zh-CN"/>
        </w:rPr>
        <w:t>④</w:t>
      </w:r>
      <w:r>
        <w:rPr>
          <w:rFonts w:hint="eastAsia" w:ascii="楷体" w:hAnsi="楷体" w:eastAsia="楷体" w:cs="楷体"/>
          <w:color w:val="auto"/>
          <w:sz w:val="28"/>
          <w:highlight w:val="none"/>
        </w:rPr>
        <w:t>按照《土地管理法》相关规定，涉及农村村民住宅搬迁的，应当按照先补偿后搬迁、居住条件有改善的原则，尊重农村村民意愿，采取重新安排宅基地建房、提供安置房或者货币补偿等方式给予公平、合理的补偿，并对因征收造成的搬迁、临时安置等费用予以补偿，保障农村村民居住的权利和合法的住房财产权益。</w:t>
      </w:r>
    </w:p>
    <w:bookmarkEnd w:id="15"/>
    <w:bookmarkEnd w:id="16"/>
    <w:bookmarkEnd w:id="17"/>
    <w:p>
      <w:pPr>
        <w:spacing w:line="360" w:lineRule="auto"/>
        <w:outlineLvl w:val="9"/>
        <w:rPr>
          <w:rFonts w:hint="eastAsia" w:ascii="楷体" w:hAnsi="楷体" w:eastAsia="楷体" w:cs="楷体"/>
          <w:b/>
          <w:bCs/>
          <w:color w:val="auto"/>
          <w:sz w:val="30"/>
          <w:szCs w:val="30"/>
          <w:highlight w:val="none"/>
        </w:rPr>
      </w:pPr>
    </w:p>
    <w:p>
      <w:pPr>
        <w:spacing w:line="360" w:lineRule="auto"/>
        <w:outlineLvl w:val="0"/>
        <w:rPr>
          <w:rFonts w:hint="eastAsia" w:ascii="楷体" w:hAnsi="楷体" w:eastAsia="楷体" w:cs="楷体"/>
          <w:b/>
          <w:bCs/>
          <w:color w:val="auto"/>
          <w:sz w:val="30"/>
          <w:szCs w:val="30"/>
          <w:highlight w:val="none"/>
        </w:rPr>
      </w:pPr>
      <w:bookmarkStart w:id="163" w:name="_Toc9109"/>
      <w:r>
        <w:rPr>
          <w:rFonts w:hint="eastAsia" w:ascii="楷体" w:hAnsi="楷体" w:eastAsia="楷体" w:cs="楷体"/>
          <w:b/>
          <w:bCs/>
          <w:color w:val="auto"/>
          <w:sz w:val="30"/>
          <w:szCs w:val="30"/>
          <w:highlight w:val="none"/>
        </w:rPr>
        <w:t>四、基础资料收集与整理</w:t>
      </w:r>
      <w:bookmarkEnd w:id="163"/>
    </w:p>
    <w:p>
      <w:pPr>
        <w:spacing w:line="360" w:lineRule="auto"/>
        <w:ind w:firstLine="562" w:firstLineChars="200"/>
        <w:outlineLvl w:val="1"/>
        <w:rPr>
          <w:rFonts w:hint="eastAsia" w:ascii="楷体" w:hAnsi="楷体" w:eastAsia="楷体" w:cs="楷体"/>
          <w:b/>
          <w:bCs/>
          <w:color w:val="auto"/>
          <w:sz w:val="28"/>
          <w:szCs w:val="28"/>
          <w:highlight w:val="none"/>
        </w:rPr>
      </w:pPr>
      <w:bookmarkStart w:id="164" w:name="_Toc29585"/>
      <w:r>
        <w:rPr>
          <w:rFonts w:hint="eastAsia" w:ascii="楷体" w:hAnsi="楷体" w:eastAsia="楷体" w:cs="楷体"/>
          <w:b/>
          <w:bCs/>
          <w:color w:val="auto"/>
          <w:sz w:val="28"/>
          <w:szCs w:val="28"/>
          <w:highlight w:val="none"/>
        </w:rPr>
        <w:t>（一）基础资料收集与来源</w:t>
      </w:r>
      <w:bookmarkEnd w:id="164"/>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资料收集是测算地上附着物和青苗补偿标准的前提和基础，资料的准确性与合理性关系到最终成果的科学性和准确性。按照技术指南要求，本次地上附着物和青苗补偿标准测算需收集自然资源、住房和城乡建设、农业农村、林草、统计、物价、财政、社保、征地办等部门，以及各乡（镇)人民政府所涉及的相关资料。具体到各职能部门及乡（镇）收集相关资料，对于征地比较频繁的区域进行实地调查，通过座谈、走访、调查问卷等方式补充调查各行政区域内建构物的材料价格信息、人工费用，林果木的生产经营成本、利润和价格信息，农作物的投入、产出及收购价格和市场价格等相关信息，现行执行的补偿标准存在的问题以及新制定的补偿标准需解决的问题。</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地上附着物和青苗补偿标准制定工作任务重，技术要求高，为顺利完成各项工作任务，需自然资源、住房和城乡建设、农业农村、林草、统计、物价、财政、社保、征地办等部门，以及各乡（镇)人民政府紧密配合。具体来源和途径如下表：</w:t>
      </w:r>
    </w:p>
    <w:p>
      <w:pPr>
        <w:spacing w:after="156" w:afterLines="50" w:line="360" w:lineRule="auto"/>
        <w:jc w:val="center"/>
        <w:rPr>
          <w:rFonts w:hint="eastAsia" w:ascii="楷体" w:hAnsi="楷体" w:eastAsia="楷体" w:cs="楷体"/>
          <w:bCs/>
          <w:sz w:val="28"/>
          <w:szCs w:val="28"/>
          <w:lang w:val="zh-TW" w:bidi="zh-TW"/>
        </w:rPr>
      </w:pPr>
    </w:p>
    <w:p>
      <w:pPr>
        <w:spacing w:after="156" w:afterLines="50" w:line="360" w:lineRule="auto"/>
        <w:jc w:val="both"/>
        <w:rPr>
          <w:rFonts w:hint="eastAsia" w:ascii="楷体" w:hAnsi="楷体" w:eastAsia="楷体" w:cs="楷体"/>
          <w:b w:val="0"/>
          <w:bCs/>
          <w:sz w:val="28"/>
          <w:szCs w:val="28"/>
          <w:lang w:val="zh-TW" w:bidi="zh-TW"/>
        </w:rPr>
      </w:pPr>
    </w:p>
    <w:p>
      <w:pPr>
        <w:spacing w:after="156" w:afterLines="50" w:line="360" w:lineRule="auto"/>
        <w:jc w:val="center"/>
        <w:rPr>
          <w:rFonts w:hint="eastAsia" w:ascii="楷体" w:hAnsi="楷体" w:eastAsia="楷体" w:cs="楷体"/>
          <w:b w:val="0"/>
          <w:bCs/>
          <w:sz w:val="28"/>
          <w:szCs w:val="28"/>
          <w:lang w:val="zh-TW" w:eastAsia="zh-TW" w:bidi="zh-TW"/>
        </w:rPr>
      </w:pPr>
      <w:r>
        <w:rPr>
          <w:rFonts w:hint="eastAsia" w:ascii="楷体" w:hAnsi="楷体" w:eastAsia="楷体" w:cs="楷体"/>
          <w:b w:val="0"/>
          <w:bCs/>
          <w:sz w:val="28"/>
          <w:szCs w:val="28"/>
          <w:lang w:val="zh-TW" w:bidi="zh-TW"/>
        </w:rPr>
        <w:t>表</w:t>
      </w:r>
      <w:r>
        <w:rPr>
          <w:rFonts w:hint="eastAsia" w:ascii="楷体" w:hAnsi="楷体" w:eastAsia="楷体" w:cs="楷体"/>
          <w:b w:val="0"/>
          <w:bCs/>
          <w:sz w:val="28"/>
          <w:szCs w:val="28"/>
          <w:lang w:val="en-US" w:eastAsia="zh-CN" w:bidi="zh-TW"/>
        </w:rPr>
        <w:t>4</w:t>
      </w:r>
      <w:r>
        <w:rPr>
          <w:rFonts w:hint="eastAsia" w:ascii="楷体" w:hAnsi="楷体" w:eastAsia="楷体" w:cs="楷体"/>
          <w:b w:val="0"/>
          <w:bCs/>
          <w:sz w:val="28"/>
          <w:szCs w:val="28"/>
          <w:lang w:bidi="zh-TW"/>
        </w:rPr>
        <w:t>-1</w:t>
      </w:r>
      <w:r>
        <w:rPr>
          <w:rFonts w:hint="eastAsia" w:ascii="楷体" w:hAnsi="楷体" w:eastAsia="楷体" w:cs="楷体"/>
          <w:b w:val="0"/>
          <w:bCs/>
          <w:sz w:val="28"/>
          <w:szCs w:val="28"/>
          <w:lang w:val="zh-TW" w:eastAsia="zh-TW" w:bidi="zh-TW"/>
        </w:rPr>
        <w:t>基础资料来源一览表</w:t>
      </w:r>
    </w:p>
    <w:tbl>
      <w:tblPr>
        <w:tblStyle w:val="4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789"/>
        <w:gridCol w:w="5969"/>
        <w:gridCol w:w="1627"/>
        <w:gridCol w:w="6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397" w:hRule="atLeast"/>
          <w:tblHeader/>
        </w:trPr>
        <w:tc>
          <w:tcPr>
            <w:tcW w:w="436"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序号</w:t>
            </w:r>
          </w:p>
        </w:tc>
        <w:tc>
          <w:tcPr>
            <w:tcW w:w="3298"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资料内容</w:t>
            </w:r>
          </w:p>
        </w:tc>
        <w:tc>
          <w:tcPr>
            <w:tcW w:w="899"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提供部门</w:t>
            </w:r>
          </w:p>
        </w:tc>
        <w:tc>
          <w:tcPr>
            <w:tcW w:w="365"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397" w:hRule="atLeast"/>
          <w:tblHeader/>
        </w:trPr>
        <w:tc>
          <w:tcPr>
            <w:tcW w:w="436"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1</w:t>
            </w:r>
          </w:p>
        </w:tc>
        <w:tc>
          <w:tcPr>
            <w:tcW w:w="3298"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（1）2018-2020年统计年鉴；</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相关经济统计指标调查表；</w:t>
            </w:r>
          </w:p>
        </w:tc>
        <w:tc>
          <w:tcPr>
            <w:tcW w:w="899"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统计局</w:t>
            </w:r>
          </w:p>
        </w:tc>
        <w:tc>
          <w:tcPr>
            <w:tcW w:w="365"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397" w:hRule="atLeast"/>
          <w:tblHeader/>
        </w:trPr>
        <w:tc>
          <w:tcPr>
            <w:tcW w:w="436"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2</w:t>
            </w:r>
          </w:p>
        </w:tc>
        <w:tc>
          <w:tcPr>
            <w:tcW w:w="3298"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（1）2018-2020年各村委会农业统计报表和农村经济统计报表；</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（2）2018-2020年各乡（镇）的各类农用地面积、农作物播种情况、年亩产量、农产品价格。</w:t>
            </w:r>
          </w:p>
        </w:tc>
        <w:tc>
          <w:tcPr>
            <w:tcW w:w="899"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农业农村局</w:t>
            </w:r>
          </w:p>
        </w:tc>
        <w:tc>
          <w:tcPr>
            <w:tcW w:w="365"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397" w:hRule="atLeast"/>
          <w:tblHeader/>
        </w:trPr>
        <w:tc>
          <w:tcPr>
            <w:tcW w:w="436"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3</w:t>
            </w:r>
          </w:p>
        </w:tc>
        <w:tc>
          <w:tcPr>
            <w:tcW w:w="3298"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（1）2018-2020年农作物类型资料、主要农作物年产量情况调查表；</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（2）2018-2020年的农业综合统计报表，以行政村为统计单位；</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（3）2018-2020年的农村经济统计报表，以行政村为统计单位。</w:t>
            </w:r>
          </w:p>
        </w:tc>
        <w:tc>
          <w:tcPr>
            <w:tcW w:w="899"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各（乡）镇人民政府</w:t>
            </w:r>
          </w:p>
        </w:tc>
        <w:tc>
          <w:tcPr>
            <w:tcW w:w="365"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397" w:hRule="atLeast"/>
          <w:tblHeader/>
        </w:trPr>
        <w:tc>
          <w:tcPr>
            <w:tcW w:w="436"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4</w:t>
            </w:r>
          </w:p>
        </w:tc>
        <w:tc>
          <w:tcPr>
            <w:tcW w:w="3298"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2018-2020年城镇居民最低生活保障标准、农村居民最低生活保障标准</w:t>
            </w:r>
          </w:p>
        </w:tc>
        <w:tc>
          <w:tcPr>
            <w:tcW w:w="899"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人力资源和社会保障局</w:t>
            </w:r>
          </w:p>
        </w:tc>
        <w:tc>
          <w:tcPr>
            <w:tcW w:w="365"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397" w:hRule="atLeast"/>
          <w:tblHeader/>
        </w:trPr>
        <w:tc>
          <w:tcPr>
            <w:tcW w:w="436"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5</w:t>
            </w:r>
          </w:p>
        </w:tc>
        <w:tc>
          <w:tcPr>
            <w:tcW w:w="3298"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各类地上附着物的重置价格、区域材料价格信息；</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（2）区域内各结构、各类型地上建构筑物重置价格、建筑材料价格信息；</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（3）2018-2020年征地项目涉及的房屋及附着物拆迁补偿标准价格</w:t>
            </w:r>
          </w:p>
        </w:tc>
        <w:tc>
          <w:tcPr>
            <w:tcW w:w="899"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住房和城乡建设局</w:t>
            </w:r>
          </w:p>
        </w:tc>
        <w:tc>
          <w:tcPr>
            <w:tcW w:w="365"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397" w:hRule="atLeast"/>
          <w:tblHeader/>
        </w:trPr>
        <w:tc>
          <w:tcPr>
            <w:tcW w:w="436"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6</w:t>
            </w:r>
          </w:p>
        </w:tc>
        <w:tc>
          <w:tcPr>
            <w:tcW w:w="3298"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（1）2018-2020年林业生产、分布情况；</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（2）2018-2020年各乡（镇）的各类林地面积、种植林木类型及名称、单位面积产量、价格以及造林成本资料；</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（3）区域范围内制定的林木补偿标准；</w:t>
            </w:r>
          </w:p>
        </w:tc>
        <w:tc>
          <w:tcPr>
            <w:tcW w:w="899"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林业和草原局</w:t>
            </w:r>
          </w:p>
        </w:tc>
        <w:tc>
          <w:tcPr>
            <w:tcW w:w="365"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cantSplit/>
          <w:trHeight w:val="397" w:hRule="atLeast"/>
          <w:tblHeader/>
        </w:trPr>
        <w:tc>
          <w:tcPr>
            <w:tcW w:w="436"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7</w:t>
            </w:r>
          </w:p>
        </w:tc>
        <w:tc>
          <w:tcPr>
            <w:tcW w:w="3298"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（1）第三次全国国土调查数据；</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（2）2019年耕地质量等别更新成果；</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（3）2020年征收农用地区片综合地价成果；</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（4）地上附着物和青苗补偿具体案例及现行标准；</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（5）2018年土地变更调查成果；</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（6）近五年征地案例资料；包括征地协议、征地台账（征地位置具体到行政村）、征地范围；</w:t>
            </w:r>
          </w:p>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（7）征地涉及的各项税费及失地农民保障基金文件。</w:t>
            </w:r>
          </w:p>
        </w:tc>
        <w:tc>
          <w:tcPr>
            <w:tcW w:w="899"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r>
              <w:rPr>
                <w:rFonts w:hint="eastAsia" w:ascii="楷体" w:hAnsi="楷体" w:eastAsia="楷体" w:cs="楷体"/>
                <w:i w:val="0"/>
                <w:color w:val="auto"/>
                <w:kern w:val="0"/>
                <w:sz w:val="24"/>
                <w:szCs w:val="24"/>
                <w:highlight w:val="none"/>
                <w:u w:val="none"/>
                <w:lang w:val="en-US" w:eastAsia="zh-CN" w:bidi="ar"/>
              </w:rPr>
              <w:t>自然资源局</w:t>
            </w:r>
          </w:p>
        </w:tc>
        <w:tc>
          <w:tcPr>
            <w:tcW w:w="365"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color w:val="auto"/>
                <w:kern w:val="0"/>
                <w:sz w:val="24"/>
                <w:szCs w:val="24"/>
                <w:highlight w:val="none"/>
                <w:u w:val="none"/>
                <w:lang w:val="en-US" w:eastAsia="zh-CN" w:bidi="ar"/>
              </w:rPr>
            </w:pPr>
          </w:p>
        </w:tc>
      </w:tr>
    </w:tbl>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9"/>
        <w:rPr>
          <w:rFonts w:hint="eastAsia" w:ascii="楷体" w:hAnsi="楷体" w:eastAsia="楷体" w:cs="楷体"/>
          <w:b/>
          <w:bCs/>
          <w:color w:val="auto"/>
          <w:sz w:val="30"/>
          <w:szCs w:val="30"/>
          <w:highlight w:val="none"/>
        </w:rPr>
      </w:pPr>
    </w:p>
    <w:p>
      <w:pPr>
        <w:spacing w:line="360" w:lineRule="auto"/>
        <w:outlineLvl w:val="0"/>
        <w:rPr>
          <w:rFonts w:hint="eastAsia" w:ascii="楷体" w:hAnsi="楷体" w:eastAsia="楷体" w:cs="楷体"/>
          <w:b/>
          <w:bCs/>
          <w:color w:val="auto"/>
          <w:sz w:val="30"/>
          <w:szCs w:val="30"/>
          <w:highlight w:val="none"/>
        </w:rPr>
      </w:pPr>
      <w:bookmarkStart w:id="165" w:name="_Toc4148"/>
      <w:r>
        <w:rPr>
          <w:rFonts w:hint="eastAsia" w:ascii="楷体" w:hAnsi="楷体" w:eastAsia="楷体" w:cs="楷体"/>
          <w:b/>
          <w:bCs/>
          <w:color w:val="auto"/>
          <w:sz w:val="30"/>
          <w:szCs w:val="30"/>
          <w:highlight w:val="none"/>
        </w:rPr>
        <w:t>五、地上附着物和青苗补偿标准测算过程</w:t>
      </w:r>
      <w:bookmarkEnd w:id="165"/>
    </w:p>
    <w:p>
      <w:pPr>
        <w:spacing w:line="360" w:lineRule="auto"/>
        <w:ind w:firstLine="562" w:firstLineChars="200"/>
        <w:outlineLvl w:val="1"/>
        <w:rPr>
          <w:rFonts w:hint="eastAsia" w:ascii="楷体" w:hAnsi="楷体" w:eastAsia="楷体" w:cs="楷体"/>
          <w:b/>
          <w:bCs/>
          <w:color w:val="auto"/>
          <w:sz w:val="28"/>
          <w:szCs w:val="28"/>
          <w:highlight w:val="none"/>
        </w:rPr>
      </w:pPr>
      <w:bookmarkStart w:id="166" w:name="_Toc9077"/>
      <w:r>
        <w:rPr>
          <w:rFonts w:hint="eastAsia" w:ascii="楷体" w:hAnsi="楷体" w:eastAsia="楷体" w:cs="楷体"/>
          <w:b/>
          <w:bCs/>
          <w:color w:val="auto"/>
          <w:sz w:val="28"/>
          <w:szCs w:val="28"/>
          <w:highlight w:val="none"/>
        </w:rPr>
        <w:t>（一）测算技术路线</w:t>
      </w:r>
      <w:bookmarkEnd w:id="166"/>
    </w:p>
    <w:p>
      <w:pPr>
        <w:widowControl/>
        <w:spacing w:line="360" w:lineRule="auto"/>
        <w:ind w:firstLine="560" w:firstLineChars="20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本次地上附着物和青苗补偿标准测算分两个层次进行，一是地上附着物补偿标准测算，二是青苗补偿标准测算。技术路线见图5-1。</w:t>
      </w:r>
      <w:bookmarkStart w:id="167" w:name="_Hlk79505218"/>
      <w:bookmarkEnd w:id="167"/>
    </w:p>
    <w:p>
      <w:pPr>
        <w:pStyle w:val="61"/>
        <w:spacing w:line="360" w:lineRule="auto"/>
        <w:ind w:firstLine="600"/>
        <w:jc w:val="center"/>
        <w:rPr>
          <w:rFonts w:hint="eastAsia" w:ascii="楷体" w:hAnsi="楷体" w:eastAsia="楷体" w:cs="楷体"/>
          <w:color w:val="auto"/>
          <w:sz w:val="28"/>
          <w:szCs w:val="28"/>
          <w:highlight w:val="none"/>
        </w:rPr>
      </w:pPr>
    </w:p>
    <w:p>
      <w:pPr>
        <w:pStyle w:val="61"/>
        <w:spacing w:line="360" w:lineRule="auto"/>
        <w:ind w:firstLine="0" w:firstLineChars="0"/>
        <w:jc w:val="left"/>
        <w:rPr>
          <w:rFonts w:hint="eastAsia" w:ascii="楷体" w:hAnsi="楷体" w:eastAsia="楷体" w:cs="楷体"/>
          <w:color w:val="auto"/>
          <w:highlight w:val="none"/>
        </w:rPr>
      </w:pPr>
      <w:r>
        <w:rPr>
          <w:rFonts w:hint="eastAsia" w:ascii="楷体" w:hAnsi="楷体" w:eastAsia="楷体" w:cs="楷体"/>
          <w:color w:val="auto"/>
          <w:highlight w:val="none"/>
        </w:rPr>
        <w:pict>
          <v:group id="画布 226" o:spid="_x0000_s1089" o:spt="203" style="height:420.9pt;width:484.5pt;" coordsize="61531,53454" editas="canvas">
            <o:lock v:ext="edit"/>
            <v:shape id="画布 226" o:spid="_x0000_s1090" o:spt="75" type="#_x0000_t75" style="position:absolute;left:0;top:0;height:53454;width:61531;" filled="f" stroked="f" coordsize="21600,21600">
              <v:path/>
              <v:fill on="f" focussize="0,0"/>
              <v:stroke on="f"/>
              <v:imagedata o:title=""/>
              <o:lock v:ext="edit" aspectratio="t"/>
            </v:shape>
            <v:rect id="矩形 127" o:spid="_x0000_s1091" o:spt="1" style="position:absolute;left:18440;top:984;height:2978;width:21755;"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资料收集、整理、分析和研究</w:t>
                    </w:r>
                  </w:p>
                </w:txbxContent>
              </v:textbox>
            </v:rect>
            <v:line id="直线 128" o:spid="_x0000_s1092" o:spt="20" style="position:absolute;left:29718;top:3962;height:6934;width:6;"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path arrowok="t"/>
              <v:fill on="f" focussize="0,0"/>
              <v:stroke color="#000000" endarrow="block"/>
              <v:imagedata o:title=""/>
              <o:lock v:ext="edit" aspectratio="f"/>
            </v:line>
            <v:rect id="矩形 129" o:spid="_x0000_s1093" o:spt="1" style="position:absolute;left:21717;top:10896;height:2966;width:16002;"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划定青苗补偿等级区</w:t>
                    </w:r>
                  </w:p>
                </w:txbxContent>
              </v:textbox>
            </v:rect>
            <v:line id="直线 130" o:spid="_x0000_s1094" o:spt="20" style="position:absolute;left:37719;top:12268;flip:y;height:6;width:4254;"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K/wAAAANoAAAAPAAAAZHJzL2Rvd25yZXYueG1sRE9Na8JA&#10;EL0X/A/LFHoJddOK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73MSv8AAAADaAAAADwAAAAAA&#10;AAAAAAAAAAAHAgAAZHJzL2Rvd25yZXYueG1sUEsFBgAAAAADAAMAtwAAAPQCAAAAAA==&#10;">
              <v:path arrowok="t"/>
              <v:fill on="f" focussize="0,0"/>
              <v:stroke color="#000000" endarrow="block"/>
              <v:imagedata o:title=""/>
              <o:lock v:ext="edit" aspectratio="f"/>
            </v:line>
            <v:line id="直线 131" o:spid="_x0000_s1095" o:spt="20" style="position:absolute;left:29718;top:13868;height:7150;width:6;"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path arrowok="t"/>
              <v:fill on="f" focussize="0,0"/>
              <v:stroke color="#000000" endarrow="block"/>
              <v:imagedata o:title=""/>
              <o:lock v:ext="edit" aspectratio="f"/>
            </v:line>
            <v:rect id="矩形 132" o:spid="_x0000_s1096" o:spt="1" style="position:absolute;left:21717;top:21018;height:5715;width:14859;"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测算地上附着物和青苗补偿标准</w:t>
                    </w:r>
                  </w:p>
                </w:txbxContent>
              </v:textbox>
            </v:rect>
            <v:rect id="矩形 133" o:spid="_x0000_s1097" o:spt="1" style="position:absolute;left:19380;top:29718;height:2952;width:1719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整理与编制成果</w:t>
                    </w:r>
                  </w:p>
                </w:txbxContent>
              </v:textbox>
            </v:rect>
            <v:line id="直线 134" o:spid="_x0000_s1098" o:spt="20" style="position:absolute;left:29718;top:26752;height:2966;width:6;"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path arrowok="t"/>
              <v:fill on="f" focussize="0,0"/>
              <v:stroke color="#000000" endarrow="block"/>
              <v:imagedata o:title=""/>
              <o:lock v:ext="edit" aspectratio="f"/>
            </v:line>
            <v:rect id="矩形 135" o:spid="_x0000_s1099" o:spt="1" style="position:absolute;left:20574;top:35661;height:2959;width:17545;"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补偿标准综合衔接</w:t>
                    </w:r>
                  </w:p>
                </w:txbxContent>
              </v:textbox>
            </v:rect>
            <v:line id="直线 136" o:spid="_x0000_s1100" o:spt="20" style="position:absolute;left:29718;top:32696;height:2965;width:6;"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path arrowok="t"/>
              <v:fill on="f" focussize="0,0"/>
              <v:stroke color="#000000" endarrow="block"/>
              <v:imagedata o:title=""/>
              <o:lock v:ext="edit" aspectratio="f"/>
            </v:line>
            <v:rect id="矩形 137" o:spid="_x0000_s1101" o:spt="1" style="position:absolute;left:42291;top:34677;height:4781;width:17145;" filled="f" stroked="t" coordsize="21600,21600">
              <v:path/>
              <v:fill on="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highlight w:val="none"/>
                        <w:lang w:val="en-US" w:eastAsia="zh-CN"/>
                      </w:rPr>
                      <w:t>区</w:t>
                    </w:r>
                    <w:r>
                      <w:rPr>
                        <w:rFonts w:hint="eastAsia" w:ascii="仿宋_GB2312" w:eastAsia="仿宋_GB2312"/>
                        <w:sz w:val="24"/>
                        <w:highlight w:val="none"/>
                      </w:rPr>
                      <w:t>域</w:t>
                    </w:r>
                    <w:r>
                      <w:rPr>
                        <w:rFonts w:hint="eastAsia" w:ascii="仿宋_GB2312" w:eastAsia="仿宋_GB2312"/>
                        <w:sz w:val="24"/>
                      </w:rPr>
                      <w:t>范围内青苗补偿标准之间衔接</w:t>
                    </w:r>
                  </w:p>
                </w:txbxContent>
              </v:textbox>
            </v:rect>
            <v:rect id="矩形 138" o:spid="_x0000_s1102" o:spt="1" style="position:absolute;left:1143;top:34677;height:4781;width:16002;"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州（市）范围内县级之间衔接、审查</w:t>
                    </w:r>
                  </w:p>
                </w:txbxContent>
              </v:textbox>
            </v:rect>
            <v:line id="直线 139" o:spid="_x0000_s1103" o:spt="20" style="position:absolute;left:17145;top:36652;flip:x;height:19;width:3429;"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path arrowok="t"/>
              <v:fill on="f" focussize="0,0"/>
              <v:stroke color="#000000" endarrow="block"/>
              <v:imagedata o:title=""/>
              <o:lock v:ext="edit" aspectratio="f"/>
            </v:line>
            <v:line id="直线 140" o:spid="_x0000_s1104" o:spt="20" style="position:absolute;left:37896;top:36652;height:19;width:4318;"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path arrowok="t"/>
              <v:fill on="f" focussize="0,0"/>
              <v:stroke color="#000000" endarrow="block"/>
              <v:imagedata o:title=""/>
              <o:lock v:ext="edit" aspectratio="f"/>
            </v:line>
            <v:rect id="矩形 141" o:spid="_x0000_s1105" o:spt="1" style="position:absolute;left:24003;top:40620;height:2960;width:1028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听证和完善</w:t>
                    </w:r>
                  </w:p>
                </w:txbxContent>
              </v:textbox>
            </v:rect>
            <v:line id="直线 142" o:spid="_x0000_s1106" o:spt="20" style="position:absolute;left:29718;top:38639;height:1975;width:6;"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path arrowok="t"/>
              <v:fill on="f" focussize="0,0"/>
              <v:stroke color="#000000" endarrow="block"/>
              <v:imagedata o:title=""/>
              <o:lock v:ext="edit" aspectratio="f"/>
            </v:line>
            <v:rect id="矩形 143" o:spid="_x0000_s1107" o:spt="1" style="position:absolute;left:22542;top:50526;height:2928;width:1275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报批及公布实施</w:t>
                    </w:r>
                  </w:p>
                </w:txbxContent>
              </v:textbox>
            </v:rect>
            <v:rect id="矩形 144" o:spid="_x0000_s1108" o:spt="1" style="position:absolute;left:21717;top:45573;height:2934;width:16402;"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省级审查汇总</w:t>
                    </w:r>
                  </w:p>
                </w:txbxContent>
              </v:textbox>
            </v:rect>
            <v:line id="直线 145" o:spid="_x0000_s1109" o:spt="20" style="position:absolute;left:29718;top:43586;height:1994;width:6;"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path arrowok="t"/>
              <v:fill on="f" focussize="0,0"/>
              <v:stroke color="#000000" endarrow="block"/>
              <v:imagedata o:title=""/>
              <o:lock v:ext="edit" aspectratio="f"/>
            </v:line>
            <v:line id="直线 146" o:spid="_x0000_s1110" o:spt="20" style="position:absolute;left:29718;top:48539;height:2000;width:6;"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path arrowok="t"/>
              <v:fill on="f" focussize="0,0"/>
              <v:stroke color="#000000" endarrow="block"/>
              <v:imagedata o:title=""/>
              <o:lock v:ext="edit" aspectratio="f"/>
            </v:line>
            <v:shape id="椭圆 147" o:spid="_x0000_s1111" o:spt="3" type="#_x0000_t3" style="position:absolute;left:3130;top:9886;height:4477;width:14332;"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path/>
              <v:fill on="t" color2="#FFFFFF" focussize="0,0"/>
              <v:stroke color="#000000"/>
              <v:imagedata o:title=""/>
              <o:lock v:ext="edit" aspectratio="f"/>
              <v:textbox>
                <w:txbxContent>
                  <w:p>
                    <w:pPr>
                      <w:jc w:val="center"/>
                      <w:rPr>
                        <w:rFonts w:ascii="仿宋_GB2312" w:eastAsia="仿宋_GB2312"/>
                        <w:sz w:val="24"/>
                      </w:rPr>
                    </w:pPr>
                    <w:r>
                      <w:rPr>
                        <w:rFonts w:hint="eastAsia" w:ascii="仿宋_GB2312" w:eastAsia="仿宋_GB2312"/>
                        <w:sz w:val="24"/>
                      </w:rPr>
                      <w:t>调整法</w:t>
                    </w:r>
                  </w:p>
                </w:txbxContent>
              </v:textbox>
            </v:shape>
            <v:shape id="椭圆 148" o:spid="_x0000_s1112" o:spt="3" type="#_x0000_t3" style="position:absolute;left:39719;top:20459;height:6585;width:1971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path/>
              <v:fill on="t" color2="#FFFFFF" focussize="0,0"/>
              <v:stroke color="#000000"/>
              <v:imagedata o:title=""/>
              <o:lock v:ext="edit" aspectratio="f"/>
              <v:textbox>
                <w:txbxContent>
                  <w:p>
                    <w:pPr>
                      <w:jc w:val="center"/>
                      <w:rPr>
                        <w:rFonts w:ascii="仿宋_GB2312" w:eastAsia="仿宋_GB2312"/>
                        <w:sz w:val="24"/>
                      </w:rPr>
                    </w:pPr>
                    <w:r>
                      <w:rPr>
                        <w:rFonts w:hint="eastAsia" w:ascii="仿宋_GB2312" w:eastAsia="仿宋_GB2312"/>
                        <w:sz w:val="24"/>
                      </w:rPr>
                      <w:t>产值法、价格指数法、</w:t>
                    </w:r>
                    <w:r>
                      <w:rPr>
                        <w:rFonts w:ascii="仿宋_GB2312" w:eastAsia="仿宋_GB2312"/>
                        <w:sz w:val="24"/>
                      </w:rPr>
                      <w:t>……</w:t>
                    </w:r>
                  </w:p>
                  <w:p>
                    <w:pPr>
                      <w:jc w:val="center"/>
                      <w:rPr>
                        <w:rFonts w:ascii="仿宋_GB2312" w:eastAsia="仿宋_GB2312"/>
                        <w:sz w:val="24"/>
                      </w:rPr>
                    </w:pPr>
                  </w:p>
                </w:txbxContent>
              </v:textbox>
            </v:shape>
            <v:line id="直线 149" o:spid="_x0000_s1113" o:spt="20" style="position:absolute;left:18288;top:23907;flip:x y;height:7;width:3429;"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">
              <v:path arrowok="t"/>
              <v:fill on="f" focussize="0,0"/>
              <v:stroke color="#000000" endarrow="block"/>
              <v:imagedata o:title=""/>
              <o:lock v:ext="edit" aspectratio="f"/>
            </v:line>
            <v:rect id="矩形 150" o:spid="_x0000_s1114" o:spt="1" style="position:absolute;left:42214;top:30200;height:2927;width:17145;"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测算结果验证与调整</w:t>
                    </w:r>
                  </w:p>
                  <w:p>
                    <w:pPr>
                      <w:jc w:val="center"/>
                      <w:rPr>
                        <w:rFonts w:ascii="仿宋_GB2312" w:eastAsia="仿宋_GB2312"/>
                        <w:sz w:val="24"/>
                      </w:rPr>
                    </w:pPr>
                  </w:p>
                </w:txbxContent>
              </v:textbox>
            </v:rect>
            <v:line id="直线 151" o:spid="_x0000_s1115" o:spt="20" style="position:absolute;left:36499;top:31680;height:19;width:571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path arrowok="t"/>
              <v:fill on="f" focussize="0,0"/>
              <v:stroke color="#000000" endarrow="block"/>
              <v:imagedata o:title=""/>
              <o:lock v:ext="edit" aspectratio="f"/>
            </v:line>
            <v:line id="直线 152" o:spid="_x0000_s1116" o:spt="20" style="position:absolute;left:36658;top:23907;height:7;width:306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path arrowok="t"/>
              <v:fill on="f" focussize="0,0"/>
              <v:stroke color="#000000" endarrow="block"/>
              <v:imagedata o:title=""/>
              <o:lock v:ext="edit" aspectratio="f"/>
            </v:line>
            <v:rect id="矩形 153" o:spid="_x0000_s1117" o:spt="1" style="position:absolute;left:42138;top:5956;height:13074;width:13545;"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土地类型</w:t>
                    </w:r>
                  </w:p>
                  <w:p>
                    <w:pPr>
                      <w:jc w:val="center"/>
                      <w:rPr>
                        <w:rFonts w:ascii="仿宋_GB2312" w:eastAsia="仿宋_GB2312"/>
                        <w:sz w:val="24"/>
                      </w:rPr>
                    </w:pPr>
                    <w:r>
                      <w:rPr>
                        <w:rFonts w:hint="eastAsia" w:ascii="仿宋_GB2312" w:eastAsia="仿宋_GB2312"/>
                        <w:sz w:val="24"/>
                      </w:rPr>
                      <w:t>土地资源条件</w:t>
                    </w:r>
                  </w:p>
                  <w:p>
                    <w:pPr>
                      <w:jc w:val="center"/>
                      <w:rPr>
                        <w:rFonts w:ascii="仿宋_GB2312" w:eastAsia="仿宋_GB2312"/>
                        <w:sz w:val="24"/>
                      </w:rPr>
                    </w:pPr>
                    <w:r>
                      <w:rPr>
                        <w:rFonts w:hint="eastAsia" w:ascii="仿宋_GB2312" w:eastAsia="仿宋_GB2312"/>
                        <w:sz w:val="24"/>
                      </w:rPr>
                      <w:t>土地产值</w:t>
                    </w:r>
                  </w:p>
                  <w:p>
                    <w:pPr>
                      <w:jc w:val="center"/>
                      <w:rPr>
                        <w:rFonts w:ascii="仿宋_GB2312" w:eastAsia="仿宋_GB2312"/>
                        <w:sz w:val="24"/>
                      </w:rPr>
                    </w:pPr>
                    <w:r>
                      <w:rPr>
                        <w:rFonts w:hint="eastAsia" w:ascii="仿宋_GB2312" w:eastAsia="仿宋_GB2312"/>
                        <w:sz w:val="24"/>
                      </w:rPr>
                      <w:t>人均常用耕地</w:t>
                    </w:r>
                  </w:p>
                  <w:p>
                    <w:pPr>
                      <w:jc w:val="center"/>
                      <w:rPr>
                        <w:rFonts w:ascii="仿宋_GB2312" w:eastAsia="仿宋_GB2312"/>
                        <w:sz w:val="24"/>
                      </w:rPr>
                    </w:pPr>
                    <w:r>
                      <w:rPr>
                        <w:rFonts w:hint="eastAsia" w:ascii="仿宋_GB2312" w:eastAsia="仿宋_GB2312"/>
                        <w:sz w:val="24"/>
                      </w:rPr>
                      <w:t>农民可支配收入</w:t>
                    </w:r>
                  </w:p>
                  <w:p>
                    <w:pPr>
                      <w:jc w:val="center"/>
                      <w:rPr>
                        <w:rFonts w:ascii="仿宋_GB2312" w:eastAsia="仿宋_GB2312"/>
                        <w:sz w:val="24"/>
                      </w:rPr>
                    </w:pPr>
                    <w:r>
                      <w:rPr>
                        <w:rFonts w:ascii="仿宋_GB2312" w:eastAsia="仿宋_GB2312"/>
                        <w:sz w:val="24"/>
                      </w:rPr>
                      <w:t>……</w:t>
                    </w:r>
                  </w:p>
                </w:txbxContent>
              </v:textbox>
            </v:rect>
            <v:line id="直线 154" o:spid="_x0000_s1118" o:spt="20" style="position:absolute;left:17462;top:12274;flip:x y;height:13;width:4337;"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">
              <v:path arrowok="t"/>
              <v:fill on="f" focussize="0,0"/>
              <v:stroke color="#000000" endarrow="block"/>
              <v:imagedata o:title=""/>
              <o:lock v:ext="edit" aspectratio="f"/>
            </v:line>
            <v:rect id="矩形 155" o:spid="_x0000_s1119" o:spt="1" style="position:absolute;left:43897;top:1003;height:2959;width:1028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因素法</w:t>
                    </w:r>
                  </w:p>
                </w:txbxContent>
              </v:textbox>
            </v:rect>
            <v:line id="直线 156" o:spid="_x0000_s1120" o:spt="20" style="position:absolute;left:48926;top:3962;height:1994;width:7;"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path arrowok="t"/>
              <v:fill on="f" focussize="0,0"/>
              <v:stroke color="#000000" endarrow="block"/>
              <v:imagedata o:title=""/>
              <o:lock v:ext="edit" aspectratio="f"/>
            </v:line>
            <v:rect id="矩形 157" o:spid="_x0000_s1121" o:spt="1" style="position:absolute;left:2286;top:20459;height:7334;width:16002;"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path/>
              <v:fill on="t" color2="#FFFFFF"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重置成本法</w:t>
                    </w:r>
                  </w:p>
                  <w:p>
                    <w:pPr>
                      <w:jc w:val="center"/>
                      <w:rPr>
                        <w:rFonts w:ascii="仿宋_GB2312" w:eastAsia="仿宋_GB2312"/>
                        <w:sz w:val="24"/>
                      </w:rPr>
                    </w:pPr>
                    <w:r>
                      <w:rPr>
                        <w:rFonts w:hint="eastAsia" w:ascii="仿宋_GB2312" w:eastAsia="仿宋_GB2312"/>
                        <w:sz w:val="24"/>
                      </w:rPr>
                      <w:t>价格指数法</w:t>
                    </w:r>
                  </w:p>
                  <w:p>
                    <w:pPr>
                      <w:jc w:val="center"/>
                      <w:rPr>
                        <w:rFonts w:ascii="仿宋_GB2312" w:eastAsia="仿宋_GB2312"/>
                        <w:sz w:val="24"/>
                      </w:rPr>
                    </w:pPr>
                    <w:r>
                      <w:rPr>
                        <w:rFonts w:ascii="仿宋_GB2312" w:eastAsia="仿宋_GB2312"/>
                        <w:sz w:val="24"/>
                      </w:rPr>
                      <w:t>……</w:t>
                    </w:r>
                  </w:p>
                  <w:p>
                    <w:pPr>
                      <w:jc w:val="center"/>
                      <w:rPr>
                        <w:rFonts w:ascii="仿宋_GB2312" w:eastAsia="仿宋_GB2312"/>
                        <w:sz w:val="24"/>
                      </w:rPr>
                    </w:pPr>
                  </w:p>
                </w:txbxContent>
              </v:textbox>
            </v:rect>
            <w10:wrap type="none"/>
            <w10:anchorlock/>
          </v:group>
        </w:pict>
      </w:r>
    </w:p>
    <w:p>
      <w:pPr>
        <w:adjustRightInd w:val="0"/>
        <w:snapToGrid w:val="0"/>
        <w:spacing w:line="360" w:lineRule="auto"/>
        <w:jc w:val="center"/>
        <w:rPr>
          <w:rFonts w:hint="eastAsia" w:ascii="楷体" w:hAnsi="楷体" w:eastAsia="楷体" w:cs="楷体"/>
          <w:color w:val="auto"/>
          <w:sz w:val="24"/>
          <w:highlight w:val="none"/>
        </w:rPr>
      </w:pPr>
    </w:p>
    <w:p>
      <w:pPr>
        <w:adjustRightInd w:val="0"/>
        <w:snapToGrid w:val="0"/>
        <w:spacing w:line="360" w:lineRule="auto"/>
        <w:jc w:val="center"/>
        <w:rPr>
          <w:rFonts w:hint="eastAsia" w:ascii="楷体" w:hAnsi="楷体" w:eastAsia="楷体" w:cs="楷体"/>
          <w:color w:val="auto"/>
          <w:sz w:val="24"/>
          <w:highlight w:val="none"/>
        </w:rPr>
      </w:pPr>
      <w:r>
        <w:rPr>
          <w:rFonts w:hint="eastAsia" w:ascii="楷体" w:hAnsi="楷体" w:eastAsia="楷体" w:cs="楷体"/>
          <w:color w:val="auto"/>
          <w:sz w:val="24"/>
          <w:highlight w:val="none"/>
        </w:rPr>
        <w:t>图</w:t>
      </w:r>
      <w:r>
        <w:rPr>
          <w:rFonts w:hint="eastAsia" w:ascii="楷体" w:hAnsi="楷体" w:eastAsia="楷体" w:cs="楷体"/>
          <w:color w:val="auto"/>
          <w:sz w:val="24"/>
          <w:highlight w:val="none"/>
          <w:lang w:val="en-US" w:eastAsia="zh-CN"/>
        </w:rPr>
        <w:t>5</w:t>
      </w:r>
      <w:r>
        <w:rPr>
          <w:rFonts w:hint="eastAsia" w:ascii="楷体" w:hAnsi="楷体" w:eastAsia="楷体" w:cs="楷体"/>
          <w:color w:val="auto"/>
          <w:sz w:val="24"/>
          <w:highlight w:val="none"/>
        </w:rPr>
        <w:t>-1 地上附着物和青苗补偿标准制定工作技术路线图</w:t>
      </w:r>
    </w:p>
    <w:p>
      <w:pPr>
        <w:pStyle w:val="61"/>
        <w:spacing w:line="360" w:lineRule="auto"/>
        <w:ind w:firstLine="480"/>
        <w:rPr>
          <w:rFonts w:hint="eastAsia" w:ascii="楷体" w:hAnsi="楷体" w:eastAsia="楷体" w:cs="楷体"/>
          <w:color w:val="auto"/>
          <w:sz w:val="24"/>
          <w:highlight w:val="none"/>
        </w:rPr>
      </w:pPr>
    </w:p>
    <w:p>
      <w:pPr>
        <w:pStyle w:val="61"/>
        <w:spacing w:line="360" w:lineRule="auto"/>
        <w:ind w:firstLine="480"/>
        <w:rPr>
          <w:rFonts w:hint="eastAsia" w:ascii="楷体" w:hAnsi="楷体" w:eastAsia="楷体" w:cs="楷体"/>
          <w:color w:val="auto"/>
          <w:sz w:val="24"/>
          <w:highlight w:val="none"/>
        </w:rPr>
      </w:pPr>
    </w:p>
    <w:p>
      <w:pPr>
        <w:spacing w:line="360" w:lineRule="auto"/>
        <w:ind w:firstLine="562" w:firstLineChars="200"/>
        <w:outlineLvl w:val="9"/>
        <w:rPr>
          <w:rFonts w:hint="eastAsia" w:ascii="楷体" w:hAnsi="楷体" w:eastAsia="楷体" w:cs="楷体"/>
          <w:b/>
          <w:bCs/>
          <w:color w:val="auto"/>
          <w:sz w:val="28"/>
          <w:szCs w:val="28"/>
          <w:highlight w:val="none"/>
        </w:rPr>
      </w:pPr>
    </w:p>
    <w:p>
      <w:pPr>
        <w:spacing w:line="360" w:lineRule="auto"/>
        <w:ind w:firstLine="562" w:firstLineChars="200"/>
        <w:outlineLvl w:val="9"/>
        <w:rPr>
          <w:rFonts w:hint="eastAsia" w:ascii="楷体" w:hAnsi="楷体" w:eastAsia="楷体" w:cs="楷体"/>
          <w:b/>
          <w:bCs/>
          <w:color w:val="auto"/>
          <w:sz w:val="28"/>
          <w:szCs w:val="28"/>
          <w:highlight w:val="none"/>
        </w:rPr>
      </w:pPr>
    </w:p>
    <w:p>
      <w:pPr>
        <w:spacing w:line="360" w:lineRule="auto"/>
        <w:ind w:firstLine="562" w:firstLineChars="200"/>
        <w:outlineLvl w:val="1"/>
        <w:rPr>
          <w:rFonts w:hint="eastAsia" w:ascii="楷体" w:hAnsi="楷体" w:eastAsia="楷体" w:cs="楷体"/>
          <w:b/>
          <w:bCs/>
          <w:color w:val="auto"/>
          <w:sz w:val="28"/>
          <w:szCs w:val="28"/>
          <w:highlight w:val="none"/>
        </w:rPr>
      </w:pPr>
      <w:bookmarkStart w:id="168" w:name="_Toc16737"/>
      <w:r>
        <w:rPr>
          <w:rFonts w:hint="eastAsia" w:ascii="楷体" w:hAnsi="楷体" w:eastAsia="楷体" w:cs="楷体"/>
          <w:b/>
          <w:bCs/>
          <w:color w:val="auto"/>
          <w:sz w:val="28"/>
          <w:szCs w:val="28"/>
          <w:highlight w:val="none"/>
        </w:rPr>
        <w:t>（二）地上附着物补偿标准测算</w:t>
      </w:r>
      <w:bookmarkEnd w:id="168"/>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地上附着物补偿标准分为房屋类补偿标准、设施类补偿标准以及林（果）木花卉类等补偿标准。</w:t>
      </w:r>
    </w:p>
    <w:p>
      <w:pPr>
        <w:spacing w:line="360" w:lineRule="auto"/>
        <w:ind w:firstLine="281" w:firstLineChars="100"/>
        <w:outlineLvl w:val="2"/>
        <w:rPr>
          <w:rFonts w:hint="eastAsia" w:ascii="楷体" w:hAnsi="楷体" w:eastAsia="楷体" w:cs="楷体"/>
          <w:b/>
          <w:bCs/>
          <w:color w:val="auto"/>
          <w:kern w:val="0"/>
          <w:sz w:val="28"/>
          <w:szCs w:val="28"/>
          <w:highlight w:val="none"/>
        </w:rPr>
      </w:pPr>
      <w:bookmarkStart w:id="169" w:name="_Toc22349"/>
      <w:bookmarkStart w:id="170" w:name="_Toc26369"/>
      <w:r>
        <w:rPr>
          <w:rFonts w:hint="eastAsia" w:ascii="楷体" w:hAnsi="楷体" w:eastAsia="楷体" w:cs="楷体"/>
          <w:b/>
          <w:bCs/>
          <w:color w:val="auto"/>
          <w:kern w:val="0"/>
          <w:sz w:val="28"/>
          <w:szCs w:val="28"/>
          <w:highlight w:val="none"/>
        </w:rPr>
        <w:t>1.建筑物补偿标准测算</w:t>
      </w:r>
      <w:bookmarkEnd w:id="169"/>
      <w:bookmarkEnd w:id="170"/>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建（构）筑物补偿标准测算通过选取不同区域具有代表性的三个以上典型案例，主要采用重置成本和价格指数法测算各典型案例评估时点的补偿标准，最后通过算术（加权）平均计算行政区范围内各类地上附着物补偿标准。</w:t>
      </w:r>
    </w:p>
    <w:p>
      <w:pPr>
        <w:spacing w:line="360" w:lineRule="auto"/>
        <w:ind w:firstLine="560" w:firstLineChars="200"/>
        <w:outlineLvl w:val="3"/>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w:t>
      </w:r>
      <w:r>
        <w:rPr>
          <w:rFonts w:hint="eastAsia" w:ascii="楷体" w:hAnsi="楷体" w:eastAsia="楷体" w:cs="楷体"/>
          <w:color w:val="auto"/>
          <w:sz w:val="28"/>
          <w:szCs w:val="28"/>
          <w:highlight w:val="none"/>
          <w:lang w:val="en-US" w:eastAsia="zh-CN"/>
        </w:rPr>
        <w:t>1</w:t>
      </w:r>
      <w:r>
        <w:rPr>
          <w:rFonts w:hint="eastAsia" w:ascii="楷体" w:hAnsi="楷体" w:eastAsia="楷体" w:cs="楷体"/>
          <w:color w:val="auto"/>
          <w:sz w:val="28"/>
          <w:szCs w:val="28"/>
          <w:highlight w:val="none"/>
        </w:rPr>
        <w:t>）重置成本法</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重置成本法的理论根据</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根据《房地产估价规范》和《云南省地上附着物和青苗补偿标准制定技术指南（试行搞）》的相关要求，</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建筑物补偿标准测算通过选取不同区域具有代表性的三个以上典型案例，主要采用重置成本和价格指数法测算各典型案例评估时点的补偿标准，然后采用算术（加权）平均的方法确定</w:t>
      </w:r>
      <w:r>
        <w:rPr>
          <w:rFonts w:hint="eastAsia" w:ascii="楷体" w:hAnsi="楷体" w:eastAsia="楷体" w:cs="楷体"/>
          <w:color w:val="auto"/>
          <w:sz w:val="28"/>
          <w:szCs w:val="28"/>
          <w:highlight w:val="none"/>
          <w:lang w:val="en-US" w:eastAsia="zh-CN"/>
        </w:rPr>
        <w:t>区</w:t>
      </w:r>
      <w:r>
        <w:rPr>
          <w:rFonts w:hint="eastAsia" w:ascii="楷体" w:hAnsi="楷体" w:eastAsia="楷体" w:cs="楷体"/>
          <w:color w:val="auto"/>
          <w:sz w:val="28"/>
          <w:szCs w:val="28"/>
          <w:highlight w:val="none"/>
        </w:rPr>
        <w:t>域建筑物补偿标准，具体测算方法如下：</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重置成本法是按现实的工价及生产水平，重新营造与被评估资产类似的资产所需的成本费用。在测算区域建筑物补偿标准时，可分别选取不同结构的建筑物典型案例，根据住房和城乡建设部门提供的房屋建筑工程平米造价参考值，分别评估出不同典型案例的重置成本价，然后采用算术（加权）平均确定不同结构建筑物补偿标准。重置成本法测算区域地上附着物补偿标准时不考虑折旧。</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重置成本=建安综合造价+前期费用及其他费用+利息+合理利润</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以</w:t>
      </w:r>
      <w:r>
        <w:rPr>
          <w:rFonts w:hint="eastAsia" w:ascii="楷体" w:hAnsi="楷体" w:eastAsia="楷体" w:cs="楷体"/>
          <w:color w:val="auto"/>
          <w:sz w:val="28"/>
          <w:szCs w:val="28"/>
          <w:highlight w:val="none"/>
          <w:lang w:val="en-US" w:eastAsia="zh-CN"/>
        </w:rPr>
        <w:t>砖混</w:t>
      </w:r>
      <w:r>
        <w:rPr>
          <w:rFonts w:hint="eastAsia" w:ascii="楷体" w:hAnsi="楷体" w:eastAsia="楷体" w:cs="楷体"/>
          <w:color w:val="auto"/>
          <w:sz w:val="28"/>
          <w:szCs w:val="28"/>
          <w:highlight w:val="none"/>
        </w:rPr>
        <w:t>结构为例：</w:t>
      </w:r>
    </w:p>
    <w:p>
      <w:pPr>
        <w:widowControl/>
        <w:numPr>
          <w:ilvl w:val="0"/>
          <w:numId w:val="9"/>
        </w:numPr>
        <w:adjustRightInd w:val="0"/>
        <w:snapToGrid w:val="0"/>
        <w:spacing w:line="360" w:lineRule="auto"/>
        <w:ind w:left="420" w:leftChars="0" w:hanging="420" w:firstLineChars="0"/>
        <w:rPr>
          <w:rFonts w:hint="eastAsia"/>
        </w:rPr>
      </w:pPr>
      <w:r>
        <w:rPr>
          <w:rFonts w:hint="eastAsia" w:ascii="楷体" w:hAnsi="楷体" w:eastAsia="楷体" w:cs="楷体"/>
          <w:sz w:val="28"/>
          <w:szCs w:val="28"/>
          <w:lang w:val="en-US" w:eastAsia="zh-CN"/>
        </w:rPr>
        <w:t>典型案例选取：</w:t>
      </w:r>
    </w:p>
    <w:p>
      <w:pPr>
        <w:keepNext w:val="0"/>
        <w:keepLines w:val="0"/>
        <w:widowControl/>
        <w:suppressLineNumbers w:val="0"/>
        <w:spacing w:line="360" w:lineRule="auto"/>
        <w:ind w:firstLine="560" w:firstLineChars="20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选取具有代表性的拆迁房屋作为典型案例。案例一：位于</w:t>
      </w:r>
      <w:r>
        <w:rPr>
          <w:rFonts w:hint="eastAsia" w:ascii="楷体" w:hAnsi="楷体" w:eastAsia="楷体" w:cs="楷体"/>
          <w:color w:val="auto"/>
          <w:sz w:val="28"/>
          <w:szCs w:val="28"/>
          <w:highlight w:val="none"/>
          <w:lang w:val="en-US" w:eastAsia="zh-CN"/>
        </w:rPr>
        <w:t>盘龙区</w:t>
      </w:r>
      <w:r>
        <w:rPr>
          <w:rFonts w:hint="eastAsia" w:ascii="楷体" w:hAnsi="楷体" w:eastAsia="楷体" w:cs="楷体"/>
          <w:i w:val="0"/>
          <w:color w:val="auto"/>
          <w:kern w:val="0"/>
          <w:sz w:val="24"/>
          <w:szCs w:val="24"/>
          <w:highlight w:val="none"/>
          <w:u w:val="none"/>
          <w:lang w:val="en-US" w:eastAsia="zh-CN" w:bidi="ar"/>
        </w:rPr>
        <w:t>茨</w:t>
      </w:r>
      <w:r>
        <w:rPr>
          <w:rFonts w:hint="eastAsia" w:ascii="楷体" w:hAnsi="楷体" w:eastAsia="楷体" w:cs="楷体"/>
          <w:color w:val="auto"/>
          <w:sz w:val="28"/>
          <w:szCs w:val="28"/>
          <w:highlight w:val="none"/>
          <w:lang w:val="en-US" w:eastAsia="zh-CN"/>
        </w:rPr>
        <w:t>坝街道办事处</w:t>
      </w:r>
      <w:r>
        <w:rPr>
          <w:rFonts w:hint="eastAsia" w:ascii="楷体" w:hAnsi="楷体" w:eastAsia="楷体" w:cs="楷体"/>
          <w:color w:val="auto"/>
          <w:sz w:val="28"/>
          <w:szCs w:val="28"/>
          <w:highlight w:val="none"/>
        </w:rPr>
        <w:t>，建筑面积为</w:t>
      </w:r>
      <w:r>
        <w:rPr>
          <w:rFonts w:hint="eastAsia" w:ascii="楷体" w:hAnsi="楷体" w:eastAsia="楷体" w:cs="楷体"/>
          <w:color w:val="auto"/>
          <w:sz w:val="28"/>
          <w:szCs w:val="28"/>
          <w:highlight w:val="none"/>
          <w:lang w:val="en-US" w:eastAsia="zh-CN"/>
        </w:rPr>
        <w:t>350</w:t>
      </w:r>
      <w:r>
        <w:rPr>
          <w:rFonts w:hint="eastAsia" w:ascii="楷体" w:hAnsi="楷体" w:eastAsia="楷体" w:cs="楷体"/>
          <w:color w:val="auto"/>
          <w:sz w:val="28"/>
          <w:szCs w:val="28"/>
          <w:highlight w:val="none"/>
        </w:rPr>
        <w:t>平方米，</w:t>
      </w:r>
      <w:r>
        <w:rPr>
          <w:rFonts w:hint="eastAsia" w:ascii="楷体" w:hAnsi="楷体" w:eastAsia="楷体" w:cs="楷体"/>
          <w:color w:val="auto"/>
          <w:sz w:val="28"/>
          <w:szCs w:val="28"/>
          <w:highlight w:val="none"/>
          <w:lang w:val="en-US" w:eastAsia="zh-CN"/>
        </w:rPr>
        <w:t>层数2层，</w:t>
      </w:r>
      <w:r>
        <w:rPr>
          <w:rFonts w:hint="eastAsia" w:ascii="楷体" w:hAnsi="楷体" w:eastAsia="楷体" w:cs="楷体"/>
          <w:color w:val="auto"/>
          <w:sz w:val="28"/>
          <w:szCs w:val="28"/>
          <w:highlight w:val="none"/>
        </w:rPr>
        <w:t>建筑结构为</w:t>
      </w:r>
      <w:r>
        <w:rPr>
          <w:rFonts w:hint="eastAsia" w:ascii="楷体" w:hAnsi="楷体" w:eastAsia="楷体" w:cs="楷体"/>
          <w:color w:val="auto"/>
          <w:sz w:val="28"/>
          <w:szCs w:val="28"/>
          <w:highlight w:val="none"/>
          <w:lang w:val="en-US" w:eastAsia="zh-CN"/>
        </w:rPr>
        <w:t>砖混</w:t>
      </w:r>
      <w:r>
        <w:rPr>
          <w:rFonts w:hint="eastAsia" w:ascii="楷体" w:hAnsi="楷体" w:eastAsia="楷体" w:cs="楷体"/>
          <w:color w:val="auto"/>
          <w:sz w:val="28"/>
          <w:szCs w:val="28"/>
          <w:highlight w:val="none"/>
        </w:rPr>
        <w:t>结构；案例二：位于</w:t>
      </w:r>
      <w:r>
        <w:rPr>
          <w:rFonts w:hint="eastAsia" w:ascii="楷体" w:hAnsi="楷体" w:eastAsia="楷体" w:cs="楷体"/>
          <w:color w:val="auto"/>
          <w:sz w:val="28"/>
          <w:szCs w:val="28"/>
          <w:highlight w:val="none"/>
          <w:lang w:val="en-US" w:eastAsia="zh-CN"/>
        </w:rPr>
        <w:t>盘龙区新街村民委员会</w:t>
      </w:r>
      <w:r>
        <w:rPr>
          <w:rFonts w:hint="eastAsia" w:ascii="楷体" w:hAnsi="楷体" w:eastAsia="楷体" w:cs="楷体"/>
          <w:color w:val="auto"/>
          <w:sz w:val="28"/>
          <w:szCs w:val="28"/>
          <w:highlight w:val="none"/>
        </w:rPr>
        <w:t>，建筑面积为</w:t>
      </w:r>
      <w:r>
        <w:rPr>
          <w:rFonts w:hint="eastAsia" w:ascii="楷体" w:hAnsi="楷体" w:eastAsia="楷体" w:cs="楷体"/>
          <w:color w:val="auto"/>
          <w:sz w:val="28"/>
          <w:szCs w:val="28"/>
          <w:highlight w:val="none"/>
          <w:lang w:val="en-US" w:eastAsia="zh-CN"/>
        </w:rPr>
        <w:t>300</w:t>
      </w:r>
      <w:r>
        <w:rPr>
          <w:rFonts w:hint="eastAsia" w:ascii="楷体" w:hAnsi="楷体" w:eastAsia="楷体" w:cs="楷体"/>
          <w:color w:val="auto"/>
          <w:sz w:val="28"/>
          <w:szCs w:val="28"/>
          <w:highlight w:val="none"/>
        </w:rPr>
        <w:t>平方米，</w:t>
      </w:r>
      <w:r>
        <w:rPr>
          <w:rFonts w:hint="eastAsia" w:ascii="楷体" w:hAnsi="楷体" w:eastAsia="楷体" w:cs="楷体"/>
          <w:color w:val="auto"/>
          <w:sz w:val="28"/>
          <w:szCs w:val="28"/>
          <w:highlight w:val="none"/>
          <w:lang w:val="en-US" w:eastAsia="zh-CN"/>
        </w:rPr>
        <w:t>层数1层，</w:t>
      </w:r>
      <w:r>
        <w:rPr>
          <w:rFonts w:hint="eastAsia" w:ascii="楷体" w:hAnsi="楷体" w:eastAsia="楷体" w:cs="楷体"/>
          <w:color w:val="auto"/>
          <w:sz w:val="28"/>
          <w:szCs w:val="28"/>
          <w:highlight w:val="none"/>
        </w:rPr>
        <w:t>建筑结构为</w:t>
      </w:r>
      <w:r>
        <w:rPr>
          <w:rFonts w:hint="eastAsia" w:ascii="楷体" w:hAnsi="楷体" w:eastAsia="楷体" w:cs="楷体"/>
          <w:color w:val="auto"/>
          <w:sz w:val="28"/>
          <w:szCs w:val="28"/>
          <w:highlight w:val="none"/>
          <w:lang w:val="en-US" w:eastAsia="zh-CN"/>
        </w:rPr>
        <w:t>砖混</w:t>
      </w:r>
      <w:r>
        <w:rPr>
          <w:rFonts w:hint="eastAsia" w:ascii="楷体" w:hAnsi="楷体" w:eastAsia="楷体" w:cs="楷体"/>
          <w:color w:val="auto"/>
          <w:sz w:val="28"/>
          <w:szCs w:val="28"/>
          <w:highlight w:val="none"/>
        </w:rPr>
        <w:t>结构；案例三：位于</w:t>
      </w:r>
      <w:r>
        <w:rPr>
          <w:rFonts w:hint="eastAsia" w:ascii="楷体" w:hAnsi="楷体" w:eastAsia="楷体" w:cs="楷体"/>
          <w:color w:val="auto"/>
          <w:sz w:val="28"/>
          <w:szCs w:val="28"/>
          <w:highlight w:val="none"/>
          <w:lang w:val="en-US" w:eastAsia="zh-CN"/>
        </w:rPr>
        <w:t>盘龙区拓东街道办事处</w:t>
      </w:r>
      <w:r>
        <w:rPr>
          <w:rFonts w:hint="eastAsia" w:ascii="楷体" w:hAnsi="楷体" w:eastAsia="楷体" w:cs="楷体"/>
          <w:color w:val="auto"/>
          <w:sz w:val="28"/>
          <w:szCs w:val="28"/>
          <w:highlight w:val="none"/>
        </w:rPr>
        <w:t>，建筑面积为</w:t>
      </w:r>
      <w:r>
        <w:rPr>
          <w:rFonts w:hint="eastAsia" w:ascii="楷体" w:hAnsi="楷体" w:eastAsia="楷体" w:cs="楷体"/>
          <w:color w:val="auto"/>
          <w:sz w:val="28"/>
          <w:szCs w:val="28"/>
          <w:highlight w:val="none"/>
          <w:lang w:val="en-US" w:eastAsia="zh-CN"/>
        </w:rPr>
        <w:t>214</w:t>
      </w:r>
      <w:r>
        <w:rPr>
          <w:rFonts w:hint="eastAsia" w:ascii="楷体" w:hAnsi="楷体" w:eastAsia="楷体" w:cs="楷体"/>
          <w:color w:val="auto"/>
          <w:sz w:val="28"/>
          <w:szCs w:val="28"/>
          <w:highlight w:val="none"/>
        </w:rPr>
        <w:t>平方米，</w:t>
      </w:r>
      <w:r>
        <w:rPr>
          <w:rFonts w:hint="eastAsia" w:ascii="楷体" w:hAnsi="楷体" w:eastAsia="楷体" w:cs="楷体"/>
          <w:color w:val="auto"/>
          <w:sz w:val="28"/>
          <w:szCs w:val="28"/>
          <w:highlight w:val="none"/>
          <w:lang w:val="en-US" w:eastAsia="zh-CN"/>
        </w:rPr>
        <w:t>层数1层，</w:t>
      </w:r>
      <w:r>
        <w:rPr>
          <w:rFonts w:hint="eastAsia" w:ascii="楷体" w:hAnsi="楷体" w:eastAsia="楷体" w:cs="楷体"/>
          <w:color w:val="auto"/>
          <w:sz w:val="28"/>
          <w:szCs w:val="28"/>
          <w:highlight w:val="none"/>
        </w:rPr>
        <w:t>建筑结构为</w:t>
      </w:r>
      <w:r>
        <w:rPr>
          <w:rFonts w:hint="eastAsia" w:ascii="楷体" w:hAnsi="楷体" w:eastAsia="楷体" w:cs="楷体"/>
          <w:color w:val="auto"/>
          <w:sz w:val="28"/>
          <w:szCs w:val="28"/>
          <w:highlight w:val="none"/>
          <w:lang w:val="en-US" w:eastAsia="zh-CN"/>
        </w:rPr>
        <w:t>砖混</w:t>
      </w:r>
      <w:r>
        <w:rPr>
          <w:rFonts w:hint="eastAsia" w:ascii="楷体" w:hAnsi="楷体" w:eastAsia="楷体" w:cs="楷体"/>
          <w:color w:val="auto"/>
          <w:sz w:val="28"/>
          <w:szCs w:val="28"/>
          <w:highlight w:val="none"/>
        </w:rPr>
        <w:t>结构。</w:t>
      </w:r>
    </w:p>
    <w:p>
      <w:pPr>
        <w:pStyle w:val="2"/>
        <w:numPr>
          <w:ilvl w:val="0"/>
          <w:numId w:val="9"/>
        </w:numPr>
        <w:spacing w:line="360" w:lineRule="auto"/>
        <w:ind w:left="420" w:leftChars="0" w:hanging="420" w:firstLineChars="0"/>
        <w:rPr>
          <w:rFonts w:hint="eastAsia" w:ascii="楷体" w:hAnsi="楷体" w:eastAsia="楷体" w:cs="楷体"/>
          <w:bCs/>
          <w:kern w:val="44"/>
          <w:sz w:val="28"/>
          <w:szCs w:val="28"/>
          <w:lang w:val="en-US" w:eastAsia="zh-CN" w:bidi="ar-SA"/>
        </w:rPr>
      </w:pPr>
      <w:r>
        <w:rPr>
          <w:rFonts w:hint="eastAsia" w:ascii="楷体" w:hAnsi="楷体" w:eastAsia="楷体" w:cs="楷体"/>
          <w:sz w:val="28"/>
          <w:szCs w:val="28"/>
          <w:lang w:val="en-US" w:eastAsia="zh-CN"/>
        </w:rPr>
        <w:t>修改指标的确定：</w:t>
      </w:r>
    </w:p>
    <w:p>
      <w:pPr>
        <w:pStyle w:val="2"/>
        <w:numPr>
          <w:ilvl w:val="0"/>
          <w:numId w:val="0"/>
        </w:numPr>
        <w:spacing w:line="360" w:lineRule="auto"/>
        <w:ind w:leftChars="0" w:firstLine="560" w:firstLineChars="200"/>
        <w:rPr>
          <w:rFonts w:hint="eastAsia" w:ascii="楷体" w:hAnsi="楷体" w:eastAsia="楷体" w:cs="楷体"/>
          <w:bCs/>
          <w:kern w:val="44"/>
          <w:sz w:val="28"/>
          <w:szCs w:val="28"/>
          <w:lang w:val="en-US" w:eastAsia="zh-CN" w:bidi="ar-SA"/>
        </w:rPr>
      </w:pPr>
      <w:r>
        <w:rPr>
          <w:rFonts w:hint="eastAsia" w:ascii="楷体" w:hAnsi="楷体" w:eastAsia="楷体" w:cs="楷体"/>
          <w:bCs/>
          <w:kern w:val="44"/>
          <w:sz w:val="28"/>
          <w:szCs w:val="28"/>
          <w:lang w:val="en-US" w:eastAsia="zh-CN" w:bidi="ar-SA"/>
        </w:rPr>
        <w:t>主要材料和数量根据《云南省房屋建筑与装饰工程消耗量定额》结合建筑物结构以及以往类似工程经验综合确定。建筑材料价格信息以盘龙区住房和城乡建设局发布的材料价格 信息或云南省建设工程材料价格信息（</w:t>
      </w:r>
      <w:r>
        <w:rPr>
          <w:rFonts w:hint="default" w:ascii="楷体" w:hAnsi="楷体" w:eastAsia="楷体" w:cs="楷体"/>
          <w:bCs/>
          <w:kern w:val="44"/>
          <w:sz w:val="28"/>
          <w:szCs w:val="28"/>
          <w:lang w:val="en-US" w:eastAsia="zh-CN" w:bidi="ar-SA"/>
        </w:rPr>
        <w:t>http://www.gc169.com/</w:t>
      </w:r>
      <w:r>
        <w:rPr>
          <w:rFonts w:hint="eastAsia" w:ascii="楷体" w:hAnsi="楷体" w:eastAsia="楷体" w:cs="楷体"/>
          <w:bCs/>
          <w:kern w:val="44"/>
          <w:sz w:val="28"/>
          <w:szCs w:val="28"/>
          <w:lang w:val="en-US" w:eastAsia="zh-CN" w:bidi="ar-SA"/>
        </w:rPr>
        <w:t>）发布的基准时点对应的材料价格确定。人工费、机械费、管理费、利润、规费、税金等根据《云南省</w:t>
      </w:r>
      <w:r>
        <w:rPr>
          <w:rFonts w:hint="default" w:ascii="楷体" w:hAnsi="楷体" w:eastAsia="楷体" w:cs="楷体"/>
          <w:bCs/>
          <w:kern w:val="44"/>
          <w:sz w:val="28"/>
          <w:szCs w:val="28"/>
          <w:lang w:val="en-US" w:eastAsia="zh-CN" w:bidi="ar-SA"/>
        </w:rPr>
        <w:t xml:space="preserve">2013 </w:t>
      </w:r>
      <w:r>
        <w:rPr>
          <w:rFonts w:hint="eastAsia" w:ascii="楷体" w:hAnsi="楷体" w:eastAsia="楷体" w:cs="楷体"/>
          <w:bCs/>
          <w:kern w:val="44"/>
          <w:sz w:val="28"/>
          <w:szCs w:val="28"/>
          <w:lang w:val="en-US" w:eastAsia="zh-CN" w:bidi="ar-SA"/>
        </w:rPr>
        <w:t>版建设工程造价计价依据编制说明及解释汇编》确定。</w:t>
      </w:r>
    </w:p>
    <w:p>
      <w:pPr>
        <w:pStyle w:val="2"/>
        <w:rPr>
          <w:rFonts w:hint="eastAsia"/>
        </w:rPr>
      </w:pPr>
    </w:p>
    <w:p>
      <w:pPr>
        <w:widowControl/>
        <w:adjustRightInd w:val="0"/>
        <w:snapToGrid w:val="0"/>
        <w:spacing w:line="360" w:lineRule="auto"/>
        <w:ind w:firstLine="280" w:firstLineChars="1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①建安综合造价的确定</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建筑物的建安综合造价包括土建工程造价和安装工程造价。通过勘查区域不同建筑结构建筑物的各项实物情况和调查工程竣工图纸、工程结算资料齐全情况，采取不同的方法分别确定建筑物建安工程综合造价。</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②前期费用及其他费用的确定。除建安工程造价外，一般建安工程还包括其他有关费用，包括前期费用和期间费用等。前期费用包括筹建费、可行性研究费、规划费、设计费、地质勘察费、场地平整费、水电气费、临时设施费用等。期间费用包括工程建设监理费、建设单位管理费、城市基础设施配套费、人防工程易地建设费、文物调查、发掘费、工程定额测定费、建设劳保费、拆迁管理费、新型墙体材料专项基金、建筑垃圾处置费、临时占道费和其他相关验收检测费等。</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③利息。利息根据项目合理建设工期，按照评估基准日相应期限的贷款利率，以建安工程造价与前期及其他费用之和为基数确定。</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④确定合理利润。通常情况下自用的生产型建筑物不计利润。</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⑤确定</w:t>
      </w:r>
      <w:r>
        <w:rPr>
          <w:rFonts w:hint="eastAsia" w:ascii="楷体" w:hAnsi="楷体" w:eastAsia="楷体" w:cs="楷体"/>
          <w:color w:val="auto"/>
          <w:sz w:val="28"/>
          <w:szCs w:val="28"/>
          <w:highlight w:val="none"/>
          <w:lang w:val="en-US" w:eastAsia="zh-CN"/>
        </w:rPr>
        <w:t>区</w:t>
      </w:r>
      <w:r>
        <w:rPr>
          <w:rFonts w:hint="eastAsia" w:ascii="楷体" w:hAnsi="楷体" w:eastAsia="楷体" w:cs="楷体"/>
          <w:color w:val="auto"/>
          <w:sz w:val="28"/>
          <w:szCs w:val="28"/>
          <w:highlight w:val="none"/>
        </w:rPr>
        <w:t>域建筑物补偿标准。通过上述方法测算出各类型建筑物典型案例的重置成本，然后采用简单算术（加权）平均的方法确定</w:t>
      </w:r>
      <w:r>
        <w:rPr>
          <w:rFonts w:hint="eastAsia" w:ascii="楷体" w:hAnsi="楷体" w:eastAsia="楷体" w:cs="楷体"/>
          <w:color w:val="auto"/>
          <w:sz w:val="28"/>
          <w:szCs w:val="28"/>
          <w:highlight w:val="none"/>
          <w:lang w:val="en-US" w:eastAsia="zh-CN"/>
        </w:rPr>
        <w:t>区</w:t>
      </w:r>
      <w:r>
        <w:rPr>
          <w:rFonts w:hint="eastAsia" w:ascii="楷体" w:hAnsi="楷体" w:eastAsia="楷体" w:cs="楷体"/>
          <w:color w:val="auto"/>
          <w:sz w:val="28"/>
          <w:szCs w:val="28"/>
          <w:highlight w:val="none"/>
        </w:rPr>
        <w:t>域建筑物补偿标准。重置成本法是按现实的工价及生产水平，重新营造与被评估资产类似的资产所需的成本费用。在测算</w:t>
      </w:r>
      <w:r>
        <w:rPr>
          <w:rFonts w:hint="eastAsia" w:ascii="楷体" w:hAnsi="楷体" w:eastAsia="楷体" w:cs="楷体"/>
          <w:color w:val="auto"/>
          <w:sz w:val="28"/>
          <w:szCs w:val="28"/>
          <w:highlight w:val="none"/>
          <w:lang w:val="en-US" w:eastAsia="zh-CN"/>
        </w:rPr>
        <w:t>区</w:t>
      </w:r>
      <w:r>
        <w:rPr>
          <w:rFonts w:hint="eastAsia" w:ascii="楷体" w:hAnsi="楷体" w:eastAsia="楷体" w:cs="楷体"/>
          <w:color w:val="auto"/>
          <w:sz w:val="28"/>
          <w:szCs w:val="28"/>
          <w:highlight w:val="none"/>
        </w:rPr>
        <w:t>域建筑物补偿标准时，可分别选取不同结构的建筑物典型案例，分别评估出不同典型案例的重置成本价，然后采用算术（加权）平均确定不同结构建筑物补偿标准。重置成本法测算</w:t>
      </w:r>
      <w:r>
        <w:rPr>
          <w:rFonts w:hint="eastAsia" w:ascii="楷体" w:hAnsi="楷体" w:eastAsia="楷体" w:cs="楷体"/>
          <w:color w:val="auto"/>
          <w:sz w:val="28"/>
          <w:szCs w:val="28"/>
          <w:highlight w:val="none"/>
          <w:lang w:val="en-US" w:eastAsia="zh-CN"/>
        </w:rPr>
        <w:t>区</w:t>
      </w:r>
      <w:r>
        <w:rPr>
          <w:rFonts w:hint="eastAsia" w:ascii="楷体" w:hAnsi="楷体" w:eastAsia="楷体" w:cs="楷体"/>
          <w:color w:val="auto"/>
          <w:sz w:val="28"/>
          <w:szCs w:val="28"/>
          <w:highlight w:val="none"/>
        </w:rPr>
        <w:t>域地上附着物补偿标准时不考虑折旧。</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重置成本=建安综合造价+前期费用及其他费用+利息+合理利润</w:t>
      </w:r>
    </w:p>
    <w:p>
      <w:pPr>
        <w:widowControl/>
        <w:adjustRightInd w:val="0"/>
        <w:snapToGrid w:val="0"/>
        <w:spacing w:line="360" w:lineRule="auto"/>
        <w:ind w:firstLine="562" w:firstLineChars="200"/>
        <w:rPr>
          <w:rFonts w:hint="eastAsia" w:ascii="楷体" w:hAnsi="楷体" w:eastAsia="楷体" w:cs="楷体"/>
        </w:rPr>
      </w:pPr>
      <w:r>
        <w:rPr>
          <w:rFonts w:hint="eastAsia" w:ascii="楷体" w:hAnsi="楷体" w:eastAsia="楷体" w:cs="楷体"/>
          <w:b/>
          <w:sz w:val="28"/>
          <w:szCs w:val="28"/>
        </w:rPr>
        <w:t>以</w:t>
      </w:r>
      <w:r>
        <w:rPr>
          <w:rFonts w:hint="eastAsia" w:ascii="楷体" w:hAnsi="楷体" w:eastAsia="楷体" w:cs="楷体"/>
          <w:b/>
          <w:sz w:val="28"/>
          <w:szCs w:val="28"/>
          <w:lang w:val="en-US" w:eastAsia="zh-CN"/>
        </w:rPr>
        <w:t>砖混</w:t>
      </w:r>
      <w:r>
        <w:rPr>
          <w:rFonts w:hint="eastAsia" w:ascii="楷体" w:hAnsi="楷体" w:eastAsia="楷体" w:cs="楷体"/>
          <w:b/>
          <w:sz w:val="28"/>
          <w:szCs w:val="28"/>
        </w:rPr>
        <w:t>结构为例：</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color w:val="auto"/>
          <w:sz w:val="28"/>
          <w:szCs w:val="28"/>
          <w:highlight w:val="none"/>
        </w:rPr>
        <w:t>①建安综合造价的确定。建筑物的建安综合造价包括土建工程造价和安装工程造价。通过勘查区域不同建筑结构建筑物的各项实物情况和调查工程竣工图纸、工程结算资料齐全情况，采取不同的方法分别确定建筑物建安工程综合造价。</w:t>
      </w:r>
      <w:r>
        <w:rPr>
          <w:rFonts w:hint="eastAsia" w:ascii="楷体" w:hAnsi="楷体" w:eastAsia="楷体" w:cs="楷体"/>
          <w:sz w:val="28"/>
          <w:szCs w:val="28"/>
        </w:rPr>
        <w:t>详见下表：</w:t>
      </w:r>
    </w:p>
    <w:p>
      <w:pPr>
        <w:pStyle w:val="2"/>
        <w:spacing w:line="360" w:lineRule="auto"/>
        <w:outlineLvl w:val="9"/>
        <w:rPr>
          <w:rFonts w:hint="eastAsia" w:ascii="楷体" w:hAnsi="楷体" w:eastAsia="楷体" w:cs="楷体"/>
        </w:rPr>
      </w:pPr>
    </w:p>
    <w:p>
      <w:pPr>
        <w:pStyle w:val="2"/>
        <w:spacing w:line="360" w:lineRule="auto"/>
        <w:jc w:val="center"/>
        <w:rPr>
          <w:rFonts w:hint="eastAsia" w:ascii="楷体" w:hAnsi="楷体" w:eastAsia="楷体" w:cs="楷体"/>
          <w:b w:val="0"/>
          <w:bCs w:val="0"/>
          <w:color w:val="auto"/>
          <w:sz w:val="24"/>
          <w:szCs w:val="24"/>
          <w:highlight w:val="none"/>
          <w:lang w:val="en-US" w:eastAsia="zh-CN"/>
        </w:rPr>
      </w:pPr>
      <w:bookmarkStart w:id="171" w:name="_Toc9383"/>
      <w:r>
        <w:rPr>
          <w:rFonts w:hint="eastAsia" w:ascii="楷体" w:hAnsi="楷体" w:eastAsia="楷体" w:cs="楷体"/>
          <w:b w:val="0"/>
          <w:bCs w:val="0"/>
          <w:color w:val="auto"/>
          <w:sz w:val="24"/>
          <w:szCs w:val="24"/>
          <w:highlight w:val="none"/>
          <w:lang w:val="en-US" w:eastAsia="zh-CN"/>
        </w:rPr>
        <w:t>表5-1砖混结构主要材料数量和价格表</w:t>
      </w:r>
      <w:bookmarkEnd w:id="171"/>
    </w:p>
    <w:p>
      <w:pPr>
        <w:spacing w:line="360" w:lineRule="auto"/>
        <w:rPr>
          <w:rFonts w:hint="eastAsia" w:ascii="楷体" w:hAnsi="楷体" w:eastAsia="楷体" w:cs="楷体"/>
        </w:rPr>
      </w:pPr>
    </w:p>
    <w:tbl>
      <w:tblPr>
        <w:tblStyle w:val="4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0"/>
        <w:gridCol w:w="1113"/>
        <w:gridCol w:w="1369"/>
        <w:gridCol w:w="857"/>
        <w:gridCol w:w="857"/>
        <w:gridCol w:w="921"/>
        <w:gridCol w:w="792"/>
        <w:gridCol w:w="728"/>
        <w:gridCol w:w="728"/>
        <w:gridCol w:w="728"/>
        <w:gridCol w:w="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70" w:hRule="atLeast"/>
          <w:tblHeader/>
          <w:jc w:val="center"/>
        </w:trPr>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序号</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材料名称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规格、型号等特殊 要求</w:t>
            </w:r>
          </w:p>
        </w:tc>
        <w:tc>
          <w:tcPr>
            <w:tcW w:w="0" w:type="auto"/>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数量</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2020年1月1日材料价格</w:t>
            </w:r>
          </w:p>
        </w:tc>
        <w:tc>
          <w:tcPr>
            <w:tcW w:w="0" w:type="auto"/>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70" w:hRule="atLeast"/>
          <w:tblHeader/>
          <w:jc w:val="center"/>
        </w:trPr>
        <w:tc>
          <w:tcPr>
            <w:tcW w:w="5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楷体" w:hAnsi="楷体" w:eastAsia="楷体" w:cs="楷体"/>
                <w:i w:val="0"/>
                <w:iCs w:val="0"/>
                <w:color w:val="auto"/>
                <w:sz w:val="24"/>
                <w:szCs w:val="24"/>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楷体" w:hAnsi="楷体" w:eastAsia="楷体" w:cs="楷体"/>
                <w:i w:val="0"/>
                <w:iCs w:val="0"/>
                <w:color w:val="auto"/>
                <w:sz w:val="24"/>
                <w:szCs w:val="24"/>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单位</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案例1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案例2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案例3</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案例1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案例2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案例3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90" w:hRule="atLeast"/>
          <w:tblHeader/>
          <w:jc w:val="center"/>
        </w:trPr>
        <w:tc>
          <w:tcPr>
            <w:tcW w:w="58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热轧带肋钢筋 </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HRB400，φ8~10mm</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吨</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1.2403</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1.034465617</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0.7848</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4530</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5618.56 </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4686.13 </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3555.14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90"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热轧带肋钢筋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HRB400，φ8~10mm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2.8154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2.409942005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1.6911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4530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12753.76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10917.04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7660.68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90"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热轧带肋钢筋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HRB400，φ12~14mm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1.2042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1.003148302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0.7924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4650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5599.53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4664.64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3684.66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90"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热轧带肋钢筋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 HRB400，φ16~25mm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8.3349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5.363711682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5.3603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4460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37173.65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23922.15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23906.94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9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矿渣硅酸盐水泥 P.S 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 P.S 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25.3809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22.95708368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15.3871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8756.41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7920.19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5308.55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细砂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立方米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68.092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59.56652858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41.5019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9192.42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8041.48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5602.76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标准砖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240×115×53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千块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42.281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36.24059652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25.8518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20802.25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17830.37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12719.09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陶瓷地砖 (综合)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48.5096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41.57995029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29.6602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94.54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4586.10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3930.97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2804.08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地砖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600×600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423.3394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367.8333057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248.9527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91.99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38942.99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33836.99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22901.16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彩钢板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 δ0.5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95.8166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82.12841756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58.585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2203.78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1888.95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1347.46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40"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铝合金推拉窗 普通玻璃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128.7133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110.3259321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78.699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50198.19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43027.11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30692.61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钢制防盗门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24.2752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20.8071251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14.8425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996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24178.10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20723.90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14783.13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苯丙乳胶漆 内墙用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千克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194.411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166.6379453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118.8685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15.18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2951.16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2529.56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1804.42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9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焊接钢管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DN48×3.6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吨·天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616.7489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528.6417564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377.098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2096.95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1797.38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1282.13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7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组合钢模板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平方米·天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11438.9691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9995.714167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6997.2536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2287.79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1999.14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1399.45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木支撑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立方米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1.4487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1.241756421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0.8858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3042.27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2607.69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1860.18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预拌混凝土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 C15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立方米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6.5673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5.629163215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4.0155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2298.56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1970.21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1405.43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预拌混凝土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 C25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立方米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59.8722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51.31913836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36.6075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21913.23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18782.80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13398.35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65" w:hRule="atLeast"/>
          <w:tblHeader/>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预拌混凝土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 C20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立方米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7.9781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6.838111019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4.878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2856.16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2448.04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1746.32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5" w:hRule="atLeast"/>
          <w:tblHeader/>
          <w:jc w:val="center"/>
        </w:trPr>
        <w:tc>
          <w:tcPr>
            <w:tcW w:w="58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20</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预拌细石混凝土</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 C25</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立方米</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6.3732</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5.462634631</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3.8968</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2294.35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1966.55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1402.85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5" w:hRule="atLeast"/>
          <w:tblHeader/>
          <w:jc w:val="center"/>
        </w:trPr>
        <w:tc>
          <w:tcPr>
            <w:tcW w:w="58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rPr>
                <w:rFonts w:hint="eastAsia" w:ascii="楷体" w:hAnsi="楷体" w:eastAsia="楷体" w:cs="楷体"/>
                <w:i w:val="0"/>
                <w:iCs w:val="0"/>
                <w:color w:val="auto"/>
                <w:sz w:val="24"/>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rPr>
                <w:rFonts w:hint="eastAsia" w:ascii="楷体" w:hAnsi="楷体" w:eastAsia="楷体" w:cs="楷体"/>
                <w:i w:val="0"/>
                <w:iCs w:val="0"/>
                <w:color w:val="auto"/>
                <w:sz w:val="24"/>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eastAsia" w:ascii="楷体" w:hAnsi="楷体" w:eastAsia="楷体" w:cs="楷体"/>
                <w:i w:val="0"/>
                <w:iCs w:val="0"/>
                <w:color w:val="auto"/>
                <w:sz w:val="24"/>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单位平方</w:t>
            </w: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742.13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718.30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4"/>
                <w:szCs w:val="24"/>
                <w:u w:val="none"/>
              </w:rPr>
            </w:pPr>
            <w:r>
              <w:rPr>
                <w:rFonts w:hint="eastAsia" w:ascii="楷体" w:hAnsi="楷体" w:eastAsia="楷体" w:cs="楷体"/>
                <w:i w:val="0"/>
                <w:iCs w:val="0"/>
                <w:color w:val="auto"/>
                <w:kern w:val="0"/>
                <w:sz w:val="24"/>
                <w:szCs w:val="24"/>
                <w:u w:val="none"/>
                <w:lang w:val="en-US" w:eastAsia="zh-CN" w:bidi="ar"/>
              </w:rPr>
              <w:t xml:space="preserve">744.23 </w:t>
            </w:r>
          </w:p>
        </w:tc>
      </w:tr>
    </w:tbl>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p>
    <w:p>
      <w:pPr>
        <w:pStyle w:val="2"/>
        <w:spacing w:line="360" w:lineRule="auto"/>
        <w:jc w:val="both"/>
        <w:outlineLvl w:val="9"/>
        <w:rPr>
          <w:rFonts w:hint="eastAsia" w:ascii="楷体" w:hAnsi="楷体" w:eastAsia="楷体" w:cs="楷体"/>
          <w:b w:val="0"/>
          <w:bCs w:val="0"/>
          <w:color w:val="auto"/>
          <w:sz w:val="24"/>
          <w:szCs w:val="24"/>
          <w:highlight w:val="none"/>
          <w:lang w:val="en-US" w:eastAsia="zh-CN"/>
        </w:rPr>
      </w:pPr>
    </w:p>
    <w:p>
      <w:pPr>
        <w:pStyle w:val="2"/>
        <w:spacing w:line="360" w:lineRule="auto"/>
        <w:jc w:val="both"/>
        <w:outlineLvl w:val="9"/>
        <w:rPr>
          <w:rFonts w:hint="eastAsia" w:ascii="楷体" w:hAnsi="楷体" w:eastAsia="楷体" w:cs="楷体"/>
          <w:b w:val="0"/>
          <w:bCs w:val="0"/>
          <w:color w:val="auto"/>
          <w:sz w:val="24"/>
          <w:szCs w:val="24"/>
          <w:highlight w:val="none"/>
          <w:lang w:val="en-US" w:eastAsia="zh-CN"/>
        </w:rPr>
      </w:pPr>
    </w:p>
    <w:p>
      <w:pPr>
        <w:pStyle w:val="2"/>
        <w:spacing w:line="360" w:lineRule="auto"/>
        <w:jc w:val="center"/>
        <w:rPr>
          <w:rFonts w:hint="eastAsia" w:ascii="楷体" w:hAnsi="楷体" w:eastAsia="楷体" w:cs="楷体"/>
          <w:b w:val="0"/>
          <w:bCs w:val="0"/>
          <w:color w:val="auto"/>
          <w:sz w:val="24"/>
          <w:szCs w:val="24"/>
          <w:highlight w:val="none"/>
          <w:lang w:val="en-US" w:eastAsia="zh-CN"/>
        </w:rPr>
      </w:pPr>
      <w:bookmarkStart w:id="172" w:name="_Toc6677"/>
      <w:r>
        <w:rPr>
          <w:rFonts w:hint="eastAsia" w:ascii="楷体" w:hAnsi="楷体" w:eastAsia="楷体" w:cs="楷体"/>
          <w:b w:val="0"/>
          <w:bCs w:val="0"/>
          <w:color w:val="auto"/>
          <w:sz w:val="24"/>
          <w:szCs w:val="24"/>
          <w:highlight w:val="none"/>
          <w:lang w:val="en-US" w:eastAsia="zh-CN"/>
        </w:rPr>
        <w:t>表5-2建安综合造价计算结果表</w:t>
      </w:r>
      <w:bookmarkEnd w:id="172"/>
    </w:p>
    <w:p>
      <w:pPr>
        <w:spacing w:line="360" w:lineRule="auto"/>
        <w:rPr>
          <w:rFonts w:hint="eastAsia" w:ascii="楷体" w:hAnsi="楷体" w:eastAsia="楷体" w:cs="楷体"/>
        </w:rPr>
      </w:pPr>
    </w:p>
    <w:tbl>
      <w:tblPr>
        <w:tblStyle w:val="45"/>
        <w:tblW w:w="5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99"/>
        <w:gridCol w:w="1739"/>
        <w:gridCol w:w="4290"/>
        <w:gridCol w:w="869"/>
        <w:gridCol w:w="1107"/>
        <w:gridCol w:w="1109"/>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90" w:hRule="atLeast"/>
          <w:tblHeader/>
          <w:jc w:val="center"/>
        </w:trPr>
        <w:tc>
          <w:tcPr>
            <w:tcW w:w="276" w:type="pct"/>
            <w:tcBorders>
              <w:top w:val="single" w:color="auto" w:sz="4"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序号</w:t>
            </w:r>
          </w:p>
        </w:tc>
        <w:tc>
          <w:tcPr>
            <w:tcW w:w="802" w:type="pct"/>
            <w:tcBorders>
              <w:top w:val="single" w:color="auto" w:sz="4"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费用名称</w:t>
            </w:r>
          </w:p>
        </w:tc>
        <w:tc>
          <w:tcPr>
            <w:tcW w:w="1980" w:type="pct"/>
            <w:tcBorders>
              <w:top w:val="single" w:color="auto" w:sz="4"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计算式(或原价格)</w:t>
            </w:r>
          </w:p>
        </w:tc>
        <w:tc>
          <w:tcPr>
            <w:tcW w:w="400" w:type="pct"/>
            <w:tcBorders>
              <w:top w:val="single" w:color="auto" w:sz="4"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费(税)率</w:t>
            </w:r>
          </w:p>
        </w:tc>
        <w:tc>
          <w:tcPr>
            <w:tcW w:w="511" w:type="pct"/>
            <w:tcBorders>
              <w:top w:val="single" w:color="auto" w:sz="4"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案例1</w:t>
            </w:r>
          </w:p>
        </w:tc>
        <w:tc>
          <w:tcPr>
            <w:tcW w:w="511" w:type="pct"/>
            <w:tcBorders>
              <w:top w:val="single" w:color="auto" w:sz="4"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案例2</w:t>
            </w:r>
          </w:p>
        </w:tc>
        <w:tc>
          <w:tcPr>
            <w:tcW w:w="516" w:type="pct"/>
            <w:tcBorders>
              <w:top w:val="single" w:color="auto" w:sz="4"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案例3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9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分部分项工程费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1.1+1.2+1.3+1.4+1.5</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346,105.71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279,879.72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215,028.06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1.1</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人工费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∑(分部分项工程量×定额人工费)</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54,298.00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40,244.40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35,134.00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1.2</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材料费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∑(分部分项工程量×材料消耗量×材料单价)</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259,746.21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215,491.31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159,265.38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1.3</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机械费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∑(分部分项工程量×机械台班消耗量×定额台班单价)</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3,150.00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2,700.00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1,926.00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1.4</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管理费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（定额人工费+定额机械费×8%）×管理费费率</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33.00%</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18,001.50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13,351.93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11,645.07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1.5</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利润</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（定额人工费+定额机械费×8%）×利润费费率</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20.00%</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10,910.00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8,092.08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7,057.62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40"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措施项目费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2.1+2.2</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35,045.80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8,739.45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28,190.23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总价措施项目费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11,782.80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8,739.45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7,622.23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2.1.1</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安全文明施工费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（定额人工费+定额机械费×8%）×费率</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15.65%</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8,537.08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6,332.05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5,522.58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9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2.1.2</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二次搬运费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7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2.1.3</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冬雨季施工增加，生产工具用具使用，工程定位复测、工程点交、场地清理等</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（定额人工费+定额机械费×8%）×费率</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5.95%</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3,245.73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2,407.39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2,099.64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2.1.4</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已完工程及设备保护费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0"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2.1.5</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地上、地下设施、建筑物临时保护设施</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2.1.6</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夜间施工增加费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6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2.1.7</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非夜间施工照明</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2.1.8</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特殊地区施工增加费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（定额人工费+定额机械费）×费率</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2.1.9</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其他</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2.2</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单价措施项目费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23,263.00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20,568.00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2.2.1</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土石方及桩基工程</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3,342.00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3,128.00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2.2.2</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脚手架工程</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2,431.00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2,241.00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2.2.3</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模板及支架工程</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15,342.00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13,212.00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2.2.4</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垂直运输</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2,148.00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1,987.00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2.2.5</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超高增加费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2.2.6</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大型机械进退场费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2.2.7</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施工排水、降水</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2.2.8</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高层增加费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其他项目费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15,203.44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11,268.43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9,837.52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3.1</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暂列金额</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3.2</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暂估价</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3.3</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计日工</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3.4</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总承包服务费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3.5</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其他</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15,203.44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11,268.43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9,837.52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3.5.1</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人工费调差</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按实计算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28.00%</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15,203.44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11,268.43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9,837.52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3.5.2</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机械费调差</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3.5.3</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风险费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3.5.4</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变更、停工、窝工等</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3.5.5</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双方协商认定的其他费用</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4</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规费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14,693.88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10,865.99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9,517.46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4.1</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社会保障及住房公积金</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定额人工费×费率</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26.00%</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14,117.48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10,463.54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9,134.84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4.2</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危险作业意外伤害险</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定额人工费×费率</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1.00%</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576.40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402.44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382.62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4.3</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工程排污费</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按有关规定计算</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5</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税金</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[1+2+3+4-按规定不计税的工程设备费]×费率 </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10.36%</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42,584.66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32,194.07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27,202.59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6</w:t>
            </w: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工程造价（含税）</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1+2+3+4+5</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453,633.48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342,947.66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289,775.85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工程造价（不含税）</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1+2+3+4</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411,048.83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310,753.59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262,573.26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建筑面积</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350.00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300.00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214.00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2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80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工程单价（含税）</w:t>
            </w:r>
          </w:p>
        </w:tc>
        <w:tc>
          <w:tcPr>
            <w:tcW w:w="198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1,296 </w:t>
            </w:r>
          </w:p>
        </w:tc>
        <w:tc>
          <w:tcPr>
            <w:tcW w:w="51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1,143 </w:t>
            </w:r>
          </w:p>
        </w:tc>
        <w:tc>
          <w:tcPr>
            <w:tcW w:w="51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 xml:space="preserve"> 1,354 </w:t>
            </w:r>
          </w:p>
        </w:tc>
      </w:tr>
    </w:tbl>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color w:val="auto"/>
          <w:sz w:val="28"/>
          <w:szCs w:val="28"/>
          <w:highlight w:val="none"/>
        </w:rPr>
        <w:t>②前期费用及其他费用的确定。除建安工程造价外，一般建安工程还包括其他有关费用，包括前期费用和期间费用等。前期费用包括筹建费、可行性研究费、规划费、设计费、地质勘察费、场地平整费、水电气费、临时设施费用等。期间费用包括工程建设监理费、建设单位管理费、城市基础设施配套费、人防工程易地建设费、文物调查、发掘费、工程定额测定费、建设劳保费、拆迁管理费、新型墙体材料专项基金、建筑垃圾处置费、临时占道费和其他相关验收检测费等。</w:t>
      </w:r>
      <w:r>
        <w:rPr>
          <w:rFonts w:hint="eastAsia" w:ascii="楷体" w:hAnsi="楷体" w:eastAsia="楷体" w:cs="楷体"/>
          <w:sz w:val="28"/>
          <w:szCs w:val="28"/>
        </w:rPr>
        <w:t>具体如下所示：</w:t>
      </w:r>
    </w:p>
    <w:p>
      <w:pPr>
        <w:pStyle w:val="2"/>
        <w:spacing w:line="360" w:lineRule="auto"/>
        <w:jc w:val="center"/>
        <w:rPr>
          <w:rFonts w:hint="eastAsia" w:ascii="楷体" w:hAnsi="楷体" w:eastAsia="楷体" w:cs="楷体"/>
          <w:b w:val="0"/>
          <w:bCs w:val="0"/>
          <w:color w:val="auto"/>
          <w:sz w:val="24"/>
          <w:szCs w:val="24"/>
          <w:highlight w:val="none"/>
          <w:lang w:val="en-US" w:eastAsia="zh-CN"/>
        </w:rPr>
      </w:pPr>
      <w:bookmarkStart w:id="173" w:name="_Toc16606"/>
      <w:r>
        <w:rPr>
          <w:rFonts w:hint="eastAsia" w:ascii="楷体" w:hAnsi="楷体" w:eastAsia="楷体" w:cs="楷体"/>
          <w:b w:val="0"/>
          <w:bCs w:val="0"/>
          <w:color w:val="auto"/>
          <w:sz w:val="24"/>
          <w:szCs w:val="24"/>
          <w:highlight w:val="none"/>
          <w:lang w:val="en-US" w:eastAsia="zh-CN"/>
        </w:rPr>
        <w:t>表5-3前期费用及其他费用确定</w:t>
      </w:r>
      <w:bookmarkEnd w:id="173"/>
    </w:p>
    <w:p>
      <w:pPr>
        <w:spacing w:line="360" w:lineRule="auto"/>
        <w:rPr>
          <w:rFonts w:hint="eastAsia" w:ascii="楷体" w:hAnsi="楷体" w:eastAsia="楷体" w:cs="楷体"/>
        </w:rPr>
      </w:pPr>
    </w:p>
    <w:tbl>
      <w:tblPr>
        <w:tblStyle w:val="4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1708"/>
        <w:gridCol w:w="1176"/>
        <w:gridCol w:w="961"/>
        <w:gridCol w:w="1974"/>
        <w:gridCol w:w="2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序号</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项目</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取费基础</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费率(含税)</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费率(不含税)</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可行性研究费</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建安造价</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0.90%</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0.85%</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参考计价格[1999]1283号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环境评价费</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建安造价</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0.08%</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0.08%</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参考计价格[2002]125号，发改价格[2011]534号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建设单位管理费</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建安造价</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0.77%</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0.77%</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财建[2016]504号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4</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建筑勘察、设计费</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建安造价</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2.99%</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2.82%</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参考国家物价局建设部[2002]价字10号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5</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施工图设计审查费</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建安造价</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0.40%</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0.38%</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参考云价综合（2012）52号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6</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招标代理服务费</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建安造价</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0.08%</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0.08%</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参考计价格[2002]1980号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7</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预算（标底）及决算编审费</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建安造价</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0.25%</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0.24%</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参考云价综[2012]66号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8</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工程监理费</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建安造价</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1.61%</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1.51%</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参考发改价格 [2007]670号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5"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9</w:t>
            </w:r>
          </w:p>
        </w:tc>
        <w:tc>
          <w:tcPr>
            <w:tcW w:w="9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合计</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7.08%</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6.72%</w:t>
            </w:r>
          </w:p>
        </w:tc>
        <w:tc>
          <w:tcPr>
            <w:tcW w:w="1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tc>
      </w:tr>
    </w:tbl>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通过取费标准统计表，计算得到前期费用及其他费用=建安造价×7.08%元/平方米。</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案例一：</w:t>
      </w:r>
      <w:r>
        <w:rPr>
          <w:rFonts w:hint="eastAsia" w:ascii="楷体" w:hAnsi="楷体" w:eastAsia="楷体" w:cs="楷体"/>
          <w:sz w:val="28"/>
          <w:szCs w:val="28"/>
          <w:lang w:val="en-US" w:eastAsia="zh-CN"/>
        </w:rPr>
        <w:t>1296</w:t>
      </w:r>
      <w:r>
        <w:rPr>
          <w:rFonts w:hint="eastAsia" w:ascii="楷体" w:hAnsi="楷体" w:eastAsia="楷体" w:cs="楷体"/>
          <w:sz w:val="28"/>
          <w:szCs w:val="28"/>
        </w:rPr>
        <w:t>×7.08%=</w:t>
      </w:r>
      <w:r>
        <w:rPr>
          <w:rFonts w:hint="eastAsia" w:ascii="楷体" w:hAnsi="楷体" w:eastAsia="楷体" w:cs="楷体"/>
          <w:sz w:val="28"/>
          <w:szCs w:val="28"/>
          <w:lang w:val="en-US" w:eastAsia="zh-CN"/>
        </w:rPr>
        <w:t>91.76</w:t>
      </w:r>
      <w:r>
        <w:rPr>
          <w:rFonts w:hint="eastAsia" w:ascii="楷体" w:hAnsi="楷体" w:eastAsia="楷体" w:cs="楷体"/>
          <w:sz w:val="28"/>
          <w:szCs w:val="28"/>
        </w:rPr>
        <w:t>元/平方米</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案例二：</w:t>
      </w:r>
      <w:r>
        <w:rPr>
          <w:rFonts w:hint="eastAsia" w:ascii="楷体" w:hAnsi="楷体" w:eastAsia="楷体" w:cs="楷体"/>
          <w:sz w:val="28"/>
          <w:szCs w:val="28"/>
          <w:lang w:val="en-US" w:eastAsia="zh-CN"/>
        </w:rPr>
        <w:t>1143</w:t>
      </w:r>
      <w:r>
        <w:rPr>
          <w:rFonts w:hint="eastAsia" w:ascii="楷体" w:hAnsi="楷体" w:eastAsia="楷体" w:cs="楷体"/>
          <w:sz w:val="28"/>
          <w:szCs w:val="28"/>
        </w:rPr>
        <w:t>×7.08%=</w:t>
      </w:r>
      <w:r>
        <w:rPr>
          <w:rFonts w:hint="eastAsia" w:ascii="楷体" w:hAnsi="楷体" w:eastAsia="楷体" w:cs="楷体"/>
          <w:sz w:val="28"/>
          <w:szCs w:val="28"/>
          <w:lang w:val="en-US" w:eastAsia="zh-CN"/>
        </w:rPr>
        <w:t>80.94</w:t>
      </w:r>
      <w:r>
        <w:rPr>
          <w:rFonts w:hint="eastAsia" w:ascii="楷体" w:hAnsi="楷体" w:eastAsia="楷体" w:cs="楷体"/>
          <w:sz w:val="28"/>
          <w:szCs w:val="28"/>
        </w:rPr>
        <w:t>元/平方米</w:t>
      </w:r>
    </w:p>
    <w:p>
      <w:pPr>
        <w:widowControl/>
        <w:adjustRightInd w:val="0"/>
        <w:snapToGrid w:val="0"/>
        <w:spacing w:line="360" w:lineRule="auto"/>
        <w:ind w:firstLine="560" w:firstLineChars="200"/>
        <w:rPr>
          <w:rFonts w:hint="eastAsia" w:ascii="楷体" w:hAnsi="楷体" w:eastAsia="楷体" w:cs="楷体"/>
        </w:rPr>
      </w:pPr>
      <w:r>
        <w:rPr>
          <w:rFonts w:hint="eastAsia" w:ascii="楷体" w:hAnsi="楷体" w:eastAsia="楷体" w:cs="楷体"/>
          <w:sz w:val="28"/>
          <w:szCs w:val="28"/>
        </w:rPr>
        <w:t>案例三：</w:t>
      </w:r>
      <w:r>
        <w:rPr>
          <w:rFonts w:hint="eastAsia" w:ascii="楷体" w:hAnsi="楷体" w:eastAsia="楷体" w:cs="楷体"/>
          <w:sz w:val="28"/>
          <w:szCs w:val="28"/>
          <w:lang w:val="en-US" w:eastAsia="zh-CN"/>
        </w:rPr>
        <w:t>1354</w:t>
      </w:r>
      <w:r>
        <w:rPr>
          <w:rFonts w:hint="eastAsia" w:ascii="楷体" w:hAnsi="楷体" w:eastAsia="楷体" w:cs="楷体"/>
          <w:sz w:val="28"/>
          <w:szCs w:val="28"/>
        </w:rPr>
        <w:t>×7.08%=</w:t>
      </w:r>
      <w:r>
        <w:rPr>
          <w:rFonts w:hint="eastAsia" w:ascii="楷体" w:hAnsi="楷体" w:eastAsia="楷体" w:cs="楷体"/>
          <w:sz w:val="28"/>
          <w:szCs w:val="28"/>
          <w:lang w:val="en-US" w:eastAsia="zh-CN"/>
        </w:rPr>
        <w:t>98.87</w:t>
      </w:r>
      <w:r>
        <w:rPr>
          <w:rFonts w:hint="eastAsia" w:ascii="楷体" w:hAnsi="楷体" w:eastAsia="楷体" w:cs="楷体"/>
          <w:sz w:val="28"/>
          <w:szCs w:val="28"/>
        </w:rPr>
        <w:t>元/平方米</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lang w:val="en-US" w:eastAsia="zh-CN"/>
        </w:rPr>
        <w:t>③利息。</w:t>
      </w:r>
      <w:r>
        <w:rPr>
          <w:rFonts w:hint="eastAsia" w:ascii="楷体" w:hAnsi="楷体" w:eastAsia="楷体" w:cs="楷体"/>
          <w:sz w:val="28"/>
          <w:szCs w:val="28"/>
        </w:rPr>
        <w:t>利息根据项目合理建设工期，按照评估基准日相应期限的贷款利率，以建安工程造价与前期及其他费用之和为基数确定。根据中国人民银行公布的一年期（含一年）贷款利率为4.35%，故本次取4.35%作为利息率。</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利息=（建安造价+前期费用及其他费用）×4.35%</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案例一（</w:t>
      </w:r>
      <w:r>
        <w:rPr>
          <w:rFonts w:hint="eastAsia" w:ascii="楷体" w:hAnsi="楷体" w:eastAsia="楷体" w:cs="楷体"/>
          <w:sz w:val="28"/>
          <w:szCs w:val="28"/>
          <w:lang w:val="en-US" w:eastAsia="zh-CN"/>
        </w:rPr>
        <w:t>1296</w:t>
      </w:r>
      <w:r>
        <w:rPr>
          <w:rFonts w:hint="eastAsia" w:ascii="楷体" w:hAnsi="楷体" w:eastAsia="楷体" w:cs="楷体"/>
          <w:sz w:val="28"/>
          <w:szCs w:val="28"/>
        </w:rPr>
        <w:t>+</w:t>
      </w:r>
      <w:r>
        <w:rPr>
          <w:rFonts w:hint="eastAsia" w:ascii="楷体" w:hAnsi="楷体" w:eastAsia="楷体" w:cs="楷体"/>
          <w:sz w:val="28"/>
          <w:szCs w:val="28"/>
          <w:lang w:val="en-US" w:eastAsia="zh-CN"/>
        </w:rPr>
        <w:t>91.76</w:t>
      </w:r>
      <w:r>
        <w:rPr>
          <w:rFonts w:hint="eastAsia" w:ascii="楷体" w:hAnsi="楷体" w:eastAsia="楷体" w:cs="楷体"/>
          <w:sz w:val="28"/>
          <w:szCs w:val="28"/>
        </w:rPr>
        <w:t>）×4.35%=</w:t>
      </w:r>
      <w:r>
        <w:rPr>
          <w:rFonts w:hint="eastAsia" w:ascii="楷体" w:hAnsi="楷体" w:eastAsia="楷体" w:cs="楷体"/>
          <w:sz w:val="28"/>
          <w:szCs w:val="28"/>
          <w:lang w:val="en-US" w:eastAsia="zh-CN"/>
        </w:rPr>
        <w:t>60.37</w:t>
      </w:r>
      <w:r>
        <w:rPr>
          <w:rFonts w:hint="eastAsia" w:ascii="楷体" w:hAnsi="楷体" w:eastAsia="楷体" w:cs="楷体"/>
          <w:sz w:val="28"/>
          <w:szCs w:val="28"/>
        </w:rPr>
        <w:t>元/平方米</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案例二（</w:t>
      </w:r>
      <w:r>
        <w:rPr>
          <w:rFonts w:hint="eastAsia" w:ascii="楷体" w:hAnsi="楷体" w:eastAsia="楷体" w:cs="楷体"/>
          <w:sz w:val="28"/>
          <w:szCs w:val="28"/>
          <w:lang w:val="en-US" w:eastAsia="zh-CN"/>
        </w:rPr>
        <w:t>1143</w:t>
      </w:r>
      <w:r>
        <w:rPr>
          <w:rFonts w:hint="eastAsia" w:ascii="楷体" w:hAnsi="楷体" w:eastAsia="楷体" w:cs="楷体"/>
          <w:sz w:val="28"/>
          <w:szCs w:val="28"/>
        </w:rPr>
        <w:t xml:space="preserve">+ </w:t>
      </w:r>
      <w:r>
        <w:rPr>
          <w:rFonts w:hint="eastAsia" w:ascii="楷体" w:hAnsi="楷体" w:eastAsia="楷体" w:cs="楷体"/>
          <w:sz w:val="28"/>
          <w:szCs w:val="28"/>
          <w:lang w:val="en-US" w:eastAsia="zh-CN"/>
        </w:rPr>
        <w:t>80.94</w:t>
      </w:r>
      <w:r>
        <w:rPr>
          <w:rFonts w:hint="eastAsia" w:ascii="楷体" w:hAnsi="楷体" w:eastAsia="楷体" w:cs="楷体"/>
          <w:sz w:val="28"/>
          <w:szCs w:val="28"/>
        </w:rPr>
        <w:t>）×4.35%=</w:t>
      </w:r>
      <w:r>
        <w:rPr>
          <w:rFonts w:hint="eastAsia" w:ascii="楷体" w:hAnsi="楷体" w:eastAsia="楷体" w:cs="楷体"/>
          <w:sz w:val="28"/>
          <w:szCs w:val="28"/>
          <w:lang w:val="en-US" w:eastAsia="zh-CN"/>
        </w:rPr>
        <w:t>53.25</w:t>
      </w:r>
      <w:r>
        <w:rPr>
          <w:rFonts w:hint="eastAsia" w:ascii="楷体" w:hAnsi="楷体" w:eastAsia="楷体" w:cs="楷体"/>
          <w:sz w:val="28"/>
          <w:szCs w:val="28"/>
        </w:rPr>
        <w:t>元/平方米</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案例三（</w:t>
      </w:r>
      <w:r>
        <w:rPr>
          <w:rFonts w:hint="eastAsia" w:ascii="楷体" w:hAnsi="楷体" w:eastAsia="楷体" w:cs="楷体"/>
          <w:sz w:val="28"/>
          <w:szCs w:val="28"/>
          <w:lang w:val="en-US" w:eastAsia="zh-CN"/>
        </w:rPr>
        <w:t>1354</w:t>
      </w:r>
      <w:r>
        <w:rPr>
          <w:rFonts w:hint="eastAsia" w:ascii="楷体" w:hAnsi="楷体" w:eastAsia="楷体" w:cs="楷体"/>
          <w:sz w:val="28"/>
          <w:szCs w:val="28"/>
        </w:rPr>
        <w:t>+</w:t>
      </w:r>
      <w:r>
        <w:rPr>
          <w:rFonts w:hint="eastAsia" w:ascii="楷体" w:hAnsi="楷体" w:eastAsia="楷体" w:cs="楷体"/>
          <w:sz w:val="28"/>
          <w:szCs w:val="28"/>
          <w:lang w:val="en-US" w:eastAsia="zh-CN"/>
        </w:rPr>
        <w:t>98.87</w:t>
      </w:r>
      <w:r>
        <w:rPr>
          <w:rFonts w:hint="eastAsia" w:ascii="楷体" w:hAnsi="楷体" w:eastAsia="楷体" w:cs="楷体"/>
          <w:sz w:val="28"/>
          <w:szCs w:val="28"/>
        </w:rPr>
        <w:t>）×4.35%=</w:t>
      </w:r>
      <w:r>
        <w:rPr>
          <w:rFonts w:hint="eastAsia" w:ascii="楷体" w:hAnsi="楷体" w:eastAsia="楷体" w:cs="楷体"/>
          <w:sz w:val="28"/>
          <w:szCs w:val="28"/>
          <w:lang w:val="en-US" w:eastAsia="zh-CN"/>
        </w:rPr>
        <w:t>63.07</w:t>
      </w:r>
      <w:r>
        <w:rPr>
          <w:rFonts w:hint="eastAsia" w:ascii="楷体" w:hAnsi="楷体" w:eastAsia="楷体" w:cs="楷体"/>
          <w:sz w:val="28"/>
          <w:szCs w:val="28"/>
        </w:rPr>
        <w:t>元/平方米</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④确定合理利润。通常情况下自用的生产型建筑物不计利润。</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lang w:val="en-US" w:eastAsia="zh-CN"/>
        </w:rPr>
        <w:t>⑤</w:t>
      </w:r>
      <w:r>
        <w:rPr>
          <w:rFonts w:hint="eastAsia" w:ascii="楷体" w:hAnsi="楷体" w:eastAsia="楷体" w:cs="楷体"/>
          <w:sz w:val="28"/>
          <w:szCs w:val="28"/>
        </w:rPr>
        <w:t>重置成本</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重置成本=建安综合造价+前期费用及其他费用+利息+合理利润</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 xml:space="preserve">  案例一=</w:t>
      </w:r>
      <w:r>
        <w:rPr>
          <w:rFonts w:hint="eastAsia" w:ascii="楷体" w:hAnsi="楷体" w:eastAsia="楷体" w:cs="楷体"/>
          <w:sz w:val="28"/>
          <w:szCs w:val="28"/>
          <w:lang w:val="en-US" w:eastAsia="zh-CN"/>
        </w:rPr>
        <w:t>1296</w:t>
      </w:r>
      <w:r>
        <w:rPr>
          <w:rFonts w:hint="eastAsia" w:ascii="楷体" w:hAnsi="楷体" w:eastAsia="楷体" w:cs="楷体"/>
          <w:sz w:val="28"/>
          <w:szCs w:val="28"/>
        </w:rPr>
        <w:t>+</w:t>
      </w:r>
      <w:r>
        <w:rPr>
          <w:rFonts w:hint="eastAsia" w:ascii="楷体" w:hAnsi="楷体" w:eastAsia="楷体" w:cs="楷体"/>
          <w:sz w:val="28"/>
          <w:szCs w:val="28"/>
          <w:lang w:val="en-US" w:eastAsia="zh-CN"/>
        </w:rPr>
        <w:t>91.76</w:t>
      </w:r>
      <w:r>
        <w:rPr>
          <w:rFonts w:hint="eastAsia" w:ascii="楷体" w:hAnsi="楷体" w:eastAsia="楷体" w:cs="楷体"/>
          <w:sz w:val="28"/>
          <w:szCs w:val="28"/>
        </w:rPr>
        <w:t>+</w:t>
      </w:r>
      <w:r>
        <w:rPr>
          <w:rFonts w:hint="eastAsia" w:ascii="楷体" w:hAnsi="楷体" w:eastAsia="楷体" w:cs="楷体"/>
          <w:sz w:val="28"/>
          <w:szCs w:val="28"/>
          <w:lang w:val="en-US" w:eastAsia="zh-CN"/>
        </w:rPr>
        <w:t>60.37</w:t>
      </w:r>
      <w:r>
        <w:rPr>
          <w:rFonts w:hint="eastAsia" w:ascii="楷体" w:hAnsi="楷体" w:eastAsia="楷体" w:cs="楷体"/>
          <w:sz w:val="28"/>
          <w:szCs w:val="28"/>
        </w:rPr>
        <w:t>+0=</w:t>
      </w:r>
      <w:r>
        <w:rPr>
          <w:rFonts w:hint="eastAsia" w:ascii="楷体" w:hAnsi="楷体" w:eastAsia="楷体" w:cs="楷体"/>
          <w:sz w:val="28"/>
          <w:szCs w:val="28"/>
          <w:lang w:val="en-US" w:eastAsia="zh-CN"/>
        </w:rPr>
        <w:t>1448.23</w:t>
      </w:r>
      <w:r>
        <w:rPr>
          <w:rFonts w:hint="eastAsia" w:ascii="楷体" w:hAnsi="楷体" w:eastAsia="楷体" w:cs="楷体"/>
          <w:sz w:val="28"/>
          <w:szCs w:val="28"/>
        </w:rPr>
        <w:t>元/平方米</w:t>
      </w:r>
    </w:p>
    <w:p>
      <w:pPr>
        <w:widowControl/>
        <w:adjustRightInd w:val="0"/>
        <w:snapToGrid w:val="0"/>
        <w:spacing w:line="360" w:lineRule="auto"/>
        <w:ind w:firstLine="560" w:firstLineChars="200"/>
        <w:rPr>
          <w:rFonts w:hint="eastAsia" w:ascii="楷体" w:hAnsi="楷体" w:eastAsia="楷体" w:cs="楷体"/>
          <w:sz w:val="28"/>
          <w:szCs w:val="28"/>
        </w:rPr>
      </w:pPr>
      <w:r>
        <w:rPr>
          <w:rFonts w:hint="eastAsia" w:ascii="楷体" w:hAnsi="楷体" w:eastAsia="楷体" w:cs="楷体"/>
          <w:sz w:val="28"/>
          <w:szCs w:val="28"/>
        </w:rPr>
        <w:t xml:space="preserve">  案例二=</w:t>
      </w:r>
      <w:r>
        <w:rPr>
          <w:rFonts w:hint="eastAsia" w:ascii="楷体" w:hAnsi="楷体" w:eastAsia="楷体" w:cs="楷体"/>
          <w:sz w:val="28"/>
          <w:szCs w:val="28"/>
          <w:lang w:val="en-US" w:eastAsia="zh-CN"/>
        </w:rPr>
        <w:t>1143</w:t>
      </w:r>
      <w:r>
        <w:rPr>
          <w:rFonts w:hint="eastAsia" w:ascii="楷体" w:hAnsi="楷体" w:eastAsia="楷体" w:cs="楷体"/>
          <w:sz w:val="28"/>
          <w:szCs w:val="28"/>
        </w:rPr>
        <w:t xml:space="preserve">+ </w:t>
      </w:r>
      <w:r>
        <w:rPr>
          <w:rFonts w:hint="eastAsia" w:ascii="楷体" w:hAnsi="楷体" w:eastAsia="楷体" w:cs="楷体"/>
          <w:sz w:val="28"/>
          <w:szCs w:val="28"/>
          <w:lang w:val="en-US" w:eastAsia="zh-CN"/>
        </w:rPr>
        <w:t>80.94</w:t>
      </w:r>
      <w:r>
        <w:rPr>
          <w:rFonts w:hint="eastAsia" w:ascii="楷体" w:hAnsi="楷体" w:eastAsia="楷体" w:cs="楷体"/>
          <w:sz w:val="28"/>
          <w:szCs w:val="28"/>
        </w:rPr>
        <w:t>+</w:t>
      </w:r>
      <w:r>
        <w:rPr>
          <w:rFonts w:hint="eastAsia" w:ascii="楷体" w:hAnsi="楷体" w:eastAsia="楷体" w:cs="楷体"/>
          <w:sz w:val="28"/>
          <w:szCs w:val="28"/>
          <w:lang w:val="en-US" w:eastAsia="zh-CN"/>
        </w:rPr>
        <w:t>53.25</w:t>
      </w:r>
      <w:r>
        <w:rPr>
          <w:rFonts w:hint="eastAsia" w:ascii="楷体" w:hAnsi="楷体" w:eastAsia="楷体" w:cs="楷体"/>
          <w:sz w:val="28"/>
          <w:szCs w:val="28"/>
        </w:rPr>
        <w:t>+0=</w:t>
      </w:r>
      <w:r>
        <w:rPr>
          <w:rFonts w:hint="eastAsia" w:ascii="楷体" w:hAnsi="楷体" w:eastAsia="楷体" w:cs="楷体"/>
          <w:sz w:val="28"/>
          <w:szCs w:val="28"/>
          <w:lang w:val="en-US" w:eastAsia="zh-CN"/>
        </w:rPr>
        <w:t>1277.34</w:t>
      </w:r>
      <w:r>
        <w:rPr>
          <w:rFonts w:hint="eastAsia" w:ascii="楷体" w:hAnsi="楷体" w:eastAsia="楷体" w:cs="楷体"/>
          <w:sz w:val="28"/>
          <w:szCs w:val="28"/>
        </w:rPr>
        <w:t>元/平方米</w:t>
      </w:r>
    </w:p>
    <w:p>
      <w:pPr>
        <w:widowControl/>
        <w:adjustRightInd w:val="0"/>
        <w:snapToGrid w:val="0"/>
        <w:spacing w:line="360" w:lineRule="auto"/>
        <w:ind w:firstLine="840" w:firstLineChars="300"/>
        <w:rPr>
          <w:rFonts w:hint="eastAsia" w:ascii="楷体" w:hAnsi="楷体" w:eastAsia="楷体" w:cs="楷体"/>
          <w:sz w:val="28"/>
          <w:szCs w:val="28"/>
        </w:rPr>
      </w:pPr>
      <w:r>
        <w:rPr>
          <w:rFonts w:hint="eastAsia" w:ascii="楷体" w:hAnsi="楷体" w:eastAsia="楷体" w:cs="楷体"/>
          <w:sz w:val="28"/>
          <w:szCs w:val="28"/>
        </w:rPr>
        <w:t>案例三=</w:t>
      </w:r>
      <w:r>
        <w:rPr>
          <w:rFonts w:hint="eastAsia" w:ascii="楷体" w:hAnsi="楷体" w:eastAsia="楷体" w:cs="楷体"/>
          <w:sz w:val="28"/>
          <w:szCs w:val="28"/>
          <w:lang w:val="en-US" w:eastAsia="zh-CN"/>
        </w:rPr>
        <w:t>1354</w:t>
      </w:r>
      <w:r>
        <w:rPr>
          <w:rFonts w:hint="eastAsia" w:ascii="楷体" w:hAnsi="楷体" w:eastAsia="楷体" w:cs="楷体"/>
          <w:sz w:val="28"/>
          <w:szCs w:val="28"/>
        </w:rPr>
        <w:t>+</w:t>
      </w:r>
      <w:r>
        <w:rPr>
          <w:rFonts w:hint="eastAsia" w:ascii="楷体" w:hAnsi="楷体" w:eastAsia="楷体" w:cs="楷体"/>
          <w:sz w:val="28"/>
          <w:szCs w:val="28"/>
          <w:lang w:val="en-US" w:eastAsia="zh-CN"/>
        </w:rPr>
        <w:t>98.87</w:t>
      </w:r>
      <w:r>
        <w:rPr>
          <w:rFonts w:hint="eastAsia" w:ascii="楷体" w:hAnsi="楷体" w:eastAsia="楷体" w:cs="楷体"/>
          <w:sz w:val="28"/>
          <w:szCs w:val="28"/>
        </w:rPr>
        <w:t>+</w:t>
      </w:r>
      <w:r>
        <w:rPr>
          <w:rFonts w:hint="eastAsia" w:ascii="楷体" w:hAnsi="楷体" w:eastAsia="楷体" w:cs="楷体"/>
          <w:sz w:val="28"/>
          <w:szCs w:val="28"/>
          <w:lang w:val="en-US" w:eastAsia="zh-CN"/>
        </w:rPr>
        <w:t>63.07</w:t>
      </w:r>
      <w:r>
        <w:rPr>
          <w:rFonts w:hint="eastAsia" w:ascii="楷体" w:hAnsi="楷体" w:eastAsia="楷体" w:cs="楷体"/>
          <w:sz w:val="28"/>
          <w:szCs w:val="28"/>
        </w:rPr>
        <w:t>+0=</w:t>
      </w:r>
      <w:r>
        <w:rPr>
          <w:rFonts w:hint="eastAsia" w:ascii="楷体" w:hAnsi="楷体" w:eastAsia="楷体" w:cs="楷体"/>
          <w:sz w:val="28"/>
          <w:szCs w:val="28"/>
          <w:lang w:val="en-US" w:eastAsia="zh-CN"/>
        </w:rPr>
        <w:t>1513.04</w:t>
      </w:r>
      <w:r>
        <w:rPr>
          <w:rFonts w:hint="eastAsia" w:ascii="楷体" w:hAnsi="楷体" w:eastAsia="楷体" w:cs="楷体"/>
          <w:sz w:val="28"/>
          <w:szCs w:val="28"/>
        </w:rPr>
        <w:t>元/平方米</w:t>
      </w:r>
    </w:p>
    <w:p>
      <w:pPr>
        <w:spacing w:line="360" w:lineRule="auto"/>
        <w:ind w:firstLine="560" w:firstLineChars="200"/>
        <w:outlineLvl w:val="3"/>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⑥</w:t>
      </w:r>
      <w:r>
        <w:rPr>
          <w:rFonts w:hint="eastAsia" w:ascii="楷体" w:hAnsi="楷体" w:eastAsia="楷体" w:cs="楷体"/>
          <w:color w:val="auto"/>
          <w:sz w:val="28"/>
          <w:szCs w:val="28"/>
          <w:highlight w:val="none"/>
        </w:rPr>
        <w:t>确定</w:t>
      </w:r>
      <w:r>
        <w:rPr>
          <w:rFonts w:hint="eastAsia" w:ascii="楷体" w:hAnsi="楷体" w:eastAsia="楷体" w:cs="楷体"/>
          <w:color w:val="auto"/>
          <w:sz w:val="28"/>
          <w:szCs w:val="28"/>
          <w:highlight w:val="none"/>
          <w:lang w:val="en-US" w:eastAsia="zh-CN"/>
        </w:rPr>
        <w:t>区</w:t>
      </w:r>
      <w:r>
        <w:rPr>
          <w:rFonts w:hint="eastAsia" w:ascii="楷体" w:hAnsi="楷体" w:eastAsia="楷体" w:cs="楷体"/>
          <w:color w:val="auto"/>
          <w:sz w:val="28"/>
          <w:szCs w:val="28"/>
          <w:highlight w:val="none"/>
        </w:rPr>
        <w:t>域建筑物补偿标准。重置成本法是按现实的工价及生产水平，重新营造与被评估资产类似的资产所需的成本费用。在测算</w:t>
      </w:r>
      <w:r>
        <w:rPr>
          <w:rFonts w:hint="eastAsia" w:ascii="楷体" w:hAnsi="楷体" w:eastAsia="楷体" w:cs="楷体"/>
          <w:color w:val="auto"/>
          <w:sz w:val="28"/>
          <w:szCs w:val="28"/>
          <w:highlight w:val="none"/>
          <w:lang w:val="en-US" w:eastAsia="zh-CN"/>
        </w:rPr>
        <w:t>区</w:t>
      </w:r>
      <w:r>
        <w:rPr>
          <w:rFonts w:hint="eastAsia" w:ascii="楷体" w:hAnsi="楷体" w:eastAsia="楷体" w:cs="楷体"/>
          <w:color w:val="auto"/>
          <w:sz w:val="28"/>
          <w:szCs w:val="28"/>
          <w:highlight w:val="none"/>
        </w:rPr>
        <w:t>域建筑物补偿标准时，可分别选取不同结构的建筑物典型案例，分别评估出不同典型案例的重置成本价，然后采用算术（加权）平均确定不同结构建筑物补偿标准。重置成本法测算</w:t>
      </w:r>
      <w:r>
        <w:rPr>
          <w:rFonts w:hint="eastAsia" w:ascii="楷体" w:hAnsi="楷体" w:eastAsia="楷体" w:cs="楷体"/>
          <w:color w:val="auto"/>
          <w:sz w:val="28"/>
          <w:szCs w:val="28"/>
          <w:highlight w:val="none"/>
          <w:lang w:val="en-US" w:eastAsia="zh-CN"/>
        </w:rPr>
        <w:t>区</w:t>
      </w:r>
      <w:r>
        <w:rPr>
          <w:rFonts w:hint="eastAsia" w:ascii="楷体" w:hAnsi="楷体" w:eastAsia="楷体" w:cs="楷体"/>
          <w:color w:val="auto"/>
          <w:sz w:val="28"/>
          <w:szCs w:val="28"/>
          <w:highlight w:val="none"/>
        </w:rPr>
        <w:t>域地上附着物补偿标准时不考虑折旧。通过上述方法测算出各类型建筑物典型案例的重置成本，然后采用简单算术（加权）平均的方法确定</w:t>
      </w:r>
      <w:r>
        <w:rPr>
          <w:rFonts w:hint="eastAsia" w:ascii="楷体" w:hAnsi="楷体" w:eastAsia="楷体" w:cs="楷体"/>
          <w:color w:val="auto"/>
          <w:sz w:val="28"/>
          <w:szCs w:val="28"/>
          <w:highlight w:val="none"/>
          <w:lang w:val="en-US" w:eastAsia="zh-CN"/>
        </w:rPr>
        <w:t>区</w:t>
      </w:r>
      <w:r>
        <w:rPr>
          <w:rFonts w:hint="eastAsia" w:ascii="楷体" w:hAnsi="楷体" w:eastAsia="楷体" w:cs="楷体"/>
          <w:color w:val="auto"/>
          <w:sz w:val="28"/>
          <w:szCs w:val="28"/>
          <w:highlight w:val="none"/>
        </w:rPr>
        <w:t>域建筑物补偿标准。</w:t>
      </w:r>
      <w:r>
        <w:rPr>
          <w:rFonts w:hint="eastAsia" w:ascii="楷体" w:hAnsi="楷体" w:eastAsia="楷体" w:cs="楷体"/>
          <w:sz w:val="28"/>
          <w:szCs w:val="28"/>
        </w:rPr>
        <w:t>即砖混结构补偿标准测算结果为</w:t>
      </w:r>
      <w:r>
        <w:rPr>
          <w:rFonts w:hint="eastAsia" w:ascii="楷体" w:hAnsi="楷体" w:eastAsia="楷体" w:cs="楷体"/>
          <w:sz w:val="28"/>
          <w:szCs w:val="28"/>
          <w:lang w:val="en-US" w:eastAsia="zh-CN"/>
        </w:rPr>
        <w:t>1412.87</w:t>
      </w:r>
      <w:r>
        <w:rPr>
          <w:rFonts w:hint="eastAsia" w:ascii="楷体" w:hAnsi="楷体" w:eastAsia="楷体" w:cs="楷体"/>
          <w:sz w:val="28"/>
          <w:szCs w:val="28"/>
        </w:rPr>
        <w:t>元/平方米。</w:t>
      </w:r>
    </w:p>
    <w:p>
      <w:pPr>
        <w:spacing w:line="360" w:lineRule="auto"/>
        <w:ind w:firstLine="560" w:firstLineChars="200"/>
        <w:outlineLvl w:val="3"/>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w:t>
      </w:r>
      <w:r>
        <w:rPr>
          <w:rFonts w:hint="eastAsia" w:ascii="楷体" w:hAnsi="楷体" w:eastAsia="楷体" w:cs="楷体"/>
          <w:color w:val="auto"/>
          <w:sz w:val="28"/>
          <w:szCs w:val="28"/>
          <w:highlight w:val="none"/>
          <w:lang w:val="en-US" w:eastAsia="zh-CN"/>
        </w:rPr>
        <w:t>2</w:t>
      </w:r>
      <w:r>
        <w:rPr>
          <w:rFonts w:hint="eastAsia" w:ascii="楷体" w:hAnsi="楷体" w:eastAsia="楷体" w:cs="楷体"/>
          <w:color w:val="auto"/>
          <w:sz w:val="28"/>
          <w:szCs w:val="28"/>
          <w:highlight w:val="none"/>
        </w:rPr>
        <w:t>）价格指数法</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主要根据测算时点的人工费、材料费、机械费等增长率，合理确定价格指数，公式为：</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建（构）物补偿标准=历史补偿标准×（1+价格指数）</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rPr>
        <w:t>在以上两种测算方法结果综合分析的基础之上，采用算术（加权）平均确定建（构）筑物补偿标准指导价格。</w:t>
      </w:r>
      <w:r>
        <w:rPr>
          <w:rFonts w:hint="eastAsia" w:ascii="楷体" w:hAnsi="楷体" w:eastAsia="楷体" w:cs="楷体"/>
          <w:color w:val="auto"/>
          <w:sz w:val="28"/>
          <w:szCs w:val="28"/>
          <w:highlight w:val="none"/>
          <w:lang w:val="en-US" w:eastAsia="zh-CN"/>
        </w:rPr>
        <w:t>具体过程如下：</w:t>
      </w:r>
    </w:p>
    <w:p>
      <w:pPr>
        <w:pStyle w:val="2"/>
        <w:spacing w:line="360" w:lineRule="auto"/>
        <w:jc w:val="center"/>
        <w:rPr>
          <w:rFonts w:hint="eastAsia" w:ascii="楷体" w:hAnsi="楷体" w:eastAsia="楷体" w:cs="楷体"/>
          <w:lang w:val="en-US" w:eastAsia="zh-CN"/>
        </w:rPr>
      </w:pPr>
      <w:bookmarkStart w:id="174" w:name="_Toc16567"/>
      <w:r>
        <w:rPr>
          <w:rFonts w:hint="eastAsia" w:ascii="楷体" w:hAnsi="楷体" w:eastAsia="楷体" w:cs="楷体"/>
          <w:b w:val="0"/>
          <w:bCs w:val="0"/>
          <w:color w:val="auto"/>
          <w:sz w:val="24"/>
          <w:szCs w:val="24"/>
          <w:highlight w:val="none"/>
          <w:lang w:val="en-US" w:eastAsia="zh-CN"/>
        </w:rPr>
        <w:t>表5-4材料价格指数测算结果表</w:t>
      </w:r>
      <w:bookmarkEnd w:id="174"/>
    </w:p>
    <w:p>
      <w:pPr>
        <w:pStyle w:val="2"/>
        <w:spacing w:line="360" w:lineRule="auto"/>
        <w:jc w:val="center"/>
        <w:outlineLvl w:val="9"/>
        <w:rPr>
          <w:rFonts w:hint="eastAsia" w:ascii="楷体" w:hAnsi="楷体" w:eastAsia="楷体" w:cs="楷体"/>
          <w:lang w:val="en-US" w:eastAsia="zh-CN"/>
        </w:rPr>
      </w:pPr>
    </w:p>
    <w:tbl>
      <w:tblPr>
        <w:tblStyle w:val="45"/>
        <w:tblW w:w="1008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
        <w:gridCol w:w="373"/>
        <w:gridCol w:w="706"/>
        <w:gridCol w:w="1262"/>
        <w:gridCol w:w="336"/>
        <w:gridCol w:w="1005"/>
        <w:gridCol w:w="164"/>
        <w:gridCol w:w="965"/>
        <w:gridCol w:w="264"/>
        <w:gridCol w:w="832"/>
        <w:gridCol w:w="167"/>
        <w:gridCol w:w="929"/>
        <w:gridCol w:w="70"/>
        <w:gridCol w:w="1026"/>
        <w:gridCol w:w="323"/>
        <w:gridCol w:w="773"/>
        <w:gridCol w:w="7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570" w:hRule="atLeast"/>
          <w:tblHeader/>
          <w:jc w:val="center"/>
        </w:trPr>
        <w:tc>
          <w:tcPr>
            <w:tcW w:w="4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序号</w:t>
            </w:r>
          </w:p>
        </w:tc>
        <w:tc>
          <w:tcPr>
            <w:tcW w:w="196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名称、规格、型号</w:t>
            </w:r>
          </w:p>
        </w:tc>
        <w:tc>
          <w:tcPr>
            <w:tcW w:w="134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材料价值汇总（元）</w:t>
            </w:r>
          </w:p>
        </w:tc>
        <w:tc>
          <w:tcPr>
            <w:tcW w:w="112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材料价值平均占比</w:t>
            </w:r>
          </w:p>
        </w:tc>
        <w:tc>
          <w:tcPr>
            <w:tcW w:w="219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材料价格（元）</w:t>
            </w:r>
          </w:p>
        </w:tc>
        <w:tc>
          <w:tcPr>
            <w:tcW w:w="10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价格指数</w:t>
            </w:r>
          </w:p>
        </w:tc>
        <w:tc>
          <w:tcPr>
            <w:tcW w:w="10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材料指数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570" w:hRule="atLeast"/>
          <w:tblHeader/>
          <w:jc w:val="center"/>
        </w:trPr>
        <w:tc>
          <w:tcPr>
            <w:tcW w:w="4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9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34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12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历史价格</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评估时点</w:t>
            </w:r>
          </w:p>
        </w:tc>
        <w:tc>
          <w:tcPr>
            <w:tcW w:w="10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0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690"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热轧带肋钢筋 </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13859.83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2.18%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4760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4530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-4.83%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690"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热轧带肋钢筋 </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31331.48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4.94%</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4760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4530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-4.83%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690"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热轧带肋钢筋 </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13948.83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2.20%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4890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4650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-4.91%</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690"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热轧带肋钢筋</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85002.75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13.40%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4680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4460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-4.70%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9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矿渣硅酸盐水泥 P.S 32.5</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21985.15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3.46%</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390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345</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-11.54%</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细砂 </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22836.66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3.60%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116</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16.38%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标准砖 </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51351.71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8.09%</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492</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492</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陶瓷地砖 (综合)</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11321.14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85</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94.54</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11.22%</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地砖 </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95681.14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91.99</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14.99%</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彩钢板</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5440.19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0.86%</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540"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铝合金推拉窗 普通玻璃</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123917.91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19.53%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385</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390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钢制防盗门 </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59685.13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9.41%</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850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996</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17.18%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苯丙乳胶漆 内墙用</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7285.15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1.15%</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15.18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9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焊接钢管</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5176.46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0.82%</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3.4</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67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组合钢模板 </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5686.39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0.90%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0.19</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0.2</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5.26%</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木支撑 </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7510.14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1660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2100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26.51%</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50"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预拌混凝土</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5674.19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0.89%</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355</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350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-1.41%</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预拌混凝土</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54094.37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8.53%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371</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366</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46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预拌混凝土</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7050.53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1.11%</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363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358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-1.38%</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285" w:hRule="atLeast"/>
          <w:tblHeader/>
          <w:jc w:val="center"/>
        </w:trPr>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预拌细石混凝土</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5663.75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0.89%</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363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360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-0.83%</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5" w:type="dxa"/>
          <w:cantSplit/>
          <w:trHeight w:val="285" w:hRule="atLeast"/>
          <w:tblHeader/>
          <w:jc w:val="center"/>
        </w:trPr>
        <w:tc>
          <w:tcPr>
            <w:tcW w:w="243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合计</w:t>
            </w:r>
          </w:p>
        </w:tc>
        <w:tc>
          <w:tcPr>
            <w:tcW w:w="13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634502.89 </w:t>
            </w:r>
          </w:p>
        </w:tc>
        <w:tc>
          <w:tcPr>
            <w:tcW w:w="11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100.00%</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85.09%</w:t>
            </w:r>
          </w:p>
        </w:tc>
        <w:tc>
          <w:tcPr>
            <w:tcW w:w="1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93" w:type="dxa"/>
          <w:cantSplit/>
          <w:trHeight w:val="570" w:hRule="atLeast"/>
          <w:tblHeader/>
          <w:jc w:val="center"/>
        </w:trPr>
        <w:tc>
          <w:tcPr>
            <w:tcW w:w="9990" w:type="dxa"/>
            <w:gridSpan w:val="16"/>
            <w:tcBorders>
              <w:top w:val="nil"/>
              <w:left w:val="nil"/>
              <w:bottom w:val="single" w:color="000000" w:sz="4" w:space="0"/>
              <w:right w:val="nil"/>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color w:val="auto"/>
                <w:sz w:val="24"/>
                <w:szCs w:val="24"/>
                <w:highlight w:val="none"/>
                <w:lang w:val="en-US" w:eastAsia="zh-CN"/>
              </w:rPr>
            </w:pPr>
          </w:p>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color w:val="auto"/>
                <w:sz w:val="24"/>
                <w:szCs w:val="24"/>
                <w:highlight w:val="none"/>
                <w:lang w:val="en-US" w:eastAsia="zh-CN"/>
              </w:rPr>
              <w:t>表5-5价格指数测算结果表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93" w:type="dxa"/>
          <w:cantSplit/>
          <w:trHeight w:val="570" w:hRule="atLeast"/>
          <w:tblHeader/>
          <w:jc w:val="center"/>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案例</w:t>
            </w:r>
          </w:p>
        </w:tc>
        <w:tc>
          <w:tcPr>
            <w:tcW w:w="159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历史补偿标准（元/平方米）</w:t>
            </w:r>
          </w:p>
        </w:tc>
        <w:tc>
          <w:tcPr>
            <w:tcW w:w="23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价格指数</w:t>
            </w:r>
          </w:p>
        </w:tc>
        <w:tc>
          <w:tcPr>
            <w:tcW w:w="19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权重</w:t>
            </w:r>
          </w:p>
        </w:tc>
        <w:tc>
          <w:tcPr>
            <w:tcW w:w="134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修正后价格</w:t>
            </w:r>
          </w:p>
        </w:tc>
        <w:tc>
          <w:tcPr>
            <w:tcW w:w="156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区域价格指数法平均价格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93" w:type="dxa"/>
          <w:cantSplit/>
          <w:trHeight w:val="570" w:hRule="atLeast"/>
          <w:tblHeader/>
          <w:jc w:val="center"/>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59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1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材料价格指数</w:t>
            </w:r>
          </w:p>
        </w:tc>
        <w:tc>
          <w:tcPr>
            <w:tcW w:w="12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人工费调整指数</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材料</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人工</w:t>
            </w:r>
          </w:p>
        </w:tc>
        <w:tc>
          <w:tcPr>
            <w:tcW w:w="134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5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93" w:type="dxa"/>
          <w:cantSplit/>
          <w:trHeight w:val="690" w:hRule="atLeast"/>
          <w:tblHeader/>
          <w:jc w:val="center"/>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案例1</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700</w:t>
            </w:r>
          </w:p>
        </w:tc>
        <w:tc>
          <w:tcPr>
            <w:tcW w:w="11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3.92%</w:t>
            </w:r>
          </w:p>
        </w:tc>
        <w:tc>
          <w:tcPr>
            <w:tcW w:w="12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11.30%</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0.7 </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0.3 </w:t>
            </w:r>
          </w:p>
        </w:tc>
        <w:tc>
          <w:tcPr>
            <w:tcW w:w="13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742.92 </w:t>
            </w:r>
          </w:p>
        </w:tc>
        <w:tc>
          <w:tcPr>
            <w:tcW w:w="156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93" w:type="dxa"/>
          <w:cantSplit/>
          <w:trHeight w:val="690" w:hRule="atLeast"/>
          <w:tblHeader/>
          <w:jc w:val="center"/>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案例2</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700</w:t>
            </w:r>
          </w:p>
        </w:tc>
        <w:tc>
          <w:tcPr>
            <w:tcW w:w="11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3.92%</w:t>
            </w:r>
          </w:p>
        </w:tc>
        <w:tc>
          <w:tcPr>
            <w:tcW w:w="12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11.30%</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0.7 </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0.3 </w:t>
            </w:r>
          </w:p>
        </w:tc>
        <w:tc>
          <w:tcPr>
            <w:tcW w:w="13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742.92 </w:t>
            </w:r>
          </w:p>
        </w:tc>
        <w:tc>
          <w:tcPr>
            <w:tcW w:w="15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93" w:type="dxa"/>
          <w:cantSplit/>
          <w:trHeight w:val="690" w:hRule="atLeast"/>
          <w:tblHeader/>
          <w:jc w:val="center"/>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案例3</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700</w:t>
            </w:r>
          </w:p>
        </w:tc>
        <w:tc>
          <w:tcPr>
            <w:tcW w:w="11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3.92%</w:t>
            </w:r>
          </w:p>
        </w:tc>
        <w:tc>
          <w:tcPr>
            <w:tcW w:w="12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11.30%</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0.7 </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0.0 </w:t>
            </w:r>
          </w:p>
        </w:tc>
        <w:tc>
          <w:tcPr>
            <w:tcW w:w="13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721.57 </w:t>
            </w:r>
          </w:p>
        </w:tc>
        <w:tc>
          <w:tcPr>
            <w:tcW w:w="156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bl>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通过价格指数法计算砖混结构补偿标准测算结果为736元/平方米，最后用算术加权求取砖混结构（价格指数法、重置成本法）补偿标准为1430元/平方米见下表：</w:t>
      </w:r>
    </w:p>
    <w:p>
      <w:pP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br w:type="page"/>
      </w:r>
    </w:p>
    <w:p>
      <w:pPr>
        <w:spacing w:line="360" w:lineRule="auto"/>
        <w:jc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表5-6建筑物补偿标准测算结果表</w:t>
      </w:r>
    </w:p>
    <w:p>
      <w:pPr>
        <w:pStyle w:val="2"/>
        <w:spacing w:line="360" w:lineRule="auto"/>
        <w:outlineLvl w:val="9"/>
        <w:rPr>
          <w:rFonts w:hint="eastAsia" w:ascii="楷体" w:hAnsi="楷体" w:eastAsia="楷体" w:cs="楷体"/>
          <w:lang w:val="en-US" w:eastAsia="zh-CN"/>
        </w:rPr>
      </w:pPr>
    </w:p>
    <w:tbl>
      <w:tblPr>
        <w:tblStyle w:val="4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1"/>
        <w:gridCol w:w="1126"/>
        <w:gridCol w:w="444"/>
        <w:gridCol w:w="1355"/>
        <w:gridCol w:w="1355"/>
        <w:gridCol w:w="1355"/>
        <w:gridCol w:w="1355"/>
        <w:gridCol w:w="1127"/>
        <w:gridCol w:w="4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00" w:hRule="atLeast"/>
          <w:tblHeader/>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序号</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补偿项目</w:t>
            </w:r>
          </w:p>
        </w:tc>
        <w:tc>
          <w:tcPr>
            <w:tcW w:w="2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说明</w:t>
            </w:r>
          </w:p>
        </w:tc>
        <w:tc>
          <w:tcPr>
            <w:tcW w:w="146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测算方法</w:t>
            </w:r>
          </w:p>
        </w:tc>
        <w:tc>
          <w:tcPr>
            <w:tcW w:w="146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权重</w:t>
            </w:r>
          </w:p>
        </w:tc>
        <w:tc>
          <w:tcPr>
            <w:tcW w:w="6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补偿标准</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00" w:hRule="atLeast"/>
          <w:tblHeader/>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重置成本法</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价格指数法</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重置成本法</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价格指数法</w:t>
            </w: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00" w:hRule="atLeast"/>
          <w:tblHead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砖混结构</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lang w:val="en-US"/>
              </w:rPr>
            </w:pPr>
            <w:r>
              <w:rPr>
                <w:rFonts w:hint="eastAsia" w:ascii="楷体" w:hAnsi="楷体" w:eastAsia="楷体" w:cs="楷体"/>
                <w:b w:val="0"/>
                <w:bCs w:val="0"/>
                <w:i w:val="0"/>
                <w:iCs w:val="0"/>
                <w:color w:val="auto"/>
                <w:kern w:val="0"/>
                <w:sz w:val="24"/>
                <w:szCs w:val="24"/>
                <w:u w:val="none"/>
                <w:lang w:val="en-US" w:eastAsia="zh-CN" w:bidi="ar"/>
              </w:rPr>
              <w:t>1498</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 xml:space="preserve">736 </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0.9</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0.1</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lang w:val="en-US"/>
              </w:rPr>
            </w:pPr>
            <w:r>
              <w:rPr>
                <w:rFonts w:hint="eastAsia" w:ascii="楷体" w:hAnsi="楷体" w:eastAsia="楷体" w:cs="楷体"/>
                <w:b w:val="0"/>
                <w:bCs w:val="0"/>
                <w:i w:val="0"/>
                <w:iCs w:val="0"/>
                <w:color w:val="auto"/>
                <w:kern w:val="0"/>
                <w:sz w:val="24"/>
                <w:szCs w:val="24"/>
                <w:u w:val="none"/>
                <w:lang w:val="en-US" w:eastAsia="zh-CN" w:bidi="ar"/>
              </w:rPr>
              <w:t>1430</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r>
    </w:tbl>
    <w:p>
      <w:pPr>
        <w:spacing w:line="360" w:lineRule="auto"/>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（4）构筑物补偿标准测算过程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构筑物价格的测算参照云南省建设工程造价计价规则：主材费+人工及辅料费+管理费+利润。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考虑到盘龙区域范围内构筑物类设施众多，规格也不尽统一，相关行业也未出台相关规格标准，难以通过案例测算结果来代表区域平均水平因此在评估过程中通过咨询住建部门、被征收老百姓等实际情况，确定各类构筑物主要材料费用、人工辅助费等费用。以砖砌体围墙为例，测算过程如下：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案例一：砖石围墙（单位米）</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①主材费</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直接工程费，是指施工过程中耗费的构成工程实体的各项主要材料的费用。通过询价按照 108元计。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②人工及辅料费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包含工人工资，及辅助完成工程所需花费的其他材料或措施的费用。措施费用主要包括：环境保护费，文明施工费，安全施工费，临时设施费，夜间照明费，二次搬运费，大型机械设备进出场及安拆费，混凝土、钢筋混凝土模板及支架费，脚手架费，已完工程及设备保护费，施工排水、降水费。按 160 元计。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③管理费 </w:t>
      </w:r>
    </w:p>
    <w:p>
      <w:pPr>
        <w:spacing w:line="360" w:lineRule="auto"/>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管理费是指建筑施工或安装企业组织施工生产和经营管理所 </w:t>
      </w:r>
    </w:p>
    <w:p>
      <w:pPr>
        <w:spacing w:line="360" w:lineRule="auto"/>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需费用，包括：管理人员工资、办公费、差旅交通费、劳动保险 </w:t>
      </w:r>
    </w:p>
    <w:p>
      <w:pPr>
        <w:spacing w:line="360" w:lineRule="auto"/>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费等。</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企业管理费=主材费×管理费费率，管理费费率按 4%计。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=（108+160）×4%=10.72 元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④利润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通常情况下自用的生产型建（构）筑物不计利润，故本次测算不计利润。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⑤评估总价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=108+160+10.72=279 取整(元/米)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=280</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为在实际运用中便于操作，同时从维护权利人原则出发，本次采用十位向上取整结果作为区域范围内围墙-砖砌体补偿标准，即围墙-砖砌体为 280元/立方米。 </w:t>
      </w:r>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其余各类构筑物补偿标准测算结果见下表：</w:t>
      </w:r>
    </w:p>
    <w:p>
      <w:pPr>
        <w:spacing w:line="360" w:lineRule="auto"/>
        <w:jc w:val="center"/>
        <w:rPr>
          <w:rFonts w:hint="eastAsia" w:ascii="楷体" w:hAnsi="楷体" w:eastAsia="楷体" w:cs="楷体"/>
          <w:color w:val="auto"/>
          <w:kern w:val="2"/>
          <w:sz w:val="28"/>
          <w:szCs w:val="28"/>
          <w:highlight w:val="none"/>
          <w:lang w:val="en-US" w:eastAsia="zh-CN" w:bidi="ar-SA"/>
        </w:rPr>
      </w:pPr>
    </w:p>
    <w:p>
      <w:pPr>
        <w:rPr>
          <w:rFonts w:hint="eastAsia" w:ascii="楷体" w:hAnsi="楷体" w:eastAsia="楷体" w:cs="楷体"/>
          <w:b w:val="0"/>
          <w:bCs w:val="0"/>
          <w:i w:val="0"/>
          <w:iCs w:val="0"/>
          <w:color w:val="auto"/>
          <w:kern w:val="2"/>
          <w:sz w:val="24"/>
          <w:szCs w:val="24"/>
          <w:highlight w:val="none"/>
          <w:lang w:val="en-US" w:eastAsia="zh-CN" w:bidi="ar-SA"/>
        </w:rPr>
      </w:pPr>
      <w:r>
        <w:rPr>
          <w:rFonts w:hint="eastAsia" w:ascii="楷体" w:hAnsi="楷体" w:eastAsia="楷体" w:cs="楷体"/>
          <w:b w:val="0"/>
          <w:bCs w:val="0"/>
          <w:i w:val="0"/>
          <w:iCs w:val="0"/>
          <w:color w:val="auto"/>
          <w:kern w:val="2"/>
          <w:sz w:val="24"/>
          <w:szCs w:val="24"/>
          <w:highlight w:val="none"/>
          <w:lang w:val="en-US" w:eastAsia="zh-CN" w:bidi="ar-SA"/>
        </w:rPr>
        <w:br w:type="page"/>
      </w:r>
    </w:p>
    <w:p>
      <w:pPr>
        <w:spacing w:line="360" w:lineRule="auto"/>
        <w:jc w:val="center"/>
        <w:rPr>
          <w:rFonts w:hint="eastAsia" w:ascii="楷体" w:hAnsi="楷体" w:eastAsia="楷体" w:cs="楷体"/>
          <w:b w:val="0"/>
          <w:bCs w:val="0"/>
          <w:i w:val="0"/>
          <w:iCs w:val="0"/>
          <w:sz w:val="24"/>
          <w:szCs w:val="24"/>
          <w:lang w:val="en-US" w:eastAsia="zh-CN"/>
        </w:rPr>
      </w:pPr>
      <w:r>
        <w:rPr>
          <w:rFonts w:hint="eastAsia" w:ascii="楷体" w:hAnsi="楷体" w:eastAsia="楷体" w:cs="楷体"/>
          <w:b w:val="0"/>
          <w:bCs w:val="0"/>
          <w:i w:val="0"/>
          <w:iCs w:val="0"/>
          <w:color w:val="auto"/>
          <w:kern w:val="2"/>
          <w:sz w:val="24"/>
          <w:szCs w:val="24"/>
          <w:highlight w:val="none"/>
          <w:lang w:val="en-US" w:eastAsia="zh-CN" w:bidi="ar-SA"/>
        </w:rPr>
        <w:t>表5-7构筑物补偿标准测算过程表</w:t>
      </w:r>
    </w:p>
    <w:tbl>
      <w:tblPr>
        <w:tblStyle w:val="45"/>
        <w:tblW w:w="5620" w:type="pct"/>
        <w:tblInd w:w="-6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6"/>
        <w:gridCol w:w="1144"/>
        <w:gridCol w:w="1049"/>
        <w:gridCol w:w="565"/>
        <w:gridCol w:w="1061"/>
        <w:gridCol w:w="706"/>
        <w:gridCol w:w="964"/>
        <w:gridCol w:w="955"/>
        <w:gridCol w:w="773"/>
        <w:gridCol w:w="814"/>
        <w:gridCol w:w="1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79"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序号</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补偿项目</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规格</w:t>
            </w:r>
          </w:p>
        </w:tc>
        <w:tc>
          <w:tcPr>
            <w:tcW w:w="2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说明</w:t>
            </w: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单位</w:t>
            </w:r>
          </w:p>
        </w:tc>
        <w:tc>
          <w:tcPr>
            <w:tcW w:w="34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主材费</w:t>
            </w:r>
          </w:p>
        </w:tc>
        <w:tc>
          <w:tcPr>
            <w:tcW w:w="4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人工及辅料费</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管理费（4%）</w:t>
            </w:r>
          </w:p>
        </w:tc>
        <w:tc>
          <w:tcPr>
            <w:tcW w:w="3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利润（不计）</w:t>
            </w:r>
          </w:p>
        </w:tc>
        <w:tc>
          <w:tcPr>
            <w:tcW w:w="3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补偿标准</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补偿标准（十位向上取整）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砖石围墙</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标准围墙</w:t>
            </w:r>
          </w:p>
        </w:tc>
        <w:tc>
          <w:tcPr>
            <w:tcW w:w="272"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元/米</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108</w:t>
            </w:r>
          </w:p>
        </w:tc>
        <w:tc>
          <w:tcPr>
            <w:tcW w:w="4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160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10.72</w:t>
            </w:r>
          </w:p>
        </w:tc>
        <w:tc>
          <w:tcPr>
            <w:tcW w:w="3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0</w:t>
            </w: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279</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土围墙</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标准围墙</w:t>
            </w: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元/米</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32</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33</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2.6</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68</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水井水池</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元/个</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300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180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19.2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499</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石挡墙</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元/立方米</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60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68</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5.12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133</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自来水</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元/户</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190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9.6</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250</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6</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检修槽</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160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220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15.2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395</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239"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7</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铁大门</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特指院坝铁门</w:t>
            </w: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元/道</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900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249</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45.96</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1195</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239"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8</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有线电视迁改</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元/户</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130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110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9.6</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250</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239"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9</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居民电源电线</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元/户</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186</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150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13.44</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349</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10</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电话移机</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元/户</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70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35</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109</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11</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太阳能</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220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65</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11.4</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296</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239"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12</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钢筋砼化粪池</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元/立方米</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330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145</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19</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494</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239"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13</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砖砌化粪池</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元/立方米</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105</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180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11.4</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296</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14</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简易铁棚</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70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72</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5.68</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148</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055"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15</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排水沟（有盖板）</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元/米</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26</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2.64</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69</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55"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16</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排水沟（无盖板）</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元/米</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15</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23</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1.52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40</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17</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砖砌花台</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元/米</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18</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1.52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40</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18</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石灰池</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元/个</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300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180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19.2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499</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19</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水泥地坪</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24</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19</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1.72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45</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20</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简易房</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40</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53</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3.72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97</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35"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21</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灶台</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元/个</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146</w:t>
            </w:r>
          </w:p>
        </w:tc>
        <w:tc>
          <w:tcPr>
            <w:tcW w:w="46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140</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11.44</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297</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22</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渡槽</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元/立方米</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180</w:t>
            </w:r>
          </w:p>
        </w:tc>
        <w:tc>
          <w:tcPr>
            <w:tcW w:w="464" w:type="pct"/>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203</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15.32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398</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31" w:hRule="atLeast"/>
          <w:tblHeader/>
        </w:trPr>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23</w:t>
            </w:r>
          </w:p>
        </w:tc>
        <w:tc>
          <w:tcPr>
            <w:tcW w:w="55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室外厕所</w:t>
            </w:r>
          </w:p>
        </w:tc>
        <w:tc>
          <w:tcPr>
            <w:tcW w:w="505"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元/座</w:t>
            </w:r>
          </w:p>
        </w:tc>
        <w:tc>
          <w:tcPr>
            <w:tcW w:w="34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140</w:t>
            </w:r>
          </w:p>
        </w:tc>
        <w:tc>
          <w:tcPr>
            <w:tcW w:w="464" w:type="pct"/>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143</w:t>
            </w:r>
          </w:p>
        </w:tc>
        <w:tc>
          <w:tcPr>
            <w:tcW w:w="46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11.32</w:t>
            </w:r>
          </w:p>
        </w:tc>
        <w:tc>
          <w:tcPr>
            <w:tcW w:w="37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294</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300</w:t>
            </w:r>
          </w:p>
        </w:tc>
      </w:tr>
    </w:tbl>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p>
    <w:p>
      <w:pPr>
        <w:spacing w:line="360" w:lineRule="auto"/>
        <w:ind w:firstLine="562" w:firstLineChars="200"/>
        <w:outlineLvl w:val="2"/>
        <w:rPr>
          <w:rFonts w:hint="eastAsia" w:ascii="楷体" w:hAnsi="楷体" w:eastAsia="楷体" w:cs="楷体"/>
          <w:b/>
          <w:bCs/>
          <w:color w:val="auto"/>
          <w:kern w:val="0"/>
          <w:sz w:val="28"/>
          <w:szCs w:val="28"/>
          <w:highlight w:val="none"/>
        </w:rPr>
      </w:pPr>
      <w:bookmarkStart w:id="175" w:name="_Toc24402"/>
      <w:bookmarkStart w:id="176" w:name="_Toc2108"/>
      <w:r>
        <w:rPr>
          <w:rFonts w:hint="eastAsia" w:ascii="楷体" w:hAnsi="楷体" w:eastAsia="楷体" w:cs="楷体"/>
          <w:b/>
          <w:bCs/>
          <w:color w:val="auto"/>
          <w:kern w:val="0"/>
          <w:sz w:val="28"/>
          <w:szCs w:val="28"/>
          <w:highlight w:val="none"/>
        </w:rPr>
        <w:t>3.林木类补偿标准测算</w:t>
      </w:r>
      <w:bookmarkEnd w:id="175"/>
      <w:bookmarkEnd w:id="176"/>
    </w:p>
    <w:p>
      <w:pPr>
        <w:keepNext w:val="0"/>
        <w:keepLines w:val="0"/>
        <w:widowControl/>
        <w:suppressLineNumbers w:val="0"/>
        <w:spacing w:line="360" w:lineRule="auto"/>
        <w:ind w:firstLine="560" w:firstLineChars="200"/>
        <w:jc w:val="left"/>
        <w:rPr>
          <w:rFonts w:hint="eastAsia" w:ascii="楷体" w:hAnsi="楷体" w:eastAsia="楷体" w:cs="楷体"/>
        </w:rPr>
      </w:pPr>
      <w:bookmarkStart w:id="177" w:name="_Toc79406907"/>
      <w:r>
        <w:rPr>
          <w:rFonts w:hint="eastAsia" w:ascii="楷体" w:hAnsi="楷体" w:eastAsia="楷体" w:cs="楷体"/>
          <w:color w:val="000000"/>
          <w:kern w:val="0"/>
          <w:sz w:val="28"/>
          <w:szCs w:val="28"/>
          <w:lang w:val="en-US" w:eastAsia="zh-CN" w:bidi="ar"/>
        </w:rPr>
        <w:t xml:space="preserve">林木类补偿标准测算主要根据造林成本、林种、地类、起源、区域年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龄、林木生长、市场等因素，根据林种不同进行测算补偿，可分为防护林、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用材林、经济林、薪炭林和特种用途林，树龄可参照《主要树种龄级与龄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组划分》（LY/T 2908—2017）进行分类。因龄级的不同可采用市场价倒算 </w:t>
      </w:r>
    </w:p>
    <w:p>
      <w:pPr>
        <w:keepNext w:val="0"/>
        <w:keepLines w:val="0"/>
        <w:widowControl/>
        <w:suppressLineNumbers w:val="0"/>
        <w:spacing w:line="360" w:lineRule="auto"/>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法、收获现值法、重置成本法等方法进行测算。</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根据林木的生长发育阶段可分为幼龄林、中龄林（近熟林）、成熟林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（过熟林），不同的阶段采用的测算方法也不一致，幼龄林采用的测算方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法是重置成本法，中龄林（近熟林）采用收获现值法，成熟林（过熟林） </w:t>
      </w:r>
    </w:p>
    <w:p>
      <w:pPr>
        <w:keepNext w:val="0"/>
        <w:keepLines w:val="0"/>
        <w:widowControl/>
        <w:suppressLineNumbers w:val="0"/>
        <w:spacing w:line="360" w:lineRule="auto"/>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采用市场价倒算法。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（1）相关经济技术指标的获取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①林木收益还原率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一般情况下，确定收益还原率应综合考虑安全利率和风险调整值，其 中安全利率可采用一年期国债收益率或银行一年期定期存款年利率，国债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收益率通常被认为是无风险的，因为持有该债权到期不能兑付的风险很小， 可以忽略不计。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风险调整值一般是指风险程度不同的各种投资社会平均纯收益率扣除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基本还原率之差。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因此，确定收益还原率采用安全利率加风险调整值法：即林木收益还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原率=安全利率+风险调整值。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根据测算基准时点为 2020 年 1 月 1 日，同时衔接区片综合地价中收益还原率的确定方式，本次安全利率采用近四年（2016 年-2019 年）“一年期国债平均收益率”平均值 2.79%为安全利率。详见表 </w:t>
      </w:r>
      <w:r>
        <w:rPr>
          <w:rFonts w:hint="eastAsia" w:ascii="楷体" w:hAnsi="楷体" w:eastAsia="楷体" w:cs="楷体"/>
          <w:color w:val="000000"/>
          <w:kern w:val="0"/>
          <w:sz w:val="24"/>
          <w:szCs w:val="24"/>
          <w:lang w:val="en-US" w:eastAsia="zh-CN" w:bidi="ar"/>
        </w:rPr>
        <w:t>5-8</w:t>
      </w:r>
      <w:r>
        <w:rPr>
          <w:rFonts w:hint="eastAsia" w:ascii="楷体" w:hAnsi="楷体" w:eastAsia="楷体" w:cs="楷体"/>
          <w:color w:val="000000"/>
          <w:kern w:val="0"/>
          <w:sz w:val="28"/>
          <w:szCs w:val="28"/>
          <w:lang w:val="en-US" w:eastAsia="zh-CN" w:bidi="ar"/>
        </w:rPr>
        <w:t>。</w:t>
      </w:r>
    </w:p>
    <w:p>
      <w:pPr>
        <w:keepNext w:val="0"/>
        <w:keepLines w:val="0"/>
        <w:widowControl/>
        <w:suppressLineNumbers w:val="0"/>
        <w:spacing w:line="360" w:lineRule="auto"/>
        <w:jc w:val="center"/>
        <w:rPr>
          <w:rFonts w:hint="eastAsia" w:ascii="楷体" w:hAnsi="楷体" w:eastAsia="楷体" w:cs="楷体"/>
          <w:color w:val="000000"/>
          <w:kern w:val="0"/>
          <w:sz w:val="24"/>
          <w:szCs w:val="24"/>
          <w:lang w:val="en-US" w:eastAsia="zh-CN" w:bidi="ar"/>
        </w:rPr>
      </w:pPr>
    </w:p>
    <w:p>
      <w:pPr>
        <w:keepNext w:val="0"/>
        <w:keepLines w:val="0"/>
        <w:widowControl/>
        <w:suppressLineNumbers w:val="0"/>
        <w:spacing w:line="360" w:lineRule="auto"/>
        <w:jc w:val="center"/>
        <w:rPr>
          <w:rFonts w:hint="eastAsia" w:ascii="楷体" w:hAnsi="楷体" w:eastAsia="楷体" w:cs="楷体"/>
        </w:rPr>
      </w:pPr>
      <w:r>
        <w:rPr>
          <w:rFonts w:hint="eastAsia" w:ascii="楷体" w:hAnsi="楷体" w:eastAsia="楷体" w:cs="楷体"/>
          <w:color w:val="000000"/>
          <w:kern w:val="0"/>
          <w:sz w:val="24"/>
          <w:szCs w:val="24"/>
          <w:lang w:val="en-US" w:eastAsia="zh-CN" w:bidi="ar"/>
        </w:rPr>
        <w:t>表5-8　2016~2019 年“一年期国债平均收益率”</w:t>
      </w:r>
    </w:p>
    <w:p>
      <w:pPr>
        <w:keepNext w:val="0"/>
        <w:keepLines w:val="0"/>
        <w:widowControl/>
        <w:suppressLineNumbers w:val="0"/>
        <w:spacing w:line="360" w:lineRule="auto"/>
        <w:jc w:val="right"/>
        <w:rPr>
          <w:rFonts w:hint="eastAsia" w:ascii="楷体" w:hAnsi="楷体" w:eastAsia="楷体" w:cs="楷体"/>
        </w:rPr>
      </w:pPr>
      <w:r>
        <w:rPr>
          <w:rFonts w:hint="eastAsia" w:ascii="楷体" w:hAnsi="楷体" w:eastAsia="楷体" w:cs="楷体"/>
          <w:color w:val="000000"/>
          <w:kern w:val="0"/>
          <w:sz w:val="20"/>
          <w:szCs w:val="20"/>
          <w:lang w:val="en-US" w:eastAsia="zh-CN" w:bidi="ar"/>
        </w:rPr>
        <w:t>单位：%</w:t>
      </w:r>
    </w:p>
    <w:p>
      <w:pPr>
        <w:widowControl/>
        <w:spacing w:line="360" w:lineRule="auto"/>
        <w:ind w:firstLine="630" w:firstLineChars="30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rPr>
        <w:drawing>
          <wp:anchor distT="0" distB="0" distL="114300" distR="114300" simplePos="0" relativeHeight="251660288" behindDoc="1" locked="0" layoutInCell="1" allowOverlap="1">
            <wp:simplePos x="0" y="0"/>
            <wp:positionH relativeFrom="column">
              <wp:posOffset>-15240</wp:posOffset>
            </wp:positionH>
            <wp:positionV relativeFrom="paragraph">
              <wp:posOffset>177800</wp:posOffset>
            </wp:positionV>
            <wp:extent cx="5758815" cy="3971290"/>
            <wp:effectExtent l="0" t="0" r="1905" b="6350"/>
            <wp:wrapThrough wrapText="bothSides">
              <wp:wrapPolygon>
                <wp:start x="0" y="0"/>
                <wp:lineTo x="0" y="21552"/>
                <wp:lineTo x="21550" y="21552"/>
                <wp:lineTo x="21550" y="0"/>
                <wp:lineTo x="0" y="0"/>
              </wp:wrapPolygon>
            </wp:wrapThrough>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3"/>
                    <a:stretch>
                      <a:fillRect/>
                    </a:stretch>
                  </pic:blipFill>
                  <pic:spPr>
                    <a:xfrm>
                      <a:off x="0" y="0"/>
                      <a:ext cx="5758815" cy="3971290"/>
                    </a:xfrm>
                    <a:prstGeom prst="rect">
                      <a:avLst/>
                    </a:prstGeom>
                    <a:noFill/>
                    <a:ln>
                      <a:noFill/>
                    </a:ln>
                  </pic:spPr>
                </pic:pic>
              </a:graphicData>
            </a:graphic>
          </wp:anchor>
        </w:drawing>
      </w:r>
      <w:r>
        <w:rPr>
          <w:rFonts w:hint="eastAsia" w:ascii="楷体" w:hAnsi="楷体" w:eastAsia="楷体" w:cs="楷体"/>
          <w:lang w:val="en-US" w:eastAsia="zh-CN"/>
        </w:rPr>
        <w:t xml:space="preserve"> </w:t>
      </w:r>
      <w:r>
        <w:rPr>
          <w:rFonts w:hint="eastAsia" w:ascii="楷体" w:hAnsi="楷体" w:eastAsia="楷体" w:cs="楷体"/>
          <w:color w:val="auto"/>
          <w:kern w:val="2"/>
          <w:sz w:val="28"/>
          <w:szCs w:val="28"/>
          <w:highlight w:val="none"/>
          <w:lang w:val="en-US" w:eastAsia="zh-CN" w:bidi="ar-SA"/>
        </w:rPr>
        <w:t>风险调整值根据《全民所有自然资源资产清查技术指南》相关要求，风险调整值主要为林业生产所遇到的灾害性天气、病虫害、森林火灾，以及测算对象所处地区的社会经济发展水平和林木市场等状况对其影响程度而确定。本次风险调整值主要考虑造林失败风险 0.25%,火灾风险0.15%，人为灾害 0.45%，病虫害及其他自然灾害 1.15%，合计风险调整为 2%。               综上最终确定收益还原率=安全利率（2.79%）+风险调整值（2%）=4.79%</w:t>
      </w:r>
    </w:p>
    <w:p>
      <w:pPr>
        <w:keepNext w:val="0"/>
        <w:keepLines w:val="0"/>
        <w:widowControl/>
        <w:suppressLineNumbers w:val="0"/>
        <w:spacing w:line="360" w:lineRule="auto"/>
        <w:jc w:val="left"/>
        <w:rPr>
          <w:rFonts w:hint="eastAsia" w:ascii="楷体" w:hAnsi="楷体" w:eastAsia="楷体" w:cs="楷体"/>
        </w:rPr>
      </w:pPr>
    </w:p>
    <w:p>
      <w:pPr>
        <w:spacing w:line="360" w:lineRule="auto"/>
        <w:ind w:firstLine="562" w:firstLineChars="200"/>
        <w:rPr>
          <w:rFonts w:hint="eastAsia" w:ascii="楷体" w:hAnsi="楷体" w:eastAsia="楷体" w:cs="楷体"/>
          <w:b/>
          <w:color w:val="auto"/>
          <w:kern w:val="2"/>
          <w:sz w:val="28"/>
          <w:szCs w:val="28"/>
          <w:highlight w:val="none"/>
          <w:lang w:val="en-US" w:eastAsia="zh-CN" w:bidi="ar-SA"/>
        </w:rPr>
      </w:pPr>
      <w:r>
        <w:rPr>
          <w:rFonts w:hint="eastAsia" w:ascii="楷体" w:hAnsi="楷体" w:eastAsia="楷体" w:cs="楷体"/>
          <w:b/>
          <w:color w:val="auto"/>
          <w:kern w:val="2"/>
          <w:sz w:val="28"/>
          <w:szCs w:val="28"/>
          <w:highlight w:val="none"/>
          <w:lang w:val="en-US" w:eastAsia="zh-CN" w:bidi="ar-SA"/>
        </w:rPr>
        <w:t xml:space="preserve">②林木种植密度和龄组（生长发育阶段） </w:t>
      </w:r>
    </w:p>
    <w:p>
      <w:pPr>
        <w:keepNext w:val="0"/>
        <w:keepLines w:val="0"/>
        <w:widowControl/>
        <w:suppressLineNumbers w:val="0"/>
        <w:spacing w:line="360" w:lineRule="auto"/>
        <w:ind w:firstLine="840" w:firstLineChars="300"/>
        <w:jc w:val="left"/>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主要根据《主要树种龄级与龄组划分》（LY/T 2908—2017），《造林 技术规程》（GB/T 15776—2016）,《云南省森林资源规划设计调查操作细 则》（2013 年修订）以及相关林业标准进行确定。详见下表 5-8。</w:t>
      </w:r>
    </w:p>
    <w:p>
      <w:pPr>
        <w:keepNext w:val="0"/>
        <w:keepLines w:val="0"/>
        <w:widowControl/>
        <w:suppressLineNumbers w:val="0"/>
        <w:spacing w:line="360" w:lineRule="auto"/>
        <w:jc w:val="center"/>
        <w:rPr>
          <w:rFonts w:hint="eastAsia" w:ascii="楷体" w:hAnsi="楷体" w:eastAsia="楷体" w:cs="楷体"/>
          <w:lang w:val="en-US" w:eastAsia="zh-CN"/>
        </w:rPr>
      </w:pPr>
      <w:r>
        <w:rPr>
          <w:rFonts w:hint="eastAsia" w:ascii="楷体" w:hAnsi="楷体" w:eastAsia="楷体" w:cs="楷体"/>
          <w:color w:val="auto"/>
          <w:sz w:val="28"/>
          <w:szCs w:val="28"/>
          <w:highlight w:val="none"/>
          <w:lang w:val="en-US" w:eastAsia="zh-CN"/>
        </w:rPr>
        <w:t>表5-8 林木主要技术指标表</w:t>
      </w:r>
    </w:p>
    <w:tbl>
      <w:tblPr>
        <w:tblStyle w:val="45"/>
        <w:tblW w:w="577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3"/>
        <w:gridCol w:w="874"/>
        <w:gridCol w:w="938"/>
        <w:gridCol w:w="1032"/>
        <w:gridCol w:w="924"/>
        <w:gridCol w:w="1092"/>
        <w:gridCol w:w="1092"/>
        <w:gridCol w:w="1008"/>
        <w:gridCol w:w="1464"/>
        <w:gridCol w:w="14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40" w:hRule="atLeast"/>
          <w:tblHeader/>
          <w:jc w:val="center"/>
        </w:trPr>
        <w:tc>
          <w:tcPr>
            <w:tcW w:w="5000" w:type="pct"/>
            <w:gridSpan w:val="10"/>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bCs/>
                <w:i w:val="0"/>
                <w:iCs w:val="0"/>
                <w:color w:val="000000"/>
                <w:sz w:val="28"/>
                <w:szCs w:val="28"/>
                <w:u w:val="none"/>
              </w:rPr>
            </w:pPr>
            <w:r>
              <w:rPr>
                <w:rFonts w:hint="eastAsia" w:ascii="楷体" w:hAnsi="楷体" w:eastAsia="楷体" w:cs="楷体"/>
                <w:b/>
                <w:bCs/>
                <w:i w:val="0"/>
                <w:iCs w:val="0"/>
                <w:color w:val="000000"/>
                <w:kern w:val="0"/>
                <w:sz w:val="28"/>
                <w:szCs w:val="28"/>
                <w:u w:val="none"/>
                <w:lang w:val="en-US" w:eastAsia="zh-CN" w:bidi="ar"/>
              </w:rPr>
              <w:t>林木主要技术指标表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40" w:hRule="atLeast"/>
          <w:tblHeader/>
          <w:jc w:val="center"/>
        </w:trPr>
        <w:tc>
          <w:tcPr>
            <w:tcW w:w="37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工时费</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100元/工日</w:t>
            </w:r>
          </w:p>
        </w:tc>
        <w:tc>
          <w:tcPr>
            <w:tcW w:w="4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复合肥</w:t>
            </w: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2元/㎏</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农药</w:t>
            </w:r>
          </w:p>
        </w:tc>
        <w:tc>
          <w:tcPr>
            <w:tcW w:w="5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30元/亩</w:t>
            </w:r>
          </w:p>
        </w:tc>
        <w:tc>
          <w:tcPr>
            <w:tcW w:w="5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规划设计费</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16元/亩</w:t>
            </w:r>
          </w:p>
        </w:tc>
        <w:tc>
          <w:tcPr>
            <w:tcW w:w="68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管理费用</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15" w:hRule="atLeast"/>
          <w:tblHeader/>
          <w:jc w:val="center"/>
        </w:trPr>
        <w:tc>
          <w:tcPr>
            <w:tcW w:w="371"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林木名称</w:t>
            </w:r>
          </w:p>
        </w:tc>
        <w:tc>
          <w:tcPr>
            <w:tcW w:w="409"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苗木费（元/株）</w:t>
            </w:r>
          </w:p>
        </w:tc>
        <w:tc>
          <w:tcPr>
            <w:tcW w:w="923"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生态林种植密度（株/亩）</w:t>
            </w:r>
          </w:p>
        </w:tc>
        <w:tc>
          <w:tcPr>
            <w:tcW w:w="944"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商品林种植密度（株/亩）</w:t>
            </w:r>
          </w:p>
        </w:tc>
        <w:tc>
          <w:tcPr>
            <w:tcW w:w="511"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平均种植密度</w:t>
            </w:r>
          </w:p>
        </w:tc>
        <w:tc>
          <w:tcPr>
            <w:tcW w:w="1838" w:type="pct"/>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龄组（生长发育阶段）（年）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blHeader/>
          <w:jc w:val="center"/>
        </w:trPr>
        <w:tc>
          <w:tcPr>
            <w:tcW w:w="371"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auto"/>
              <w:jc w:val="center"/>
              <w:rPr>
                <w:rFonts w:hint="eastAsia" w:ascii="楷体" w:hAnsi="楷体" w:eastAsia="楷体" w:cs="楷体"/>
                <w:i w:val="0"/>
                <w:iCs w:val="0"/>
                <w:color w:val="000000"/>
                <w:sz w:val="21"/>
                <w:szCs w:val="21"/>
                <w:u w:val="none"/>
              </w:rPr>
            </w:pP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auto"/>
              <w:jc w:val="center"/>
              <w:rPr>
                <w:rFonts w:hint="eastAsia" w:ascii="楷体" w:hAnsi="楷体" w:eastAsia="楷体" w:cs="楷体"/>
                <w:i w:val="0"/>
                <w:iCs w:val="0"/>
                <w:color w:val="000000"/>
                <w:sz w:val="21"/>
                <w:szCs w:val="21"/>
                <w:u w:val="none"/>
              </w:rPr>
            </w:pPr>
          </w:p>
        </w:tc>
        <w:tc>
          <w:tcPr>
            <w:tcW w:w="43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最低种植密度</w:t>
            </w: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最高种植密度</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最低种植密度</w:t>
            </w:r>
          </w:p>
        </w:tc>
        <w:tc>
          <w:tcPr>
            <w:tcW w:w="5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最高种植密度</w:t>
            </w:r>
          </w:p>
        </w:tc>
        <w:tc>
          <w:tcPr>
            <w:tcW w:w="511"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2"/>
                <w:szCs w:val="22"/>
                <w:u w:val="none"/>
              </w:rPr>
            </w:pP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幼龄林</w:t>
            </w:r>
          </w:p>
        </w:tc>
        <w:tc>
          <w:tcPr>
            <w:tcW w:w="68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中龄林（近熟林）</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成熟林（过熟林）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8" w:hRule="atLeast"/>
          <w:tblHeader/>
          <w:jc w:val="center"/>
        </w:trPr>
        <w:tc>
          <w:tcPr>
            <w:tcW w:w="37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桉树</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10</w:t>
            </w:r>
          </w:p>
        </w:tc>
        <w:tc>
          <w:tcPr>
            <w:tcW w:w="4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210</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5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default" w:ascii="楷体" w:hAnsi="楷体" w:eastAsia="楷体" w:cs="楷体"/>
                <w:i w:val="0"/>
                <w:iCs w:val="0"/>
                <w:color w:val="000000"/>
                <w:sz w:val="22"/>
                <w:szCs w:val="22"/>
                <w:u w:val="none"/>
                <w:lang w:val="en-US"/>
              </w:rPr>
            </w:pPr>
            <w:r>
              <w:rPr>
                <w:rFonts w:hint="eastAsia" w:ascii="楷体" w:hAnsi="楷体" w:eastAsia="楷体" w:cs="楷体"/>
                <w:i w:val="0"/>
                <w:iCs w:val="0"/>
                <w:color w:val="000000"/>
                <w:kern w:val="0"/>
                <w:sz w:val="22"/>
                <w:szCs w:val="22"/>
                <w:u w:val="none"/>
                <w:lang w:val="en-US" w:eastAsia="zh-CN" w:bidi="ar"/>
              </w:rPr>
              <w:t>150</w:t>
            </w:r>
          </w:p>
        </w:tc>
        <w:tc>
          <w:tcPr>
            <w:tcW w:w="5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楷体" w:hAnsi="楷体" w:eastAsia="楷体" w:cs="楷体"/>
                <w:i w:val="0"/>
                <w:iCs w:val="0"/>
                <w:color w:val="000000"/>
                <w:sz w:val="20"/>
                <w:szCs w:val="20"/>
                <w:u w:val="none"/>
                <w:lang w:val="en-US"/>
              </w:rPr>
            </w:pPr>
            <w:r>
              <w:rPr>
                <w:rFonts w:hint="eastAsia" w:ascii="楷体" w:hAnsi="楷体" w:eastAsia="楷体" w:cs="楷体"/>
                <w:i w:val="0"/>
                <w:iCs w:val="0"/>
                <w:color w:val="000000"/>
                <w:kern w:val="0"/>
                <w:sz w:val="20"/>
                <w:szCs w:val="20"/>
                <w:u w:val="none"/>
                <w:lang w:val="en-US" w:eastAsia="zh-CN" w:bidi="ar"/>
              </w:rPr>
              <w:t>140</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≤4年</w:t>
            </w:r>
          </w:p>
        </w:tc>
        <w:tc>
          <w:tcPr>
            <w:tcW w:w="68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5-8年</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52" w:hRule="atLeast"/>
          <w:tblHeader/>
          <w:jc w:val="center"/>
        </w:trPr>
        <w:tc>
          <w:tcPr>
            <w:tcW w:w="37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云南松林</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4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300</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5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300</w:t>
            </w:r>
          </w:p>
        </w:tc>
        <w:tc>
          <w:tcPr>
            <w:tcW w:w="5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0"/>
                <w:szCs w:val="20"/>
                <w:u w:val="none"/>
              </w:rPr>
            </w:pPr>
            <w:r>
              <w:rPr>
                <w:rFonts w:hint="eastAsia" w:ascii="楷体" w:hAnsi="楷体" w:eastAsia="楷体" w:cs="楷体"/>
                <w:i w:val="0"/>
                <w:iCs w:val="0"/>
                <w:color w:val="000000"/>
                <w:kern w:val="0"/>
                <w:sz w:val="20"/>
                <w:szCs w:val="20"/>
                <w:u w:val="none"/>
                <w:lang w:val="en-US" w:eastAsia="zh-CN" w:bidi="ar"/>
              </w:rPr>
              <w:t>200</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≤4年</w:t>
            </w:r>
          </w:p>
        </w:tc>
        <w:tc>
          <w:tcPr>
            <w:tcW w:w="68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5-10年</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52" w:hRule="atLeast"/>
          <w:tblHeader/>
          <w:jc w:val="center"/>
        </w:trPr>
        <w:tc>
          <w:tcPr>
            <w:tcW w:w="37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华山松林</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43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210</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110</w:t>
            </w:r>
          </w:p>
        </w:tc>
        <w:tc>
          <w:tcPr>
            <w:tcW w:w="5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300</w:t>
            </w:r>
          </w:p>
        </w:tc>
        <w:tc>
          <w:tcPr>
            <w:tcW w:w="51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0"/>
                <w:szCs w:val="20"/>
                <w:u w:val="none"/>
              </w:rPr>
            </w:pPr>
            <w:r>
              <w:rPr>
                <w:rFonts w:hint="eastAsia" w:ascii="楷体" w:hAnsi="楷体" w:eastAsia="楷体" w:cs="楷体"/>
                <w:i w:val="0"/>
                <w:iCs w:val="0"/>
                <w:color w:val="000000"/>
                <w:kern w:val="0"/>
                <w:sz w:val="20"/>
                <w:szCs w:val="20"/>
                <w:u w:val="none"/>
                <w:lang w:val="en-US" w:eastAsia="zh-CN" w:bidi="ar"/>
              </w:rPr>
              <w:t>180</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≤4年</w:t>
            </w:r>
          </w:p>
        </w:tc>
        <w:tc>
          <w:tcPr>
            <w:tcW w:w="68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5-10年</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≥11年</w:t>
            </w:r>
          </w:p>
        </w:tc>
      </w:tr>
    </w:tbl>
    <w:p>
      <w:pPr>
        <w:pStyle w:val="61"/>
        <w:spacing w:line="360" w:lineRule="auto"/>
        <w:ind w:left="0" w:leftChars="0" w:firstLine="0" w:firstLineChars="0"/>
        <w:rPr>
          <w:rFonts w:hint="eastAsia" w:ascii="楷体" w:hAnsi="楷体" w:eastAsia="楷体" w:cs="楷体"/>
          <w:b/>
          <w:bCs/>
          <w:color w:val="auto"/>
          <w:sz w:val="28"/>
          <w:szCs w:val="28"/>
          <w:lang w:eastAsia="zh-CN"/>
        </w:rPr>
      </w:pPr>
    </w:p>
    <w:p>
      <w:pPr>
        <w:pStyle w:val="61"/>
        <w:spacing w:line="360" w:lineRule="auto"/>
        <w:ind w:left="0" w:leftChars="0" w:firstLine="0" w:firstLineChars="0"/>
        <w:rPr>
          <w:rFonts w:hint="eastAsia" w:ascii="楷体" w:hAnsi="楷体" w:eastAsia="楷体" w:cs="楷体"/>
          <w:b/>
          <w:bCs/>
          <w:color w:val="auto"/>
          <w:sz w:val="28"/>
          <w:szCs w:val="28"/>
        </w:rPr>
      </w:pPr>
      <w:r>
        <w:rPr>
          <w:rFonts w:hint="eastAsia" w:ascii="楷体" w:hAnsi="楷体" w:eastAsia="楷体" w:cs="楷体"/>
          <w:b/>
          <w:bCs/>
          <w:color w:val="auto"/>
          <w:sz w:val="28"/>
          <w:szCs w:val="28"/>
          <w:lang w:eastAsia="zh-CN"/>
        </w:rPr>
        <w:t>（</w:t>
      </w:r>
      <w:r>
        <w:rPr>
          <w:rFonts w:hint="eastAsia" w:ascii="楷体" w:hAnsi="楷体" w:eastAsia="楷体" w:cs="楷体"/>
          <w:b/>
          <w:bCs/>
          <w:color w:val="auto"/>
          <w:sz w:val="28"/>
          <w:szCs w:val="28"/>
          <w:lang w:val="en-US" w:eastAsia="zh-CN"/>
        </w:rPr>
        <w:t>2</w:t>
      </w:r>
      <w:r>
        <w:rPr>
          <w:rFonts w:hint="eastAsia" w:ascii="楷体" w:hAnsi="楷体" w:eastAsia="楷体" w:cs="楷体"/>
          <w:b/>
          <w:bCs/>
          <w:color w:val="auto"/>
          <w:sz w:val="28"/>
          <w:szCs w:val="28"/>
          <w:lang w:eastAsia="zh-CN"/>
        </w:rPr>
        <w:t>）</w:t>
      </w:r>
      <w:r>
        <w:rPr>
          <w:rFonts w:hint="eastAsia" w:ascii="楷体" w:hAnsi="楷体" w:eastAsia="楷体" w:cs="楷体"/>
          <w:b/>
          <w:bCs/>
          <w:color w:val="auto"/>
          <w:sz w:val="28"/>
          <w:szCs w:val="28"/>
        </w:rPr>
        <w:t>幼龄林测算方法采用重置成本法</w:t>
      </w:r>
    </w:p>
    <w:p>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重置成本法，按现在的技术标准和工价、物价水平，重新营造一片与被估算资产同样的林分所需的资金成本和资金的投资收入（利息）作为林木资产的评估值测算。</w:t>
      </w:r>
    </w:p>
    <w:p>
      <w:pPr>
        <w:spacing w:line="360" w:lineRule="auto"/>
        <w:jc w:val="center"/>
        <w:rPr>
          <w:rFonts w:hint="eastAsia" w:ascii="楷体" w:hAnsi="楷体" w:eastAsia="楷体" w:cs="楷体"/>
          <w:sz w:val="28"/>
          <w:szCs w:val="28"/>
        </w:rPr>
      </w:pPr>
      <w:r>
        <w:rPr>
          <w:rFonts w:hint="eastAsia" w:ascii="楷体" w:hAnsi="楷体" w:eastAsia="楷体" w:cs="楷体"/>
          <w:position w:val="-28"/>
          <w:sz w:val="28"/>
          <w:szCs w:val="28"/>
        </w:rPr>
        <w:object>
          <v:shape id="_x0000_i1025" o:spt="75" type="#_x0000_t75" style="height:46.05pt;width:204.25pt;" o:ole="t" filled="f" stroked="f" coordsize="21600,21600">
            <v:path/>
            <v:fill on="f" focussize="0,0"/>
            <v:stroke on="f"/>
            <v:imagedata r:id="rId15" o:title=""/>
            <o:lock v:ext="edit" aspectratio="t"/>
            <w10:wrap type="none"/>
            <w10:anchorlock/>
          </v:shape>
          <o:OLEObject Type="Embed" ProgID="Equation.DSMT4" ShapeID="_x0000_i1025" DrawAspect="Content" ObjectID="_1468075725" r:id="rId14">
            <o:LockedField>false</o:LockedField>
          </o:OLEObject>
        </w:object>
      </w:r>
    </w:p>
    <w:p>
      <w:pPr>
        <w:spacing w:line="360" w:lineRule="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式中：</w:t>
      </w:r>
    </w:p>
    <w:p>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object>
          <v:shape id="_x0000_i1026" o:spt="75" type="#_x0000_t75" style="height:17.6pt;width:15.05pt;" o:ole="t" filled="f" stroked="f" coordsize="21600,21600">
            <v:path/>
            <v:fill on="f" focussize="0,0"/>
            <v:stroke on="f"/>
            <v:imagedata r:id="rId17" o:title=""/>
            <o:lock v:ext="edit" aspectratio="t"/>
            <w10:wrap type="none"/>
            <w10:anchorlock/>
          </v:shape>
          <o:OLEObject Type="Embed" ProgID="Equation.DSMT4" ShapeID="_x0000_i1026" DrawAspect="Content" ObjectID="_1468075726" r:id="rId16">
            <o:LockedField>false</o:LockedField>
          </o:OLEObject>
        </w:object>
      </w:r>
      <w:r>
        <w:rPr>
          <w:rFonts w:hint="eastAsia" w:ascii="楷体" w:hAnsi="楷体" w:eastAsia="楷体" w:cs="楷体"/>
          <w:color w:val="auto"/>
          <w:sz w:val="28"/>
          <w:szCs w:val="28"/>
          <w:highlight w:val="none"/>
          <w:lang w:val="en-US" w:eastAsia="zh-CN"/>
        </w:rPr>
        <w:t>——林木评估值；</w:t>
      </w:r>
    </w:p>
    <w:p>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K——综合调整系数；</w:t>
      </w:r>
    </w:p>
    <w:p>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object>
          <v:shape id="_x0000_i1027" o:spt="75" type="#_x0000_t75" style="height:17.6pt;width:14.25pt;" o:ole="t" filled="f" stroked="f" coordsize="21600,21600">
            <v:path/>
            <v:fill on="f" focussize="0,0"/>
            <v:stroke on="f"/>
            <v:imagedata r:id="rId19" o:title=""/>
            <o:lock v:ext="edit" aspectratio="t"/>
            <w10:wrap type="none"/>
            <w10:anchorlock/>
          </v:shape>
          <o:OLEObject Type="Embed" ProgID="Equation.DSMT4" ShapeID="_x0000_i1027" DrawAspect="Content" ObjectID="_1468075727" r:id="rId18">
            <o:LockedField>false</o:LockedField>
          </o:OLEObject>
        </w:object>
      </w:r>
      <w:r>
        <w:rPr>
          <w:rFonts w:hint="eastAsia" w:ascii="楷体" w:hAnsi="楷体" w:eastAsia="楷体" w:cs="楷体"/>
          <w:color w:val="auto"/>
          <w:sz w:val="28"/>
          <w:szCs w:val="28"/>
          <w:highlight w:val="none"/>
          <w:lang w:val="en-US" w:eastAsia="zh-CN"/>
        </w:rPr>
        <w:t>——第i年以现时工价和生产水平为标准的营林生产成本（不含林地地租）；</w:t>
      </w:r>
    </w:p>
    <w:p>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n——估算对象现实林分年龄；</w:t>
      </w:r>
    </w:p>
    <w:p>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object>
          <v:shape id="_x0000_i1028" o:spt="75" type="#_x0000_t75" style="height:11.7pt;width:10.9pt;" o:ole="t" filled="f" stroked="f" coordsize="21600,21600">
            <v:path/>
            <v:fill on="f" focussize="0,0"/>
            <v:stroke on="f"/>
            <v:imagedata r:id="rId21" o:title=""/>
            <o:lock v:ext="edit" aspectratio="t"/>
            <w10:wrap type="none"/>
            <w10:anchorlock/>
          </v:shape>
          <o:OLEObject Type="Embed" ProgID="Equation.DSMT4" ShapeID="_x0000_i1028" DrawAspect="Content" ObjectID="_1468075728" r:id="rId20">
            <o:LockedField>false</o:LockedField>
          </o:OLEObject>
        </w:object>
      </w:r>
      <w:r>
        <w:rPr>
          <w:rFonts w:hint="eastAsia" w:ascii="楷体" w:hAnsi="楷体" w:eastAsia="楷体" w:cs="楷体"/>
          <w:color w:val="auto"/>
          <w:sz w:val="28"/>
          <w:szCs w:val="28"/>
          <w:highlight w:val="none"/>
          <w:lang w:val="en-US" w:eastAsia="zh-CN"/>
        </w:rPr>
        <w:t>——收益还原率。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现时工价和生产水平为标准的营林生产成本：包括营林生产成本、标准林分平均株数、林分平均树高，具体数据来源于实地走访得到；</w:t>
      </w:r>
    </w:p>
    <w:p>
      <w:pPr>
        <w:pStyle w:val="61"/>
        <w:spacing w:line="360" w:lineRule="auto"/>
        <w:ind w:left="420" w:leftChars="200" w:firstLine="0" w:firstLineChars="0"/>
        <w:rPr>
          <w:rFonts w:hint="eastAsia" w:ascii="楷体" w:hAnsi="楷体" w:eastAsia="楷体" w:cs="楷体"/>
          <w:b/>
          <w:color w:val="auto"/>
          <w:sz w:val="28"/>
          <w:highlight w:val="none"/>
        </w:rPr>
      </w:pPr>
      <w:r>
        <w:rPr>
          <w:rFonts w:hint="eastAsia" w:ascii="楷体" w:hAnsi="楷体" w:eastAsia="楷体" w:cs="楷体"/>
          <w:color w:val="auto"/>
          <w:sz w:val="28"/>
        </w:rPr>
        <w:t xml:space="preserve"> </w:t>
      </w: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 1 \* GB3 </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①</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确定营林生产成本</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各林木幼龄林的生产水平为标准的营林生产成本，可根据不同树种的幼龄林标准林分平均株数等确定营林生产成本，具体包括第一年造林和抚育成本和第二年至成材期成本。其中第一年造林和抚育成本包括苗木费、种植费、施肥成本、抚育成本和其他成本；第二年至幼龄林林分年龄成本主要为年抚育成本，且各年抚育成本差别不大，统一为一个值。数据来源于收集林业相关营林生产成本资料和实地走访填写调查表得到，根据收集资料及调查表整理。</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 2 \* GB3 </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②</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确定综合调整系数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由于采用总体评估方法对幼龄林价值进行估算，幼龄林实物量主要因子为平均值，因此不进行调整，即K取1；</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 3 \* GB3 </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③</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确定收益还原率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根据《全民所有自然资源资产清查技术指南》收益还原为4.79%；</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 4 \* GB3 </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④</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确定林分年龄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kern w:val="2"/>
          <w:sz w:val="28"/>
          <w:szCs w:val="28"/>
          <w:highlight w:val="none"/>
          <w:lang w:val="en-US" w:eastAsia="zh-CN" w:bidi="ar-SA"/>
        </w:rPr>
        <w:t>详见表 5-8</w:t>
      </w:r>
      <w:r>
        <w:rPr>
          <w:rFonts w:hint="eastAsia" w:ascii="楷体" w:hAnsi="楷体" w:eastAsia="楷体" w:cs="楷体"/>
          <w:color w:val="auto"/>
          <w:sz w:val="28"/>
          <w:szCs w:val="28"/>
          <w:highlight w:val="none"/>
          <w:lang w:val="en-US" w:eastAsia="zh-CN"/>
        </w:rPr>
        <w:t xml:space="preserve">。 </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 5 \* GB3 </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⑤</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确定种植密度</w:t>
      </w:r>
    </w:p>
    <w:p>
      <w:pPr>
        <w:pStyle w:val="61"/>
        <w:spacing w:line="360" w:lineRule="auto"/>
        <w:ind w:firstLine="562"/>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主要根据《主要树种龄级与龄组划分》（LY/T 2908—2017），《造林 技术规程》（GB/T 15776—2016）,《云南省森林资源规划设计调查操作细 则》（2013 年修订）以及相关林业标准进行确定。详见表 5-8。</w:t>
      </w:r>
    </w:p>
    <w:p>
      <w:pPr>
        <w:spacing w:line="360" w:lineRule="auto"/>
        <w:jc w:val="center"/>
        <w:rPr>
          <w:rFonts w:hint="eastAsia" w:ascii="楷体" w:hAnsi="楷体" w:eastAsia="楷体" w:cs="楷体"/>
          <w:color w:val="000000"/>
          <w:kern w:val="0"/>
          <w:sz w:val="24"/>
          <w:lang w:bidi="ar"/>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楷体" w:hAnsi="楷体" w:eastAsia="楷体" w:cs="楷体"/>
          <w:color w:val="auto"/>
          <w:sz w:val="28"/>
          <w:szCs w:val="28"/>
          <w:highlight w:val="none"/>
          <w:lang w:val="en-US" w:eastAsia="zh-CN"/>
        </w:rPr>
        <w:sectPr>
          <w:headerReference r:id="rId4" w:type="default"/>
          <w:footerReference r:id="rId5" w:type="default"/>
          <w:pgSz w:w="11850" w:h="16783"/>
          <w:pgMar w:top="1247" w:right="1417" w:bottom="1587" w:left="1417"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表 5-12 林木造林单位投资构成表</w:t>
      </w:r>
    </w:p>
    <w:tbl>
      <w:tblPr>
        <w:tblStyle w:val="45"/>
        <w:tblW w:w="553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2"/>
        <w:gridCol w:w="552"/>
        <w:gridCol w:w="624"/>
        <w:gridCol w:w="771"/>
        <w:gridCol w:w="660"/>
        <w:gridCol w:w="660"/>
        <w:gridCol w:w="720"/>
        <w:gridCol w:w="741"/>
        <w:gridCol w:w="804"/>
        <w:gridCol w:w="996"/>
        <w:gridCol w:w="708"/>
        <w:gridCol w:w="876"/>
        <w:gridCol w:w="768"/>
        <w:gridCol w:w="588"/>
        <w:gridCol w:w="780"/>
        <w:gridCol w:w="708"/>
        <w:gridCol w:w="1116"/>
        <w:gridCol w:w="828"/>
        <w:gridCol w:w="516"/>
        <w:gridCol w:w="948"/>
        <w:gridCol w:w="5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000" w:type="pct"/>
            <w:gridSpan w:val="21"/>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color w:val="000000"/>
                <w:kern w:val="0"/>
                <w:sz w:val="24"/>
                <w:szCs w:val="24"/>
                <w:u w:val="none"/>
                <w:lang w:val="en-US" w:eastAsia="zh-CN" w:bidi="ar"/>
              </w:rPr>
              <w:t>林木造林单位投资构成表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251" w:type="pct"/>
            <w:vMerge w:val="restart"/>
            <w:tcBorders>
              <w:top w:val="single" w:color="000000" w:sz="8" w:space="0"/>
              <w:left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林木名称</w:t>
            </w:r>
          </w:p>
        </w:tc>
        <w:tc>
          <w:tcPr>
            <w:tcW w:w="2299" w:type="pct"/>
            <w:gridSpan w:val="10"/>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第一年造林和抚育成本</w:t>
            </w:r>
          </w:p>
        </w:tc>
        <w:tc>
          <w:tcPr>
            <w:tcW w:w="2449" w:type="pct"/>
            <w:gridSpan w:val="10"/>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第二年至幼龄林林分年龄成本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51" w:type="pct"/>
            <w:vMerge w:val="continue"/>
            <w:tcBorders>
              <w:left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p>
        </w:tc>
        <w:tc>
          <w:tcPr>
            <w:tcW w:w="618"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材料费</w:t>
            </w:r>
          </w:p>
        </w:tc>
        <w:tc>
          <w:tcPr>
            <w:tcW w:w="1139" w:type="pct"/>
            <w:gridSpan w:val="5"/>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劳务费</w:t>
            </w:r>
          </w:p>
        </w:tc>
        <w:tc>
          <w:tcPr>
            <w:tcW w:w="541"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科技支撑费</w:t>
            </w:r>
          </w:p>
        </w:tc>
        <w:tc>
          <w:tcPr>
            <w:tcW w:w="709"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材料费</w:t>
            </w:r>
          </w:p>
        </w:tc>
        <w:tc>
          <w:tcPr>
            <w:tcW w:w="1254" w:type="pct"/>
            <w:gridSpan w:val="5"/>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劳务费</w:t>
            </w:r>
          </w:p>
        </w:tc>
        <w:tc>
          <w:tcPr>
            <w:tcW w:w="485"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科技支撑费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251" w:type="pct"/>
            <w:vMerge w:val="continue"/>
            <w:tcBorders>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p>
        </w:tc>
        <w:tc>
          <w:tcPr>
            <w:tcW w:w="1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种苗</w:t>
            </w:r>
          </w:p>
        </w:tc>
        <w:tc>
          <w:tcPr>
            <w:tcW w:w="1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肥料</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农药</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林地清理</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整地</w:t>
            </w:r>
          </w:p>
        </w:tc>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种植</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抚育施肥</w:t>
            </w:r>
          </w:p>
        </w:tc>
        <w:tc>
          <w:tcPr>
            <w:tcW w:w="25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管护</w:t>
            </w:r>
          </w:p>
        </w:tc>
        <w:tc>
          <w:tcPr>
            <w:tcW w:w="31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规划设计费</w:t>
            </w:r>
          </w:p>
        </w:tc>
        <w:tc>
          <w:tcPr>
            <w:tcW w:w="22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管理费用</w:t>
            </w:r>
          </w:p>
        </w:tc>
        <w:tc>
          <w:tcPr>
            <w:tcW w:w="2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种苗（补栽）</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肥料</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农药</w:t>
            </w:r>
          </w:p>
        </w:tc>
        <w:tc>
          <w:tcPr>
            <w:tcW w:w="2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林地清理</w:t>
            </w:r>
          </w:p>
        </w:tc>
        <w:tc>
          <w:tcPr>
            <w:tcW w:w="22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整地</w:t>
            </w:r>
          </w:p>
        </w:tc>
        <w:tc>
          <w:tcPr>
            <w:tcW w:w="3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种植（补植补种）</w:t>
            </w:r>
          </w:p>
        </w:tc>
        <w:tc>
          <w:tcPr>
            <w:tcW w:w="2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抚育施肥</w:t>
            </w:r>
          </w:p>
        </w:tc>
        <w:tc>
          <w:tcPr>
            <w:tcW w:w="1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管护</w:t>
            </w:r>
          </w:p>
        </w:tc>
        <w:tc>
          <w:tcPr>
            <w:tcW w:w="3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规划设计费</w:t>
            </w:r>
          </w:p>
        </w:tc>
        <w:tc>
          <w:tcPr>
            <w:tcW w:w="18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管理费用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5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桉树</w:t>
            </w:r>
          </w:p>
        </w:tc>
        <w:tc>
          <w:tcPr>
            <w:tcW w:w="55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1400</w:t>
            </w:r>
          </w:p>
        </w:tc>
        <w:tc>
          <w:tcPr>
            <w:tcW w:w="1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60</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50</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200</w:t>
            </w:r>
          </w:p>
        </w:tc>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100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25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w:t>
            </w:r>
          </w:p>
        </w:tc>
        <w:tc>
          <w:tcPr>
            <w:tcW w:w="31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16</w:t>
            </w:r>
          </w:p>
        </w:tc>
        <w:tc>
          <w:tcPr>
            <w:tcW w:w="22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12</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 </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60</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w:t>
            </w:r>
          </w:p>
        </w:tc>
        <w:tc>
          <w:tcPr>
            <w:tcW w:w="2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22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35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50</w:t>
            </w:r>
          </w:p>
        </w:tc>
        <w:tc>
          <w:tcPr>
            <w:tcW w:w="26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100</w:t>
            </w:r>
          </w:p>
        </w:tc>
        <w:tc>
          <w:tcPr>
            <w:tcW w:w="16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50</w:t>
            </w:r>
          </w:p>
        </w:tc>
        <w:tc>
          <w:tcPr>
            <w:tcW w:w="30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18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25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云南松林</w:t>
            </w:r>
          </w:p>
        </w:tc>
        <w:tc>
          <w:tcPr>
            <w:tcW w:w="55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2000</w:t>
            </w:r>
          </w:p>
        </w:tc>
        <w:tc>
          <w:tcPr>
            <w:tcW w:w="1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60</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50</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200</w:t>
            </w:r>
          </w:p>
        </w:tc>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100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25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31</w:t>
            </w:r>
          </w:p>
        </w:tc>
        <w:tc>
          <w:tcPr>
            <w:tcW w:w="31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16</w:t>
            </w:r>
          </w:p>
        </w:tc>
        <w:tc>
          <w:tcPr>
            <w:tcW w:w="22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12</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 </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60</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w:t>
            </w:r>
          </w:p>
        </w:tc>
        <w:tc>
          <w:tcPr>
            <w:tcW w:w="2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22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35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50</w:t>
            </w:r>
          </w:p>
        </w:tc>
        <w:tc>
          <w:tcPr>
            <w:tcW w:w="26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150</w:t>
            </w:r>
          </w:p>
        </w:tc>
        <w:tc>
          <w:tcPr>
            <w:tcW w:w="16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50</w:t>
            </w:r>
          </w:p>
        </w:tc>
        <w:tc>
          <w:tcPr>
            <w:tcW w:w="30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18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25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华山松林</w:t>
            </w:r>
          </w:p>
        </w:tc>
        <w:tc>
          <w:tcPr>
            <w:tcW w:w="55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1800</w:t>
            </w:r>
          </w:p>
        </w:tc>
        <w:tc>
          <w:tcPr>
            <w:tcW w:w="1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60</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50</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200</w:t>
            </w:r>
          </w:p>
        </w:tc>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100</w:t>
            </w:r>
          </w:p>
        </w:tc>
        <w:tc>
          <w:tcPr>
            <w:tcW w:w="2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25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31</w:t>
            </w:r>
          </w:p>
        </w:tc>
        <w:tc>
          <w:tcPr>
            <w:tcW w:w="31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16</w:t>
            </w:r>
          </w:p>
        </w:tc>
        <w:tc>
          <w:tcPr>
            <w:tcW w:w="22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12</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 </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60</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30</w:t>
            </w:r>
          </w:p>
        </w:tc>
        <w:tc>
          <w:tcPr>
            <w:tcW w:w="2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22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35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50</w:t>
            </w:r>
          </w:p>
        </w:tc>
        <w:tc>
          <w:tcPr>
            <w:tcW w:w="26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150</w:t>
            </w:r>
          </w:p>
        </w:tc>
        <w:tc>
          <w:tcPr>
            <w:tcW w:w="16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50</w:t>
            </w:r>
          </w:p>
        </w:tc>
        <w:tc>
          <w:tcPr>
            <w:tcW w:w="30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0</w:t>
            </w:r>
          </w:p>
        </w:tc>
        <w:tc>
          <w:tcPr>
            <w:tcW w:w="18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12</w:t>
            </w:r>
          </w:p>
        </w:tc>
      </w:tr>
    </w:tbl>
    <w:p>
      <w:pPr>
        <w:pStyle w:val="61"/>
        <w:spacing w:line="360" w:lineRule="auto"/>
        <w:ind w:firstLine="562"/>
        <w:rPr>
          <w:rFonts w:hint="eastAsia" w:ascii="楷体" w:hAnsi="楷体" w:eastAsia="楷体" w:cs="楷体"/>
          <w:color w:val="auto"/>
          <w:kern w:val="2"/>
          <w:sz w:val="28"/>
          <w:szCs w:val="28"/>
          <w:highlight w:val="none"/>
          <w:lang w:val="en-US" w:eastAsia="zh-CN" w:bidi="ar-SA"/>
        </w:rPr>
      </w:pPr>
    </w:p>
    <w:p>
      <w:pPr>
        <w:pStyle w:val="61"/>
        <w:spacing w:line="360" w:lineRule="auto"/>
        <w:ind w:firstLine="562"/>
        <w:rPr>
          <w:rFonts w:hint="eastAsia" w:ascii="楷体" w:hAnsi="楷体" w:eastAsia="楷体" w:cs="楷体"/>
          <w:color w:val="auto"/>
          <w:kern w:val="2"/>
          <w:sz w:val="28"/>
          <w:szCs w:val="28"/>
          <w:highlight w:val="none"/>
          <w:lang w:val="en-US" w:eastAsia="zh-CN" w:bidi="ar-SA"/>
        </w:rPr>
      </w:pPr>
    </w:p>
    <w:p>
      <w:pPr>
        <w:pStyle w:val="61"/>
        <w:spacing w:line="360" w:lineRule="auto"/>
        <w:ind w:firstLine="562"/>
        <w:rPr>
          <w:rFonts w:hint="eastAsia" w:ascii="楷体" w:hAnsi="楷体" w:eastAsia="楷体" w:cs="楷体"/>
          <w:color w:val="auto"/>
          <w:kern w:val="2"/>
          <w:sz w:val="28"/>
          <w:szCs w:val="28"/>
          <w:highlight w:val="none"/>
          <w:lang w:val="en-US" w:eastAsia="zh-CN" w:bidi="ar-SA"/>
        </w:rPr>
      </w:pPr>
    </w:p>
    <w:p>
      <w:pPr>
        <w:pStyle w:val="61"/>
        <w:spacing w:line="360" w:lineRule="auto"/>
        <w:ind w:left="0" w:leftChars="0" w:firstLine="0" w:firstLineChars="0"/>
        <w:rPr>
          <w:rFonts w:hint="eastAsia" w:ascii="楷体" w:hAnsi="楷体" w:eastAsia="楷体" w:cs="楷体"/>
          <w:color w:val="auto"/>
          <w:kern w:val="2"/>
          <w:sz w:val="28"/>
          <w:szCs w:val="28"/>
          <w:highlight w:val="none"/>
          <w:lang w:val="en-US" w:eastAsia="zh-CN" w:bidi="ar-SA"/>
        </w:rPr>
        <w:sectPr>
          <w:pgSz w:w="16838" w:h="11905" w:orient="landscape"/>
          <w:pgMar w:top="1247" w:right="1417" w:bottom="1587" w:left="1417" w:header="851" w:footer="992" w:gutter="0"/>
          <w:cols w:space="720" w:num="1"/>
          <w:rtlGutter w:val="0"/>
          <w:docGrid w:type="lines" w:linePitch="312" w:charSpace="0"/>
        </w:sectPr>
      </w:pPr>
    </w:p>
    <w:p>
      <w:pPr>
        <w:pStyle w:val="61"/>
        <w:spacing w:line="360" w:lineRule="auto"/>
        <w:ind w:left="0" w:leftChars="0" w:firstLine="281" w:firstLineChars="100"/>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6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⑥</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幼龄林补偿标准测算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 xml:space="preserve">将上述确定的各林木幼龄林的营林生产成本、综合调整系数、收益还 原率、林分年龄带入重置成本法公式，得到各林木幼龄林补偿标准，详见表 5-13。 </w:t>
      </w:r>
    </w:p>
    <w:p>
      <w:pPr>
        <w:pStyle w:val="61"/>
        <w:spacing w:line="360" w:lineRule="auto"/>
        <w:ind w:left="0" w:leftChars="0" w:firstLine="281" w:firstLineChars="100"/>
        <w:rPr>
          <w:rFonts w:hint="eastAsia" w:ascii="楷体" w:hAnsi="楷体" w:eastAsia="楷体" w:cs="楷体"/>
          <w:b/>
          <w:color w:val="auto"/>
          <w:sz w:val="28"/>
          <w:highlight w:val="none"/>
        </w:rPr>
      </w:pPr>
      <w:r>
        <w:rPr>
          <w:rFonts w:hint="eastAsia" w:ascii="楷体" w:hAnsi="楷体" w:eastAsia="楷体" w:cs="楷体"/>
          <w:b/>
          <w:bCs/>
          <w:color w:val="000000"/>
          <w:kern w:val="0"/>
          <w:sz w:val="28"/>
          <w:szCs w:val="28"/>
          <w:lang w:bidi="ar"/>
        </w:rPr>
        <w:t>以</w:t>
      </w:r>
      <w:r>
        <w:rPr>
          <w:rFonts w:hint="eastAsia" w:ascii="楷体" w:hAnsi="楷体" w:eastAsia="楷体" w:cs="楷体"/>
          <w:b/>
          <w:bCs/>
          <w:color w:val="000000"/>
          <w:kern w:val="0"/>
          <w:sz w:val="28"/>
          <w:szCs w:val="28"/>
          <w:lang w:val="en-US" w:eastAsia="zh-CN" w:bidi="ar"/>
        </w:rPr>
        <w:t>桉树</w:t>
      </w:r>
      <w:r>
        <w:rPr>
          <w:rFonts w:hint="eastAsia" w:ascii="楷体" w:hAnsi="楷体" w:eastAsia="楷体" w:cs="楷体"/>
          <w:b/>
          <w:bCs/>
          <w:color w:val="000000"/>
          <w:kern w:val="0"/>
          <w:sz w:val="28"/>
          <w:szCs w:val="28"/>
          <w:lang w:bidi="ar"/>
        </w:rPr>
        <w:t>为例，具体测算过程如下：</w:t>
      </w:r>
    </w:p>
    <w:p>
      <w:pPr>
        <w:widowControl/>
        <w:spacing w:line="360" w:lineRule="auto"/>
        <w:ind w:firstLine="560" w:firstLineChars="200"/>
        <w:jc w:val="left"/>
        <w:rPr>
          <w:rFonts w:hint="eastAsia" w:ascii="楷体" w:hAnsi="楷体" w:eastAsia="楷体" w:cs="楷体"/>
          <w:color w:val="000000"/>
          <w:kern w:val="0"/>
          <w:sz w:val="28"/>
          <w:szCs w:val="28"/>
          <w:lang w:bidi="ar"/>
        </w:rPr>
      </w:pPr>
      <w:r>
        <w:rPr>
          <w:rFonts w:hint="eastAsia" w:ascii="楷体" w:hAnsi="楷体" w:eastAsia="楷体" w:cs="楷体"/>
          <w:color w:val="000000"/>
          <w:kern w:val="0"/>
          <w:sz w:val="28"/>
          <w:szCs w:val="28"/>
          <w:lang w:val="en-US" w:eastAsia="zh-CN" w:bidi="ar"/>
        </w:rPr>
        <w:t>桉树</w:t>
      </w:r>
      <w:r>
        <w:rPr>
          <w:rFonts w:hint="eastAsia" w:ascii="楷体" w:hAnsi="楷体" w:eastAsia="楷体" w:cs="楷体"/>
          <w:color w:val="000000"/>
          <w:kern w:val="0"/>
          <w:sz w:val="28"/>
          <w:szCs w:val="28"/>
          <w:lang w:bidi="ar"/>
        </w:rPr>
        <w:t xml:space="preserve">的第 1 年生产成本为 </w:t>
      </w:r>
      <w:r>
        <w:rPr>
          <w:rFonts w:hint="eastAsia" w:ascii="楷体" w:hAnsi="楷体" w:eastAsia="楷体" w:cs="楷体"/>
          <w:color w:val="000000"/>
          <w:kern w:val="0"/>
          <w:sz w:val="28"/>
          <w:szCs w:val="28"/>
          <w:lang w:val="en-US" w:eastAsia="zh-CN" w:bidi="ar"/>
        </w:rPr>
        <w:t>1898</w:t>
      </w:r>
      <w:r>
        <w:rPr>
          <w:rFonts w:hint="eastAsia" w:ascii="楷体" w:hAnsi="楷体" w:eastAsia="楷体" w:cs="楷体"/>
          <w:color w:val="000000"/>
          <w:kern w:val="0"/>
          <w:sz w:val="28"/>
          <w:szCs w:val="28"/>
          <w:lang w:bidi="ar"/>
        </w:rPr>
        <w:t>元/亩，第 2-</w:t>
      </w:r>
      <w:r>
        <w:rPr>
          <w:rFonts w:hint="eastAsia" w:ascii="楷体" w:hAnsi="楷体" w:eastAsia="楷体" w:cs="楷体"/>
          <w:color w:val="000000"/>
          <w:kern w:val="0"/>
          <w:sz w:val="28"/>
          <w:szCs w:val="28"/>
          <w:lang w:val="en-US" w:eastAsia="zh-CN" w:bidi="ar"/>
        </w:rPr>
        <w:t>8</w:t>
      </w:r>
      <w:r>
        <w:rPr>
          <w:rFonts w:hint="eastAsia" w:ascii="楷体" w:hAnsi="楷体" w:eastAsia="楷体" w:cs="楷体"/>
          <w:color w:val="000000"/>
          <w:kern w:val="0"/>
          <w:sz w:val="28"/>
          <w:szCs w:val="28"/>
          <w:lang w:bidi="ar"/>
        </w:rPr>
        <w:t>年每年生产成本均为</w:t>
      </w:r>
      <w:r>
        <w:rPr>
          <w:rFonts w:hint="eastAsia" w:ascii="楷体" w:hAnsi="楷体" w:eastAsia="楷体" w:cs="楷体"/>
          <w:color w:val="000000"/>
          <w:kern w:val="0"/>
          <w:sz w:val="28"/>
          <w:szCs w:val="28"/>
          <w:lang w:val="en-US" w:eastAsia="zh-CN" w:bidi="ar"/>
        </w:rPr>
        <w:t>442</w:t>
      </w:r>
      <w:r>
        <w:rPr>
          <w:rFonts w:hint="eastAsia" w:ascii="楷体" w:hAnsi="楷体" w:eastAsia="楷体" w:cs="楷体"/>
          <w:color w:val="000000"/>
          <w:kern w:val="0"/>
          <w:sz w:val="28"/>
          <w:szCs w:val="28"/>
          <w:lang w:bidi="ar"/>
        </w:rPr>
        <w:t>元/亩，林分年龄</w:t>
      </w:r>
      <w:r>
        <w:rPr>
          <w:rFonts w:hint="eastAsia" w:ascii="楷体" w:hAnsi="楷体" w:eastAsia="楷体" w:cs="楷体"/>
          <w:color w:val="000000"/>
          <w:kern w:val="0"/>
          <w:sz w:val="28"/>
          <w:szCs w:val="28"/>
          <w:lang w:val="en-US" w:eastAsia="zh-CN" w:bidi="ar"/>
        </w:rPr>
        <w:t>8</w:t>
      </w:r>
      <w:r>
        <w:rPr>
          <w:rFonts w:hint="eastAsia" w:ascii="楷体" w:hAnsi="楷体" w:eastAsia="楷体" w:cs="楷体"/>
          <w:color w:val="000000"/>
          <w:kern w:val="0"/>
          <w:sz w:val="28"/>
          <w:szCs w:val="28"/>
          <w:lang w:bidi="ar"/>
        </w:rPr>
        <w:t>、收益还原率为 4</w:t>
      </w:r>
      <w:r>
        <w:rPr>
          <w:rFonts w:hint="eastAsia" w:ascii="楷体" w:hAnsi="楷体" w:eastAsia="楷体" w:cs="楷体"/>
          <w:color w:val="000000"/>
          <w:kern w:val="0"/>
          <w:sz w:val="28"/>
          <w:szCs w:val="28"/>
          <w:lang w:val="en-US" w:eastAsia="zh-CN" w:bidi="ar"/>
        </w:rPr>
        <w:t>.79</w:t>
      </w:r>
      <w:r>
        <w:rPr>
          <w:rFonts w:hint="eastAsia" w:ascii="楷体" w:hAnsi="楷体" w:eastAsia="楷体" w:cs="楷体"/>
          <w:color w:val="000000"/>
          <w:kern w:val="0"/>
          <w:sz w:val="28"/>
          <w:szCs w:val="28"/>
          <w:lang w:bidi="ar"/>
        </w:rPr>
        <w:t>%，代入公式得到云南松幼龄林的补偿标准为</w:t>
      </w:r>
      <w:r>
        <w:rPr>
          <w:rFonts w:hint="eastAsia" w:ascii="楷体" w:hAnsi="楷体" w:eastAsia="楷体" w:cs="楷体"/>
          <w:color w:val="000000"/>
          <w:kern w:val="0"/>
          <w:sz w:val="28"/>
          <w:szCs w:val="28"/>
          <w:lang w:val="en-US" w:eastAsia="zh-CN" w:bidi="ar"/>
        </w:rPr>
        <w:t>6228</w:t>
      </w:r>
      <w:r>
        <w:rPr>
          <w:rFonts w:hint="eastAsia" w:ascii="楷体" w:hAnsi="楷体" w:eastAsia="楷体" w:cs="楷体"/>
          <w:color w:val="000000"/>
          <w:kern w:val="0"/>
          <w:sz w:val="28"/>
          <w:szCs w:val="28"/>
          <w:lang w:bidi="ar"/>
        </w:rPr>
        <w:t xml:space="preserve">元/亩云南松平均种植密度为 </w:t>
      </w:r>
      <w:r>
        <w:rPr>
          <w:rFonts w:hint="eastAsia" w:ascii="楷体" w:hAnsi="楷体" w:eastAsia="楷体" w:cs="楷体"/>
          <w:color w:val="000000"/>
          <w:kern w:val="0"/>
          <w:sz w:val="28"/>
          <w:szCs w:val="28"/>
          <w:lang w:val="en-US" w:eastAsia="zh-CN" w:bidi="ar"/>
        </w:rPr>
        <w:t>140</w:t>
      </w:r>
      <w:r>
        <w:rPr>
          <w:rFonts w:hint="eastAsia" w:ascii="楷体" w:hAnsi="楷体" w:eastAsia="楷体" w:cs="楷体"/>
          <w:color w:val="000000"/>
          <w:kern w:val="0"/>
          <w:sz w:val="28"/>
          <w:szCs w:val="28"/>
          <w:lang w:bidi="ar"/>
        </w:rPr>
        <w:t>株/亩，云南松幼龄林按株数补偿标准=</w:t>
      </w:r>
      <w:r>
        <w:rPr>
          <w:rFonts w:hint="eastAsia" w:ascii="楷体" w:hAnsi="楷体" w:eastAsia="楷体" w:cs="楷体"/>
          <w:color w:val="000000"/>
          <w:kern w:val="0"/>
          <w:sz w:val="28"/>
          <w:szCs w:val="28"/>
          <w:lang w:val="en-US" w:eastAsia="zh-CN" w:bidi="ar"/>
        </w:rPr>
        <w:t>6228</w:t>
      </w:r>
      <w:r>
        <w:rPr>
          <w:rFonts w:hint="eastAsia" w:ascii="楷体" w:hAnsi="楷体" w:eastAsia="楷体" w:cs="楷体"/>
          <w:color w:val="000000"/>
          <w:kern w:val="0"/>
          <w:sz w:val="28"/>
          <w:szCs w:val="28"/>
          <w:lang w:bidi="ar"/>
        </w:rPr>
        <w:t>/</w:t>
      </w:r>
      <w:r>
        <w:rPr>
          <w:rFonts w:hint="eastAsia" w:ascii="楷体" w:hAnsi="楷体" w:eastAsia="楷体" w:cs="楷体"/>
          <w:color w:val="000000"/>
          <w:kern w:val="0"/>
          <w:sz w:val="28"/>
          <w:szCs w:val="28"/>
          <w:lang w:val="en-US" w:eastAsia="zh-CN" w:bidi="ar"/>
        </w:rPr>
        <w:t>140</w:t>
      </w:r>
      <w:r>
        <w:rPr>
          <w:rFonts w:hint="eastAsia" w:ascii="楷体" w:hAnsi="楷体" w:eastAsia="楷体" w:cs="楷体"/>
          <w:color w:val="000000"/>
          <w:kern w:val="0"/>
          <w:sz w:val="28"/>
          <w:szCs w:val="28"/>
          <w:lang w:bidi="ar"/>
        </w:rPr>
        <w:t>=</w:t>
      </w:r>
      <w:r>
        <w:rPr>
          <w:rFonts w:hint="eastAsia" w:ascii="楷体" w:hAnsi="楷体" w:eastAsia="楷体" w:cs="楷体"/>
          <w:color w:val="000000"/>
          <w:kern w:val="0"/>
          <w:sz w:val="28"/>
          <w:szCs w:val="28"/>
          <w:lang w:val="en-US" w:eastAsia="zh-CN" w:bidi="ar"/>
        </w:rPr>
        <w:t>44</w:t>
      </w:r>
      <w:r>
        <w:rPr>
          <w:rFonts w:hint="eastAsia" w:ascii="楷体" w:hAnsi="楷体" w:eastAsia="楷体" w:cs="楷体"/>
          <w:color w:val="000000"/>
          <w:kern w:val="0"/>
          <w:sz w:val="28"/>
          <w:szCs w:val="28"/>
          <w:lang w:bidi="ar"/>
        </w:rPr>
        <w:t xml:space="preserve"> 元/株。</w:t>
      </w:r>
    </w:p>
    <w:p>
      <w:pPr>
        <w:widowControl w:val="0"/>
        <w:spacing w:line="360" w:lineRule="auto"/>
        <w:ind w:firstLine="560" w:firstLineChars="200"/>
        <w:jc w:val="center"/>
        <w:rPr>
          <w:rFonts w:hint="eastAsia" w:ascii="楷体" w:hAnsi="楷体" w:eastAsia="楷体" w:cs="楷体"/>
          <w:color w:val="000000"/>
          <w:sz w:val="28"/>
          <w:szCs w:val="28"/>
          <w:lang w:val="en-US" w:eastAsia="zh-CN"/>
        </w:rPr>
      </w:pPr>
      <w:r>
        <w:rPr>
          <w:rFonts w:hint="eastAsia" w:ascii="楷体" w:hAnsi="楷体" w:eastAsia="楷体" w:cs="楷体"/>
          <w:color w:val="000000"/>
          <w:sz w:val="28"/>
          <w:szCs w:val="28"/>
          <w:lang w:val="en-US" w:eastAsia="zh-CN"/>
        </w:rPr>
        <w:t>表 5-13 幼龄林测算结果表</w:t>
      </w:r>
    </w:p>
    <w:tbl>
      <w:tblPr>
        <w:tblStyle w:val="45"/>
        <w:tblW w:w="10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560"/>
        <w:gridCol w:w="1716"/>
        <w:gridCol w:w="2004"/>
        <w:gridCol w:w="944"/>
        <w:gridCol w:w="1024"/>
        <w:gridCol w:w="1160"/>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505" w:type="dxa"/>
            <w:gridSpan w:val="8"/>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bCs/>
                <w:i w:val="0"/>
                <w:iCs w:val="0"/>
                <w:color w:val="000000"/>
                <w:sz w:val="22"/>
                <w:szCs w:val="22"/>
                <w:u w:val="none"/>
              </w:rPr>
            </w:pPr>
            <w:r>
              <w:rPr>
                <w:rFonts w:hint="eastAsia" w:ascii="楷体" w:hAnsi="楷体" w:eastAsia="楷体" w:cs="楷体"/>
                <w:b/>
                <w:bCs/>
                <w:i w:val="0"/>
                <w:iCs w:val="0"/>
                <w:color w:val="000000"/>
                <w:kern w:val="0"/>
                <w:sz w:val="22"/>
                <w:szCs w:val="22"/>
                <w:u w:val="none"/>
                <w:lang w:val="en-US" w:eastAsia="zh-CN" w:bidi="ar"/>
              </w:rPr>
              <w:t>幼龄林测算结果表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86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林木名称</w:t>
            </w:r>
          </w:p>
        </w:tc>
        <w:tc>
          <w:tcPr>
            <w:tcW w:w="156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综合调整系数（K）</w:t>
            </w:r>
          </w:p>
        </w:tc>
        <w:tc>
          <w:tcPr>
            <w:tcW w:w="171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第1年生产成本（Ci）</w:t>
            </w:r>
          </w:p>
        </w:tc>
        <w:tc>
          <w:tcPr>
            <w:tcW w:w="200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第2~n年生产成本（成本一样）</w:t>
            </w:r>
          </w:p>
        </w:tc>
        <w:tc>
          <w:tcPr>
            <w:tcW w:w="94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林分年龄（n）</w:t>
            </w:r>
          </w:p>
        </w:tc>
        <w:tc>
          <w:tcPr>
            <w:tcW w:w="102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收益还原率（p）</w:t>
            </w:r>
          </w:p>
        </w:tc>
        <w:tc>
          <w:tcPr>
            <w:tcW w:w="116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补偿标准（元/亩）</w:t>
            </w:r>
          </w:p>
        </w:tc>
        <w:tc>
          <w:tcPr>
            <w:tcW w:w="123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补偿标准（元/株）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6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桉树</w:t>
            </w:r>
          </w:p>
        </w:tc>
        <w:tc>
          <w:tcPr>
            <w:tcW w:w="156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1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1898</w:t>
            </w:r>
          </w:p>
        </w:tc>
        <w:tc>
          <w:tcPr>
            <w:tcW w:w="200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442.0</w:t>
            </w:r>
          </w:p>
        </w:tc>
        <w:tc>
          <w:tcPr>
            <w:tcW w:w="94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02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4.79%</w:t>
            </w:r>
          </w:p>
        </w:tc>
        <w:tc>
          <w:tcPr>
            <w:tcW w:w="116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6228</w:t>
            </w:r>
          </w:p>
        </w:tc>
        <w:tc>
          <w:tcPr>
            <w:tcW w:w="12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云南松林</w:t>
            </w:r>
          </w:p>
        </w:tc>
        <w:tc>
          <w:tcPr>
            <w:tcW w:w="156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1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2499</w:t>
            </w:r>
          </w:p>
        </w:tc>
        <w:tc>
          <w:tcPr>
            <w:tcW w:w="200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552.0</w:t>
            </w:r>
          </w:p>
        </w:tc>
        <w:tc>
          <w:tcPr>
            <w:tcW w:w="94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02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4.79%</w:t>
            </w:r>
          </w:p>
        </w:tc>
        <w:tc>
          <w:tcPr>
            <w:tcW w:w="116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7954</w:t>
            </w:r>
          </w:p>
        </w:tc>
        <w:tc>
          <w:tcPr>
            <w:tcW w:w="12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华山松林</w:t>
            </w:r>
          </w:p>
        </w:tc>
        <w:tc>
          <w:tcPr>
            <w:tcW w:w="156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1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2299</w:t>
            </w:r>
          </w:p>
        </w:tc>
        <w:tc>
          <w:tcPr>
            <w:tcW w:w="200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532.0</w:t>
            </w:r>
          </w:p>
        </w:tc>
        <w:tc>
          <w:tcPr>
            <w:tcW w:w="94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02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4.79%</w:t>
            </w:r>
          </w:p>
        </w:tc>
        <w:tc>
          <w:tcPr>
            <w:tcW w:w="116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7516</w:t>
            </w:r>
          </w:p>
        </w:tc>
        <w:tc>
          <w:tcPr>
            <w:tcW w:w="12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42</w:t>
            </w:r>
          </w:p>
        </w:tc>
      </w:tr>
    </w:tbl>
    <w:p>
      <w:pPr>
        <w:pStyle w:val="2"/>
        <w:spacing w:line="360" w:lineRule="auto"/>
        <w:outlineLvl w:val="9"/>
        <w:rPr>
          <w:rFonts w:hint="eastAsia" w:ascii="楷体" w:hAnsi="楷体" w:eastAsia="楷体" w:cs="楷体"/>
          <w:lang w:val="en-US" w:eastAsia="zh-CN"/>
        </w:rPr>
      </w:pPr>
    </w:p>
    <w:p>
      <w:pPr>
        <w:pStyle w:val="61"/>
        <w:spacing w:line="360" w:lineRule="auto"/>
        <w:ind w:firstLine="560"/>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（3）中龄林（近熟林）测算方法采用收获现值法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收获现值法是将被评估林木资产稳定的周期收益作为资本投资的收益，再按适当的投资收益率求出资产的价值。计算公式为：</w:t>
      </w:r>
    </w:p>
    <w:p>
      <w:pPr>
        <w:spacing w:line="360" w:lineRule="auto"/>
        <w:jc w:val="center"/>
        <w:rPr>
          <w:rFonts w:hint="eastAsia" w:ascii="楷体" w:hAnsi="楷体" w:eastAsia="楷体" w:cs="楷体"/>
          <w:b/>
          <w:sz w:val="28"/>
          <w:szCs w:val="28"/>
        </w:rPr>
      </w:pPr>
      <w:r>
        <w:rPr>
          <w:rFonts w:hint="eastAsia" w:ascii="楷体" w:hAnsi="楷体" w:eastAsia="楷体" w:cs="楷体"/>
          <w:position w:val="-28"/>
          <w:sz w:val="28"/>
          <w:szCs w:val="28"/>
        </w:rPr>
        <w:object>
          <v:shape id="_x0000_i1029" o:spt="75" type="#_x0000_t75" style="height:39.35pt;width:196.75pt;" o:ole="t" filled="f"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式中：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E——林木样点评估值；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object>
          <v:shape id="_x0000_i1030" o:spt="75" type="#_x0000_t75" style="height:11.7pt;width:17.6pt;" o:ole="t" filled="f" stroked="f" coordsize="21600,21600">
            <v:path/>
            <v:fill on="f" focussize="0,0"/>
            <v:stroke on="f"/>
            <v:imagedata r:id="rId25" o:title=""/>
            <o:lock v:ext="edit" aspectratio="t"/>
            <w10:wrap type="none"/>
            <w10:anchorlock/>
          </v:shape>
          <o:OLEObject Type="Embed" ProgID="Equation.DSMT4" ShapeID="_x0000_i1030" DrawAspect="Content" ObjectID="_1468075730" r:id="rId24">
            <o:LockedField>false</o:LockedField>
          </o:OLEObject>
        </w:object>
      </w:r>
      <w:r>
        <w:rPr>
          <w:rFonts w:hint="eastAsia" w:ascii="楷体" w:hAnsi="楷体" w:eastAsia="楷体" w:cs="楷体"/>
          <w:color w:val="auto"/>
          <w:sz w:val="28"/>
          <w:szCs w:val="28"/>
          <w:highlight w:val="none"/>
          <w:lang w:val="en-US" w:eastAsia="zh-CN"/>
        </w:rPr>
        <w:t>——林分主伐时的净收益；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u——用材林主伐年龄；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n——估算对象现实林分年龄；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V——年管护费；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object>
          <v:shape id="_x0000_i1031" o:spt="75" type="#_x0000_t75" style="height:11.7pt;width:10.9pt;" o:ole="t" filled="f" stroked="f" coordsize="21600,21600">
            <v:path/>
            <v:fill on="f" focussize="0,0"/>
            <v:stroke on="f"/>
            <v:imagedata r:id="rId27" o:title=""/>
            <o:lock v:ext="edit" aspectratio="t"/>
            <w10:wrap type="none"/>
            <w10:anchorlock/>
          </v:shape>
          <o:OLEObject Type="Embed" ProgID="Equation.DSMT4" ShapeID="_x0000_i1031" DrawAspect="Content" ObjectID="_1468075731" r:id="rId26">
            <o:LockedField>false</o:LockedField>
          </o:OLEObject>
        </w:object>
      </w:r>
      <w:r>
        <w:rPr>
          <w:rFonts w:hint="eastAsia" w:ascii="楷体" w:hAnsi="楷体" w:eastAsia="楷体" w:cs="楷体"/>
          <w:color w:val="auto"/>
          <w:sz w:val="28"/>
          <w:szCs w:val="28"/>
          <w:highlight w:val="none"/>
          <w:lang w:val="en-US" w:eastAsia="zh-CN"/>
        </w:rPr>
        <w:t>——收益还原率。</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 1 \* GB3 </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①</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定收益还原率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根据《全民所有自然资源资产清查技术指南》收益还原为4.79%；</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t>②确定主伐年龄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 xml:space="preserve">详见表 5-11。 </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3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③</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确定林分年龄</w:t>
      </w:r>
    </w:p>
    <w:p>
      <w:pPr>
        <w:pStyle w:val="61"/>
        <w:spacing w:line="360" w:lineRule="auto"/>
        <w:ind w:firstLine="562"/>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详见表 5-11。 </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4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④</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确定年管护费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中龄林（近熟林）各林木的年管护费根据资料收集整理和外业调查获取确定。</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5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⑤</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确定林分主伐时的净收益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 xml:space="preserve">木材销售总收入通过收集整理林业相关资料和实地填写调查表确定各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 xml:space="preserve">林木木材市场价格、单产，木材销售总收入=单价 x 单产，各林木中龄林（近熟林）木材销售总收入详见表 5-14。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 xml:space="preserve">木材生产成本主要包括苗木费、种植费、施肥成本、抚育成本和采伐、 设计、造材、集材和运输等其他成本）、木材生产经营成本=苗木费+种植费+施肥成本+其他成本，各林木中龄林（近熟林）成本费用通过收集整理林业相关资料和实地填写调查表确定，详见表 5-15。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 xml:space="preserve">确定木材生产经营利润和林业经营生产税费：利润指林产品销售行业 的平均利润，利润率具体标准根据盘龙区实际情况确定；税费主要指林产 品销售过程中应支付的相关税费，具体取费标准按国家和当地有关规定确 定。各林木中龄林（近熟林）木材生产经营利润、林业经营生产税费详见表 5-14。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林地地租、年管护费、其他不可预见费，具体数据通过资料收集整理和外业调查获取确定。各林木中龄林（近熟林）林地地租、年管护费、其他不可预见费详见表 5-14。</w:t>
      </w:r>
    </w:p>
    <w:p>
      <w:pPr>
        <w:widowControl/>
        <w:spacing w:line="360" w:lineRule="auto"/>
        <w:jc w:val="left"/>
        <w:rPr>
          <w:rFonts w:hint="eastAsia" w:ascii="楷体" w:hAnsi="楷体" w:eastAsia="楷体" w:cs="楷体"/>
          <w:color w:val="000000"/>
          <w:kern w:val="0"/>
          <w:sz w:val="28"/>
          <w:szCs w:val="28"/>
          <w:lang w:bidi="ar"/>
        </w:rPr>
      </w:pPr>
      <w:r>
        <w:rPr>
          <w:rFonts w:hint="eastAsia" w:ascii="楷体" w:hAnsi="楷体" w:eastAsia="楷体" w:cs="楷体"/>
          <w:color w:val="000000"/>
          <w:kern w:val="0"/>
          <w:sz w:val="28"/>
          <w:szCs w:val="28"/>
          <w:lang w:bidi="ar"/>
        </w:rPr>
        <w:t xml:space="preserve"> </w:t>
      </w:r>
    </w:p>
    <w:p>
      <w:pPr>
        <w:pStyle w:val="2"/>
        <w:spacing w:line="360" w:lineRule="auto"/>
        <w:outlineLvl w:val="9"/>
        <w:rPr>
          <w:rFonts w:hint="eastAsia" w:ascii="楷体" w:hAnsi="楷体" w:eastAsia="楷体" w:cs="楷体"/>
          <w:color w:val="000000"/>
          <w:kern w:val="0"/>
          <w:sz w:val="28"/>
          <w:szCs w:val="28"/>
          <w:lang w:bidi="ar"/>
        </w:rPr>
      </w:pPr>
    </w:p>
    <w:p>
      <w:pPr>
        <w:spacing w:line="360" w:lineRule="auto"/>
        <w:rPr>
          <w:rFonts w:hint="eastAsia" w:ascii="楷体" w:hAnsi="楷体" w:eastAsia="楷体" w:cs="楷体"/>
          <w:color w:val="000000"/>
          <w:kern w:val="0"/>
          <w:sz w:val="28"/>
          <w:szCs w:val="28"/>
          <w:lang w:bidi="ar"/>
        </w:rPr>
      </w:pPr>
    </w:p>
    <w:p>
      <w:pPr>
        <w:pStyle w:val="2"/>
        <w:spacing w:line="360" w:lineRule="auto"/>
        <w:outlineLvl w:val="9"/>
        <w:rPr>
          <w:rFonts w:hint="eastAsia" w:ascii="楷体" w:hAnsi="楷体" w:eastAsia="楷体" w:cs="楷体"/>
          <w:color w:val="000000"/>
          <w:kern w:val="0"/>
          <w:sz w:val="28"/>
          <w:szCs w:val="28"/>
          <w:lang w:bidi="ar"/>
        </w:rPr>
      </w:pPr>
    </w:p>
    <w:p>
      <w:pPr>
        <w:spacing w:line="360" w:lineRule="auto"/>
        <w:rPr>
          <w:rFonts w:hint="eastAsia" w:ascii="楷体" w:hAnsi="楷体" w:eastAsia="楷体" w:cs="楷体"/>
          <w:color w:val="000000"/>
          <w:kern w:val="0"/>
          <w:sz w:val="28"/>
          <w:szCs w:val="28"/>
          <w:lang w:bidi="ar"/>
        </w:rPr>
      </w:pPr>
    </w:p>
    <w:p>
      <w:pPr>
        <w:pStyle w:val="2"/>
        <w:spacing w:line="360" w:lineRule="auto"/>
        <w:outlineLvl w:val="9"/>
        <w:rPr>
          <w:rFonts w:hint="eastAsia" w:ascii="楷体" w:hAnsi="楷体" w:eastAsia="楷体" w:cs="楷体"/>
          <w:color w:val="000000"/>
          <w:kern w:val="0"/>
          <w:sz w:val="28"/>
          <w:szCs w:val="28"/>
          <w:lang w:bidi="ar"/>
        </w:rPr>
      </w:pPr>
    </w:p>
    <w:p>
      <w:pPr>
        <w:spacing w:line="360" w:lineRule="auto"/>
        <w:rPr>
          <w:rFonts w:hint="eastAsia" w:ascii="楷体" w:hAnsi="楷体" w:eastAsia="楷体" w:cs="楷体"/>
          <w:color w:val="000000"/>
          <w:kern w:val="0"/>
          <w:sz w:val="28"/>
          <w:szCs w:val="28"/>
          <w:lang w:bidi="ar"/>
        </w:rPr>
      </w:pPr>
    </w:p>
    <w:p>
      <w:pPr>
        <w:pStyle w:val="2"/>
        <w:spacing w:line="360" w:lineRule="auto"/>
        <w:outlineLvl w:val="9"/>
        <w:rPr>
          <w:rFonts w:hint="eastAsia" w:ascii="楷体" w:hAnsi="楷体" w:eastAsia="楷体" w:cs="楷体"/>
          <w:color w:val="000000"/>
          <w:kern w:val="0"/>
          <w:sz w:val="28"/>
          <w:szCs w:val="28"/>
          <w:lang w:bidi="ar"/>
        </w:rPr>
      </w:pPr>
    </w:p>
    <w:p>
      <w:pPr>
        <w:spacing w:line="360" w:lineRule="auto"/>
        <w:rPr>
          <w:rFonts w:hint="eastAsia" w:ascii="楷体" w:hAnsi="楷体" w:eastAsia="楷体" w:cs="楷体"/>
          <w:color w:val="000000"/>
          <w:kern w:val="0"/>
          <w:sz w:val="28"/>
          <w:szCs w:val="28"/>
          <w:lang w:bidi="ar"/>
        </w:rPr>
      </w:pPr>
    </w:p>
    <w:p>
      <w:pPr>
        <w:pStyle w:val="2"/>
        <w:spacing w:line="360" w:lineRule="auto"/>
        <w:outlineLvl w:val="9"/>
        <w:rPr>
          <w:rFonts w:hint="eastAsia" w:ascii="楷体" w:hAnsi="楷体" w:eastAsia="楷体" w:cs="楷体"/>
          <w:color w:val="000000"/>
          <w:kern w:val="0"/>
          <w:sz w:val="28"/>
          <w:szCs w:val="28"/>
          <w:lang w:bidi="ar"/>
        </w:rPr>
      </w:pPr>
    </w:p>
    <w:p>
      <w:pPr>
        <w:spacing w:line="360" w:lineRule="auto"/>
        <w:rPr>
          <w:rFonts w:hint="eastAsia" w:ascii="楷体" w:hAnsi="楷体" w:eastAsia="楷体" w:cs="楷体"/>
          <w:color w:val="000000"/>
          <w:kern w:val="0"/>
          <w:sz w:val="28"/>
          <w:szCs w:val="28"/>
          <w:lang w:bidi="ar"/>
        </w:rPr>
      </w:pPr>
    </w:p>
    <w:p>
      <w:pPr>
        <w:pStyle w:val="2"/>
        <w:spacing w:line="360" w:lineRule="auto"/>
        <w:outlineLvl w:val="9"/>
        <w:rPr>
          <w:rFonts w:hint="eastAsia" w:ascii="楷体" w:hAnsi="楷体" w:eastAsia="楷体" w:cs="楷体"/>
          <w:color w:val="000000"/>
          <w:kern w:val="0"/>
          <w:sz w:val="28"/>
          <w:szCs w:val="28"/>
          <w:lang w:bidi="ar"/>
        </w:rPr>
        <w:sectPr>
          <w:pgSz w:w="11905" w:h="16838"/>
          <w:pgMar w:top="1247" w:right="1417" w:bottom="1587" w:left="1417" w:header="851" w:footer="992" w:gutter="0"/>
          <w:cols w:space="720" w:num="1"/>
          <w:rtlGutter w:val="0"/>
          <w:docGrid w:type="lines" w:linePitch="312" w:charSpace="0"/>
        </w:sectPr>
      </w:pPr>
    </w:p>
    <w:p>
      <w:pPr>
        <w:widowControl/>
        <w:spacing w:line="360" w:lineRule="auto"/>
        <w:jc w:val="center"/>
        <w:rPr>
          <w:rFonts w:hint="eastAsia" w:ascii="楷体" w:hAnsi="楷体" w:eastAsia="楷体" w:cs="楷体"/>
          <w:sz w:val="28"/>
          <w:szCs w:val="28"/>
        </w:rPr>
      </w:pPr>
      <w:r>
        <w:rPr>
          <w:rFonts w:hint="eastAsia" w:ascii="楷体" w:hAnsi="楷体" w:eastAsia="楷体" w:cs="楷体"/>
          <w:color w:val="000000"/>
          <w:kern w:val="0"/>
          <w:sz w:val="28"/>
          <w:szCs w:val="28"/>
          <w:lang w:bidi="ar"/>
        </w:rPr>
        <w:t>表 5-14 林木（中龄林）相关技术经济指标表</w:t>
      </w:r>
    </w:p>
    <w:tbl>
      <w:tblPr>
        <w:tblStyle w:val="45"/>
        <w:tblW w:w="51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876"/>
        <w:gridCol w:w="766"/>
        <w:gridCol w:w="876"/>
        <w:gridCol w:w="876"/>
        <w:gridCol w:w="656"/>
        <w:gridCol w:w="986"/>
        <w:gridCol w:w="656"/>
        <w:gridCol w:w="1096"/>
        <w:gridCol w:w="656"/>
        <w:gridCol w:w="876"/>
        <w:gridCol w:w="656"/>
        <w:gridCol w:w="656"/>
        <w:gridCol w:w="656"/>
        <w:gridCol w:w="1096"/>
        <w:gridCol w:w="1096"/>
        <w:gridCol w:w="1096"/>
        <w:gridCol w:w="1206"/>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6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2"/>
                <w:szCs w:val="22"/>
                <w:u w:val="none"/>
              </w:rPr>
            </w:pPr>
          </w:p>
        </w:tc>
        <w:tc>
          <w:tcPr>
            <w:tcW w:w="4532" w:type="pct"/>
            <w:gridSpan w:val="18"/>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b/>
                <w:bCs/>
                <w:i w:val="0"/>
                <w:iCs w:val="0"/>
                <w:color w:val="000000"/>
                <w:sz w:val="22"/>
                <w:szCs w:val="22"/>
                <w:u w:val="none"/>
              </w:rPr>
            </w:pPr>
            <w:r>
              <w:rPr>
                <w:rFonts w:hint="eastAsia" w:ascii="楷体" w:hAnsi="楷体" w:eastAsia="楷体" w:cs="楷体"/>
                <w:b/>
                <w:bCs/>
                <w:i w:val="0"/>
                <w:iCs w:val="0"/>
                <w:color w:val="000000"/>
                <w:kern w:val="0"/>
                <w:sz w:val="22"/>
                <w:szCs w:val="22"/>
                <w:u w:val="none"/>
                <w:lang w:val="en-US" w:eastAsia="zh-CN" w:bidi="ar"/>
              </w:rPr>
              <w:t>林木相关技术经济指标表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林木名称</w:t>
            </w:r>
          </w:p>
        </w:tc>
        <w:tc>
          <w:tcPr>
            <w:tcW w:w="2007" w:type="pct"/>
            <w:gridSpan w:val="8"/>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木材销售总收入</w:t>
            </w:r>
          </w:p>
        </w:tc>
        <w:tc>
          <w:tcPr>
            <w:tcW w:w="1046" w:type="pct"/>
            <w:gridSpan w:val="5"/>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木材生产经营成本</w:t>
            </w:r>
          </w:p>
        </w:tc>
        <w:tc>
          <w:tcPr>
            <w:tcW w:w="1312" w:type="pct"/>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auto"/>
              <w:jc w:val="center"/>
              <w:rPr>
                <w:rFonts w:hint="eastAsia" w:ascii="楷体" w:hAnsi="楷体" w:eastAsia="楷体" w:cs="楷体"/>
                <w:i w:val="0"/>
                <w:iCs w:val="0"/>
                <w:color w:val="000000"/>
                <w:sz w:val="22"/>
                <w:szCs w:val="22"/>
                <w:u w:val="none"/>
              </w:rPr>
            </w:pPr>
          </w:p>
        </w:tc>
        <w:tc>
          <w:tcPr>
            <w:tcW w:w="16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60" w:lineRule="auto"/>
              <w:jc w:val="center"/>
              <w:rPr>
                <w:rFonts w:hint="eastAsia" w:ascii="楷体" w:hAnsi="楷体" w:eastAsia="楷体" w:cs="楷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2"/>
                <w:szCs w:val="22"/>
                <w:u w:val="none"/>
              </w:rPr>
            </w:pPr>
          </w:p>
        </w:tc>
        <w:tc>
          <w:tcPr>
            <w:tcW w:w="258"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树龄（年）</w:t>
            </w:r>
          </w:p>
        </w:tc>
        <w:tc>
          <w:tcPr>
            <w:tcW w:w="22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平均胸径（厘米）</w:t>
            </w:r>
          </w:p>
        </w:tc>
        <w:tc>
          <w:tcPr>
            <w:tcW w:w="258"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平均树高（米）</w:t>
            </w:r>
          </w:p>
        </w:tc>
        <w:tc>
          <w:tcPr>
            <w:tcW w:w="258"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二元立木材积（立方米）</w:t>
            </w:r>
          </w:p>
        </w:tc>
        <w:tc>
          <w:tcPr>
            <w:tcW w:w="19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种植密度（株/亩）</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材积（立方米/亩）</w:t>
            </w:r>
          </w:p>
        </w:tc>
        <w:tc>
          <w:tcPr>
            <w:tcW w:w="19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木材单价（元/立方米）</w:t>
            </w:r>
          </w:p>
        </w:tc>
        <w:tc>
          <w:tcPr>
            <w:tcW w:w="32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木材销售总收入（元/亩）</w:t>
            </w:r>
          </w:p>
        </w:tc>
        <w:tc>
          <w:tcPr>
            <w:tcW w:w="19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第一年造林成本（元/亩）</w:t>
            </w:r>
          </w:p>
        </w:tc>
        <w:tc>
          <w:tcPr>
            <w:tcW w:w="258"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第二年至中龄林成本（元/亩）</w:t>
            </w:r>
          </w:p>
        </w:tc>
        <w:tc>
          <w:tcPr>
            <w:tcW w:w="19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采伐成本（元/亩）</w:t>
            </w:r>
          </w:p>
        </w:tc>
        <w:tc>
          <w:tcPr>
            <w:tcW w:w="19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集材成本（元/亩）</w:t>
            </w:r>
          </w:p>
        </w:tc>
        <w:tc>
          <w:tcPr>
            <w:tcW w:w="19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运输成本（元/亩）</w:t>
            </w:r>
          </w:p>
        </w:tc>
        <w:tc>
          <w:tcPr>
            <w:tcW w:w="32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木材经营利润</w:t>
            </w:r>
          </w:p>
        </w:tc>
        <w:tc>
          <w:tcPr>
            <w:tcW w:w="32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林业经营生产税</w:t>
            </w:r>
          </w:p>
        </w:tc>
        <w:tc>
          <w:tcPr>
            <w:tcW w:w="32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其他不可预见费</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主伐净收益</w:t>
            </w:r>
          </w:p>
        </w:tc>
        <w:tc>
          <w:tcPr>
            <w:tcW w:w="16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年管护费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9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桉树</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5-8年</w:t>
            </w:r>
          </w:p>
        </w:tc>
        <w:tc>
          <w:tcPr>
            <w:tcW w:w="76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15~25</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10~15</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0.2563</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155</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39.7265</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700</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27808.55</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1583</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2873.5</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700</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100</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200</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2780.855</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834.2565</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278.0855</w:t>
            </w:r>
          </w:p>
        </w:tc>
        <w:tc>
          <w:tcPr>
            <w:tcW w:w="120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18458.853</w:t>
            </w:r>
          </w:p>
        </w:tc>
        <w:tc>
          <w:tcPr>
            <w:tcW w:w="5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9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云南松林</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5-10年</w:t>
            </w:r>
          </w:p>
        </w:tc>
        <w:tc>
          <w:tcPr>
            <w:tcW w:w="76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15~25</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10~15</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0.2256</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200</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45.12</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600</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27072</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2499</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2208</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700</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100</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200</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2707.2</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812.16</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270.72</w:t>
            </w:r>
          </w:p>
        </w:tc>
        <w:tc>
          <w:tcPr>
            <w:tcW w:w="120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17574.92</w:t>
            </w:r>
          </w:p>
        </w:tc>
        <w:tc>
          <w:tcPr>
            <w:tcW w:w="5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9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华山松林</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5-10年</w:t>
            </w:r>
          </w:p>
        </w:tc>
        <w:tc>
          <w:tcPr>
            <w:tcW w:w="76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15~25</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10~15</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0.2356</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180</w:t>
            </w:r>
          </w:p>
        </w:tc>
        <w:tc>
          <w:tcPr>
            <w:tcW w:w="98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42.408</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700</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29685.6</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2299</w:t>
            </w:r>
          </w:p>
        </w:tc>
        <w:tc>
          <w:tcPr>
            <w:tcW w:w="87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2660</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700</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100</w:t>
            </w:r>
          </w:p>
        </w:tc>
        <w:tc>
          <w:tcPr>
            <w:tcW w:w="65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200</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2968.56</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890.568</w:t>
            </w:r>
          </w:p>
        </w:tc>
        <w:tc>
          <w:tcPr>
            <w:tcW w:w="10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296.856</w:t>
            </w:r>
          </w:p>
        </w:tc>
        <w:tc>
          <w:tcPr>
            <w:tcW w:w="120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19570.616</w:t>
            </w:r>
          </w:p>
        </w:tc>
        <w:tc>
          <w:tcPr>
            <w:tcW w:w="54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360</w:t>
            </w:r>
          </w:p>
        </w:tc>
      </w:tr>
    </w:tbl>
    <w:p>
      <w:pPr>
        <w:pStyle w:val="2"/>
        <w:spacing w:line="360" w:lineRule="auto"/>
        <w:outlineLvl w:val="9"/>
        <w:rPr>
          <w:rFonts w:hint="eastAsia" w:ascii="楷体" w:hAnsi="楷体" w:eastAsia="楷体" w:cs="楷体"/>
          <w:color w:val="000000"/>
          <w:kern w:val="0"/>
          <w:sz w:val="28"/>
          <w:szCs w:val="28"/>
          <w:lang w:bidi="ar"/>
        </w:rPr>
        <w:sectPr>
          <w:pgSz w:w="16838" w:h="11905" w:orient="landscape"/>
          <w:pgMar w:top="1247" w:right="1417" w:bottom="1587" w:left="1417" w:header="851" w:footer="992" w:gutter="0"/>
          <w:cols w:space="720" w:num="1"/>
          <w:rtlGutter w:val="0"/>
          <w:docGrid w:type="lines" w:linePitch="312" w:charSpace="0"/>
        </w:sectPr>
      </w:pPr>
    </w:p>
    <w:p>
      <w:pPr>
        <w:bidi w:val="0"/>
        <w:spacing w:line="360" w:lineRule="auto"/>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6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⑥</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中龄林（近熟林）补偿标准测算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b/>
          <w:bCs/>
          <w:i w:val="0"/>
          <w:iCs w:val="0"/>
          <w:color w:val="000000"/>
          <w:kern w:val="0"/>
          <w:sz w:val="22"/>
          <w:szCs w:val="22"/>
          <w:u w:val="none"/>
          <w:lang w:val="en-US" w:eastAsia="zh-CN" w:bidi="ar"/>
        </w:rPr>
      </w:pPr>
      <w:r>
        <w:rPr>
          <w:rFonts w:hint="eastAsia" w:ascii="楷体" w:hAnsi="楷体" w:eastAsia="楷体" w:cs="楷体"/>
          <w:color w:val="auto"/>
          <w:sz w:val="28"/>
          <w:szCs w:val="28"/>
          <w:highlight w:val="none"/>
          <w:lang w:val="en-US" w:eastAsia="zh-CN"/>
        </w:rPr>
        <w:t>将上述确定的各林木中龄林（近熟林）的收益还原率、主伐年龄、林分年龄、年管护费、主伐时的净收益带入收获现值法公式，得到各林木中龄林（近熟林）的补偿标准。</w:t>
      </w:r>
    </w:p>
    <w:p>
      <w:pPr>
        <w:widowControl/>
        <w:spacing w:line="360" w:lineRule="auto"/>
        <w:jc w:val="center"/>
        <w:rPr>
          <w:rFonts w:hint="eastAsia" w:ascii="楷体" w:hAnsi="楷体" w:eastAsia="楷体" w:cs="楷体"/>
        </w:rPr>
      </w:pPr>
      <w:r>
        <w:rPr>
          <w:rFonts w:hint="eastAsia" w:ascii="楷体" w:hAnsi="楷体" w:eastAsia="楷体" w:cs="楷体"/>
          <w:color w:val="000000"/>
          <w:kern w:val="0"/>
          <w:sz w:val="28"/>
          <w:szCs w:val="28"/>
          <w:lang w:bidi="ar"/>
        </w:rPr>
        <w:t>表 5-15 林木（中龄林）测算结果表</w:t>
      </w:r>
    </w:p>
    <w:p>
      <w:pPr>
        <w:pStyle w:val="2"/>
        <w:spacing w:line="360" w:lineRule="auto"/>
        <w:jc w:val="center"/>
        <w:outlineLvl w:val="9"/>
        <w:rPr>
          <w:rFonts w:hint="eastAsia" w:ascii="楷体" w:hAnsi="楷体" w:eastAsia="楷体" w:cs="楷体"/>
          <w:b/>
          <w:bCs/>
          <w:i w:val="0"/>
          <w:iCs w:val="0"/>
          <w:color w:val="000000"/>
          <w:kern w:val="0"/>
          <w:sz w:val="22"/>
          <w:szCs w:val="22"/>
          <w:u w:val="none"/>
          <w:lang w:val="en-US" w:eastAsia="zh-CN" w:bidi="ar"/>
        </w:rPr>
      </w:pPr>
    </w:p>
    <w:tbl>
      <w:tblPr>
        <w:tblStyle w:val="45"/>
        <w:tblW w:w="10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320"/>
        <w:gridCol w:w="1080"/>
        <w:gridCol w:w="1284"/>
        <w:gridCol w:w="1272"/>
        <w:gridCol w:w="1558"/>
        <w:gridCol w:w="861"/>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blHeader/>
          <w:jc w:val="center"/>
        </w:trPr>
        <w:tc>
          <w:tcPr>
            <w:tcW w:w="10036" w:type="dxa"/>
            <w:gridSpan w:val="8"/>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bCs/>
                <w:i w:val="0"/>
                <w:iCs w:val="0"/>
                <w:color w:val="000000"/>
                <w:sz w:val="22"/>
                <w:szCs w:val="22"/>
                <w:u w:val="none"/>
              </w:rPr>
            </w:pPr>
            <w:r>
              <w:rPr>
                <w:rFonts w:hint="eastAsia" w:ascii="楷体" w:hAnsi="楷体" w:eastAsia="楷体" w:cs="楷体"/>
                <w:b/>
                <w:bCs/>
                <w:i w:val="0"/>
                <w:iCs w:val="0"/>
                <w:color w:val="000000"/>
                <w:kern w:val="0"/>
                <w:sz w:val="22"/>
                <w:szCs w:val="22"/>
                <w:u w:val="none"/>
                <w:lang w:val="en-US" w:eastAsia="zh-CN" w:bidi="ar"/>
              </w:rPr>
              <w:t>中龄林测算结果表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4" w:hRule="atLeast"/>
          <w:tblHeader/>
          <w:jc w:val="center"/>
        </w:trPr>
        <w:tc>
          <w:tcPr>
            <w:tcW w:w="1437"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林木名称</w:t>
            </w:r>
          </w:p>
        </w:tc>
        <w:tc>
          <w:tcPr>
            <w:tcW w:w="1320"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林分主伐净收益</w:t>
            </w:r>
          </w:p>
        </w:tc>
        <w:tc>
          <w:tcPr>
            <w:tcW w:w="1080"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用材林主伐年龄</w:t>
            </w:r>
          </w:p>
        </w:tc>
        <w:tc>
          <w:tcPr>
            <w:tcW w:w="1284"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林分年龄</w:t>
            </w:r>
          </w:p>
        </w:tc>
        <w:tc>
          <w:tcPr>
            <w:tcW w:w="1272"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年管护费</w:t>
            </w:r>
          </w:p>
        </w:tc>
        <w:tc>
          <w:tcPr>
            <w:tcW w:w="1558"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收益还原率</w:t>
            </w:r>
          </w:p>
        </w:tc>
        <w:tc>
          <w:tcPr>
            <w:tcW w:w="861"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补偿标准（元/亩）</w:t>
            </w:r>
          </w:p>
        </w:tc>
        <w:tc>
          <w:tcPr>
            <w:tcW w:w="1224"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补偿标准（元/株）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tblHeader/>
          <w:jc w:val="center"/>
        </w:trPr>
        <w:tc>
          <w:tcPr>
            <w:tcW w:w="1437"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桉树</w:t>
            </w:r>
          </w:p>
        </w:tc>
        <w:tc>
          <w:tcPr>
            <w:tcW w:w="1320"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18458.853</w:t>
            </w:r>
          </w:p>
        </w:tc>
        <w:tc>
          <w:tcPr>
            <w:tcW w:w="1080"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1284"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1272"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360</w:t>
            </w:r>
          </w:p>
        </w:tc>
        <w:tc>
          <w:tcPr>
            <w:tcW w:w="1558"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4.79%</w:t>
            </w:r>
          </w:p>
        </w:tc>
        <w:tc>
          <w:tcPr>
            <w:tcW w:w="861"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12701 </w:t>
            </w:r>
          </w:p>
        </w:tc>
        <w:tc>
          <w:tcPr>
            <w:tcW w:w="1224" w:type="dxa"/>
            <w:shd w:val="clear" w:color="auto" w:fill="FFFFFF"/>
            <w:noWrap/>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tblHeader/>
          <w:jc w:val="center"/>
        </w:trPr>
        <w:tc>
          <w:tcPr>
            <w:tcW w:w="1437"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云南松林</w:t>
            </w:r>
          </w:p>
        </w:tc>
        <w:tc>
          <w:tcPr>
            <w:tcW w:w="1320"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17574.92</w:t>
            </w:r>
          </w:p>
        </w:tc>
        <w:tc>
          <w:tcPr>
            <w:tcW w:w="1080" w:type="dxa"/>
            <w:shd w:val="clear" w:color="auto" w:fill="FFFFFF"/>
            <w:noWrap/>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284" w:type="dxa"/>
            <w:shd w:val="clear" w:color="auto" w:fill="FFFFFF"/>
            <w:noWrap/>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272" w:type="dxa"/>
            <w:shd w:val="clear" w:color="auto" w:fill="FFFFFF"/>
            <w:noWrap/>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360</w:t>
            </w:r>
          </w:p>
        </w:tc>
        <w:tc>
          <w:tcPr>
            <w:tcW w:w="1558"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4.79%</w:t>
            </w:r>
          </w:p>
        </w:tc>
        <w:tc>
          <w:tcPr>
            <w:tcW w:w="861"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12843 </w:t>
            </w:r>
          </w:p>
        </w:tc>
        <w:tc>
          <w:tcPr>
            <w:tcW w:w="1224" w:type="dxa"/>
            <w:shd w:val="clear" w:color="auto" w:fill="FFFFFF"/>
            <w:noWrap/>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tblHeader/>
          <w:jc w:val="center"/>
        </w:trPr>
        <w:tc>
          <w:tcPr>
            <w:tcW w:w="1437"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华山松林</w:t>
            </w:r>
          </w:p>
        </w:tc>
        <w:tc>
          <w:tcPr>
            <w:tcW w:w="1320"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19570.616</w:t>
            </w:r>
          </w:p>
        </w:tc>
        <w:tc>
          <w:tcPr>
            <w:tcW w:w="1080" w:type="dxa"/>
            <w:shd w:val="clear" w:color="auto" w:fill="FFFFFF"/>
            <w:noWrap/>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284" w:type="dxa"/>
            <w:shd w:val="clear" w:color="auto" w:fill="FFFFFF"/>
            <w:noWrap/>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272" w:type="dxa"/>
            <w:shd w:val="clear" w:color="auto" w:fill="FFFFFF"/>
            <w:noWrap/>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360</w:t>
            </w:r>
          </w:p>
        </w:tc>
        <w:tc>
          <w:tcPr>
            <w:tcW w:w="1558"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4.79%</w:t>
            </w:r>
          </w:p>
        </w:tc>
        <w:tc>
          <w:tcPr>
            <w:tcW w:w="861" w:type="dxa"/>
            <w:shd w:val="clear" w:color="auto" w:fill="FFFFFF"/>
            <w:noWrap w:val="0"/>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14483 </w:t>
            </w:r>
          </w:p>
        </w:tc>
        <w:tc>
          <w:tcPr>
            <w:tcW w:w="1224" w:type="dxa"/>
            <w:shd w:val="clear" w:color="auto" w:fill="FFFFFF"/>
            <w:noWrap/>
            <w:vAlign w:val="bottom"/>
          </w:tcPr>
          <w:p>
            <w:pPr>
              <w:keepNext w:val="0"/>
              <w:keepLines w:val="0"/>
              <w:widowControl/>
              <w:suppressLineNumbers w:val="0"/>
              <w:jc w:val="center"/>
              <w:textAlignment w:val="bottom"/>
              <w:rPr>
                <w:rFonts w:hint="eastAsia" w:ascii="楷体" w:hAnsi="楷体" w:eastAsia="楷体" w:cs="楷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80 </w:t>
            </w:r>
          </w:p>
        </w:tc>
      </w:tr>
    </w:tbl>
    <w:p>
      <w:pPr>
        <w:spacing w:line="360" w:lineRule="auto"/>
        <w:rPr>
          <w:rFonts w:hint="eastAsia" w:ascii="楷体" w:hAnsi="楷体" w:eastAsia="楷体" w:cs="楷体"/>
          <w:lang w:val="en-US" w:eastAsia="zh-CN"/>
        </w:rPr>
      </w:pPr>
    </w:p>
    <w:p>
      <w:pPr>
        <w:pStyle w:val="61"/>
        <w:spacing w:line="360" w:lineRule="auto"/>
        <w:ind w:firstLine="560"/>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（3）成熟林（过熟林）测算方法采用市场价倒算法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市场价倒算法又叫剩余价值法，是将被评估林木资产皆伐后所得木材的市场销售收入，扣除木材生产经营所消耗的成本和合理利润后，剩余部分作为林木资产评估值的一种方法。</w:t>
      </w:r>
    </w:p>
    <w:p>
      <w:pPr>
        <w:autoSpaceDE w:val="0"/>
        <w:autoSpaceDN w:val="0"/>
        <w:adjustRightInd w:val="0"/>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E=W-C-F-D</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式中：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E—林木样点评估值；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W—木材销售总收入；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C—生产经营成本（包括采运成本、销售费用、管理费用等）；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F—木材生产经营利润;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D—木材价格包含的林地地租。</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1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①</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确定木材销售总收入</w:t>
      </w:r>
    </w:p>
    <w:p>
      <w:pPr>
        <w:pStyle w:val="61"/>
        <w:spacing w:line="360" w:lineRule="auto"/>
        <w:ind w:firstLine="562"/>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成熟林（过熟林）木材销售总收入通过收集整理林业相关资料和实地填写调查表确定各林木木材市场价格、单产，木材销售总收入=单价 x 单产，各林木中龄林（近熟林）木材销售总收入详见表 5-16。</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2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②</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确定生产经营成本</w:t>
      </w:r>
    </w:p>
    <w:p>
      <w:pPr>
        <w:widowControl/>
        <w:spacing w:line="360" w:lineRule="auto"/>
        <w:ind w:firstLine="560" w:firstLineChars="20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成熟林（过熟林）生产经营成本主要包括采运成本、销售费用、管理费用、其他成本费用。木材生产经营成本=采运成本+销售费用+管理费用+ 其他成本费用，各林木成熟林（过熟林）各项生产经营成本通过收集整理 </w:t>
      </w:r>
    </w:p>
    <w:p>
      <w:pPr>
        <w:widowControl/>
        <w:spacing w:line="360" w:lineRule="auto"/>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林业相关资料和实地填写调查表确定，详见表 5-16。 </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3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③</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确定生产经营利润</w:t>
      </w:r>
    </w:p>
    <w:p>
      <w:pPr>
        <w:widowControl/>
        <w:spacing w:line="360" w:lineRule="auto"/>
        <w:jc w:val="left"/>
        <w:rPr>
          <w:rFonts w:hint="eastAsia" w:ascii="楷体" w:hAnsi="楷体" w:eastAsia="楷体" w:cs="楷体"/>
        </w:rPr>
      </w:pPr>
      <w:r>
        <w:rPr>
          <w:rFonts w:hint="eastAsia" w:ascii="楷体" w:hAnsi="楷体" w:eastAsia="楷体" w:cs="楷体"/>
          <w:color w:val="000000"/>
          <w:kern w:val="0"/>
          <w:sz w:val="28"/>
          <w:szCs w:val="28"/>
          <w:lang w:bidi="ar"/>
        </w:rPr>
        <w:t>生产经营利润指林产品销售行业的平均利润，利润率具体标准根据</w:t>
      </w:r>
      <w:r>
        <w:rPr>
          <w:rFonts w:hint="eastAsia" w:ascii="楷体" w:hAnsi="楷体" w:eastAsia="楷体" w:cs="楷体"/>
          <w:color w:val="000000"/>
          <w:kern w:val="0"/>
          <w:sz w:val="28"/>
          <w:szCs w:val="28"/>
          <w:lang w:val="en-US" w:eastAsia="zh-CN" w:bidi="ar"/>
        </w:rPr>
        <w:t>盘龙区</w:t>
      </w:r>
      <w:r>
        <w:rPr>
          <w:rFonts w:hint="eastAsia" w:ascii="楷体" w:hAnsi="楷体" w:eastAsia="楷体" w:cs="楷体"/>
          <w:color w:val="000000"/>
          <w:kern w:val="0"/>
          <w:sz w:val="28"/>
          <w:szCs w:val="28"/>
          <w:lang w:bidi="ar"/>
        </w:rPr>
        <w:t xml:space="preserve">实际情况，通过收集整理林业相关资料和实地填写调查表确定；各林 </w:t>
      </w:r>
    </w:p>
    <w:p>
      <w:pPr>
        <w:widowControl/>
        <w:spacing w:line="360" w:lineRule="auto"/>
        <w:jc w:val="left"/>
        <w:rPr>
          <w:rFonts w:hint="eastAsia" w:ascii="楷体" w:hAnsi="楷体" w:eastAsia="楷体" w:cs="楷体"/>
        </w:rPr>
      </w:pPr>
      <w:r>
        <w:rPr>
          <w:rFonts w:hint="eastAsia" w:ascii="楷体" w:hAnsi="楷体" w:eastAsia="楷体" w:cs="楷体"/>
          <w:color w:val="000000"/>
          <w:kern w:val="0"/>
          <w:sz w:val="28"/>
          <w:szCs w:val="28"/>
          <w:lang w:bidi="ar"/>
        </w:rPr>
        <w:t xml:space="preserve">木中龄林（近熟林）木材生产经营利润详见表 5-16。 </w:t>
      </w:r>
    </w:p>
    <w:p>
      <w:pPr>
        <w:pStyle w:val="61"/>
        <w:spacing w:line="360" w:lineRule="auto"/>
        <w:ind w:firstLine="562"/>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4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④</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确定林地地租</w:t>
      </w:r>
    </w:p>
    <w:p>
      <w:pPr>
        <w:widowControl/>
        <w:spacing w:line="360" w:lineRule="auto"/>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木材价格包含的林地地租，具体数据通过资料收集整理和外业调查获 </w:t>
      </w:r>
    </w:p>
    <w:p>
      <w:pPr>
        <w:widowControl/>
        <w:spacing w:line="360" w:lineRule="auto"/>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取确定。详见表 5-16。 </w:t>
      </w:r>
    </w:p>
    <w:p>
      <w:pPr>
        <w:pStyle w:val="2"/>
        <w:spacing w:line="360" w:lineRule="auto"/>
        <w:outlineLvl w:val="9"/>
        <w:rPr>
          <w:rFonts w:hint="eastAsia" w:ascii="楷体" w:hAnsi="楷体" w:eastAsia="楷体" w:cs="楷体"/>
          <w:color w:val="auto"/>
          <w:kern w:val="2"/>
          <w:sz w:val="28"/>
          <w:szCs w:val="28"/>
          <w:highlight w:val="none"/>
          <w:lang w:val="en-US" w:eastAsia="zh-CN" w:bidi="ar-SA"/>
        </w:rPr>
      </w:pPr>
    </w:p>
    <w:p>
      <w:pPr>
        <w:spacing w:line="360" w:lineRule="auto"/>
        <w:rPr>
          <w:rFonts w:hint="eastAsia" w:ascii="楷体" w:hAnsi="楷体" w:eastAsia="楷体" w:cs="楷体"/>
          <w:color w:val="auto"/>
          <w:kern w:val="2"/>
          <w:sz w:val="28"/>
          <w:szCs w:val="28"/>
          <w:highlight w:val="none"/>
          <w:lang w:val="en-US" w:eastAsia="zh-CN" w:bidi="ar-SA"/>
        </w:rPr>
      </w:pPr>
    </w:p>
    <w:p>
      <w:pPr>
        <w:pStyle w:val="2"/>
        <w:spacing w:line="360" w:lineRule="auto"/>
        <w:outlineLvl w:val="9"/>
        <w:rPr>
          <w:rFonts w:hint="eastAsia" w:ascii="楷体" w:hAnsi="楷体" w:eastAsia="楷体" w:cs="楷体"/>
          <w:color w:val="auto"/>
          <w:kern w:val="2"/>
          <w:sz w:val="28"/>
          <w:szCs w:val="28"/>
          <w:highlight w:val="none"/>
          <w:lang w:val="en-US" w:eastAsia="zh-CN" w:bidi="ar-SA"/>
        </w:rPr>
      </w:pPr>
    </w:p>
    <w:p>
      <w:pPr>
        <w:spacing w:line="360" w:lineRule="auto"/>
        <w:rPr>
          <w:rFonts w:hint="eastAsia" w:ascii="楷体" w:hAnsi="楷体" w:eastAsia="楷体" w:cs="楷体"/>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p>
    <w:p>
      <w:pPr>
        <w:spacing w:line="360" w:lineRule="auto"/>
        <w:rPr>
          <w:rFonts w:hint="eastAsia" w:ascii="楷体" w:hAnsi="楷体" w:eastAsia="楷体" w:cs="楷体"/>
          <w:color w:val="auto"/>
          <w:sz w:val="28"/>
          <w:szCs w:val="28"/>
          <w:highlight w:val="none"/>
          <w:lang w:val="en-US" w:eastAsia="zh-CN"/>
        </w:rPr>
        <w:sectPr>
          <w:pgSz w:w="11905" w:h="16838"/>
          <w:pgMar w:top="1247" w:right="1417" w:bottom="1587" w:left="1417" w:header="851" w:footer="992" w:gutter="0"/>
          <w:cols w:space="720" w:num="1"/>
          <w:rtlGutter w:val="0"/>
          <w:docGrid w:type="lines" w:linePitch="312" w:charSpace="0"/>
        </w:sectPr>
      </w:pPr>
    </w:p>
    <w:p>
      <w:pPr>
        <w:widowControl/>
        <w:spacing w:line="360" w:lineRule="auto"/>
        <w:jc w:val="center"/>
        <w:rPr>
          <w:rFonts w:hint="eastAsia" w:ascii="楷体" w:hAnsi="楷体" w:eastAsia="楷体" w:cs="楷体"/>
        </w:rPr>
      </w:pPr>
      <w:r>
        <w:rPr>
          <w:rFonts w:hint="eastAsia" w:ascii="楷体" w:hAnsi="楷体" w:eastAsia="楷体" w:cs="楷体"/>
          <w:color w:val="000000"/>
          <w:kern w:val="0"/>
          <w:sz w:val="28"/>
          <w:szCs w:val="28"/>
          <w:lang w:bidi="ar"/>
        </w:rPr>
        <w:t>表 5-16 林木（成熟林）相关技术经济指标表</w:t>
      </w:r>
    </w:p>
    <w:tbl>
      <w:tblPr>
        <w:tblStyle w:val="45"/>
        <w:tblW w:w="5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876"/>
        <w:gridCol w:w="811"/>
        <w:gridCol w:w="876"/>
        <w:gridCol w:w="876"/>
        <w:gridCol w:w="656"/>
        <w:gridCol w:w="1061"/>
        <w:gridCol w:w="656"/>
        <w:gridCol w:w="1081"/>
        <w:gridCol w:w="667"/>
        <w:gridCol w:w="876"/>
        <w:gridCol w:w="656"/>
        <w:gridCol w:w="656"/>
        <w:gridCol w:w="656"/>
        <w:gridCol w:w="1096"/>
        <w:gridCol w:w="1053"/>
        <w:gridCol w:w="1183"/>
        <w:gridCol w:w="799"/>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33" w:type="pct"/>
            <w:shd w:val="clear" w:color="auto" w:fill="FFFFFF"/>
            <w:noWrap/>
            <w:vAlign w:val="bottom"/>
          </w:tcPr>
          <w:p>
            <w:pPr>
              <w:spacing w:line="360" w:lineRule="auto"/>
              <w:rPr>
                <w:rFonts w:hint="eastAsia" w:ascii="楷体" w:hAnsi="楷体" w:eastAsia="楷体" w:cs="楷体"/>
                <w:i w:val="0"/>
                <w:iCs w:val="0"/>
                <w:color w:val="000000"/>
                <w:sz w:val="22"/>
                <w:szCs w:val="22"/>
                <w:u w:val="none"/>
              </w:rPr>
            </w:pPr>
          </w:p>
        </w:tc>
        <w:tc>
          <w:tcPr>
            <w:tcW w:w="4423" w:type="pct"/>
            <w:gridSpan w:val="17"/>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b/>
                <w:bCs/>
                <w:i w:val="0"/>
                <w:iCs w:val="0"/>
                <w:color w:val="000000"/>
                <w:sz w:val="22"/>
                <w:szCs w:val="22"/>
                <w:u w:val="none"/>
              </w:rPr>
            </w:pPr>
            <w:r>
              <w:rPr>
                <w:rFonts w:hint="eastAsia" w:ascii="楷体" w:hAnsi="楷体" w:eastAsia="楷体" w:cs="楷体"/>
                <w:b/>
                <w:bCs/>
                <w:i w:val="0"/>
                <w:iCs w:val="0"/>
                <w:color w:val="000000"/>
                <w:kern w:val="0"/>
                <w:sz w:val="22"/>
                <w:szCs w:val="22"/>
                <w:u w:val="none"/>
                <w:lang w:val="en-US" w:eastAsia="zh-CN" w:bidi="ar"/>
              </w:rPr>
              <w:t>林木相关技术经济指标表</w:t>
            </w:r>
          </w:p>
        </w:tc>
        <w:tc>
          <w:tcPr>
            <w:tcW w:w="242" w:type="pct"/>
            <w:shd w:val="clear" w:color="auto" w:fill="FFFFFF"/>
            <w:noWrap w:val="0"/>
            <w:vAlign w:val="center"/>
          </w:tcPr>
          <w:p>
            <w:pPr>
              <w:spacing w:line="360" w:lineRule="auto"/>
              <w:jc w:val="center"/>
              <w:rPr>
                <w:rFonts w:hint="eastAsia" w:ascii="楷体" w:hAnsi="楷体" w:eastAsia="楷体" w:cs="楷体"/>
                <w:b/>
                <w:bCs/>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3" w:type="pct"/>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林木名称</w:t>
            </w:r>
          </w:p>
        </w:tc>
        <w:tc>
          <w:tcPr>
            <w:tcW w:w="2098" w:type="pct"/>
            <w:gridSpan w:val="8"/>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木材销售总收入</w:t>
            </w:r>
          </w:p>
        </w:tc>
        <w:tc>
          <w:tcPr>
            <w:tcW w:w="1063" w:type="pct"/>
            <w:gridSpan w:val="5"/>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木材生产经营成本</w:t>
            </w:r>
          </w:p>
        </w:tc>
        <w:tc>
          <w:tcPr>
            <w:tcW w:w="1018" w:type="pct"/>
            <w:gridSpan w:val="3"/>
            <w:shd w:val="clear" w:color="auto" w:fill="FFFFFF"/>
            <w:noWrap w:val="0"/>
            <w:vAlign w:val="center"/>
          </w:tcPr>
          <w:p>
            <w:pPr>
              <w:spacing w:line="360" w:lineRule="auto"/>
              <w:jc w:val="center"/>
              <w:rPr>
                <w:rFonts w:hint="eastAsia" w:ascii="楷体" w:hAnsi="楷体" w:eastAsia="楷体" w:cs="楷体"/>
                <w:i w:val="0"/>
                <w:iCs w:val="0"/>
                <w:color w:val="000000"/>
                <w:sz w:val="22"/>
                <w:szCs w:val="22"/>
                <w:u w:val="none"/>
              </w:rPr>
            </w:pPr>
          </w:p>
        </w:tc>
        <w:tc>
          <w:tcPr>
            <w:tcW w:w="242" w:type="pct"/>
            <w:shd w:val="clear" w:color="auto" w:fill="FFFFFF"/>
            <w:noWrap w:val="0"/>
            <w:vAlign w:val="center"/>
          </w:tcPr>
          <w:p>
            <w:pPr>
              <w:spacing w:line="360" w:lineRule="auto"/>
              <w:rPr>
                <w:rFonts w:hint="eastAsia" w:ascii="楷体" w:hAnsi="楷体" w:eastAsia="楷体" w:cs="楷体"/>
                <w:i w:val="0"/>
                <w:iCs w:val="0"/>
                <w:color w:val="000000"/>
                <w:sz w:val="22"/>
                <w:szCs w:val="22"/>
                <w:u w:val="none"/>
              </w:rPr>
            </w:pPr>
          </w:p>
        </w:tc>
        <w:tc>
          <w:tcPr>
            <w:tcW w:w="242" w:type="pct"/>
            <w:shd w:val="clear" w:color="auto" w:fill="FFFFFF"/>
            <w:noWrap w:val="0"/>
            <w:vAlign w:val="center"/>
          </w:tcPr>
          <w:p>
            <w:pPr>
              <w:spacing w:line="360" w:lineRule="auto"/>
              <w:rPr>
                <w:rFonts w:hint="eastAsia" w:ascii="楷体" w:hAnsi="楷体" w:eastAsia="楷体" w:cs="楷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33" w:type="pct"/>
            <w:vMerge w:val="continue"/>
            <w:shd w:val="clear" w:color="auto" w:fill="FFFFFF"/>
            <w:noWrap/>
            <w:vAlign w:val="center"/>
          </w:tcPr>
          <w:p>
            <w:pPr>
              <w:spacing w:line="360" w:lineRule="auto"/>
              <w:jc w:val="center"/>
              <w:rPr>
                <w:rFonts w:hint="eastAsia" w:ascii="楷体" w:hAnsi="楷体" w:eastAsia="楷体" w:cs="楷体"/>
                <w:i w:val="0"/>
                <w:iCs w:val="0"/>
                <w:color w:val="000000"/>
                <w:sz w:val="22"/>
                <w:szCs w:val="22"/>
                <w:u w:val="none"/>
              </w:rPr>
            </w:pPr>
          </w:p>
        </w:tc>
        <w:tc>
          <w:tcPr>
            <w:tcW w:w="266"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树龄（年）</w:t>
            </w:r>
          </w:p>
        </w:tc>
        <w:tc>
          <w:tcPr>
            <w:tcW w:w="251"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平均胸径（厘米）</w:t>
            </w:r>
          </w:p>
        </w:tc>
        <w:tc>
          <w:tcPr>
            <w:tcW w:w="266"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平均树高（米）</w:t>
            </w:r>
          </w:p>
        </w:tc>
        <w:tc>
          <w:tcPr>
            <w:tcW w:w="257"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二元立木材积（立方米）</w:t>
            </w:r>
          </w:p>
        </w:tc>
        <w:tc>
          <w:tcPr>
            <w:tcW w:w="199"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种植密度（株/亩）</w:t>
            </w:r>
          </w:p>
        </w:tc>
        <w:tc>
          <w:tcPr>
            <w:tcW w:w="327"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材积（立方米/亩）</w:t>
            </w:r>
          </w:p>
        </w:tc>
        <w:tc>
          <w:tcPr>
            <w:tcW w:w="199"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木材单价（元/立方米）</w:t>
            </w:r>
          </w:p>
        </w:tc>
        <w:tc>
          <w:tcPr>
            <w:tcW w:w="327"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木材销售总收入（元/亩）</w:t>
            </w:r>
          </w:p>
        </w:tc>
        <w:tc>
          <w:tcPr>
            <w:tcW w:w="207"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第一年造林成本（元/亩）</w:t>
            </w:r>
          </w:p>
        </w:tc>
        <w:tc>
          <w:tcPr>
            <w:tcW w:w="257"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第二年至中龄林成本（元/亩）</w:t>
            </w:r>
          </w:p>
        </w:tc>
        <w:tc>
          <w:tcPr>
            <w:tcW w:w="199"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采伐成本（元/亩）</w:t>
            </w:r>
          </w:p>
        </w:tc>
        <w:tc>
          <w:tcPr>
            <w:tcW w:w="199"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集材成本（元/亩）</w:t>
            </w:r>
          </w:p>
        </w:tc>
        <w:tc>
          <w:tcPr>
            <w:tcW w:w="199"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运输成本（元/亩）</w:t>
            </w:r>
          </w:p>
        </w:tc>
        <w:tc>
          <w:tcPr>
            <w:tcW w:w="327"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木材经营利润</w:t>
            </w:r>
          </w:p>
        </w:tc>
        <w:tc>
          <w:tcPr>
            <w:tcW w:w="327"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林业经营生产税</w:t>
            </w:r>
          </w:p>
        </w:tc>
        <w:tc>
          <w:tcPr>
            <w:tcW w:w="363"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其他不可预见费</w:t>
            </w:r>
          </w:p>
        </w:tc>
        <w:tc>
          <w:tcPr>
            <w:tcW w:w="242"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管护费用</w:t>
            </w:r>
          </w:p>
        </w:tc>
        <w:tc>
          <w:tcPr>
            <w:tcW w:w="242" w:type="pct"/>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林地地租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桉树</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≥9年</w:t>
            </w:r>
          </w:p>
        </w:tc>
        <w:tc>
          <w:tcPr>
            <w:tcW w:w="811"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26~35</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16~20</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0.7562</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155</w:t>
            </w:r>
          </w:p>
        </w:tc>
        <w:tc>
          <w:tcPr>
            <w:tcW w:w="1061"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117.211</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700</w:t>
            </w:r>
          </w:p>
        </w:tc>
        <w:tc>
          <w:tcPr>
            <w:tcW w:w="1081"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82047.7</w:t>
            </w:r>
          </w:p>
        </w:tc>
        <w:tc>
          <w:tcPr>
            <w:tcW w:w="667"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1583</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2873.5</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500</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100</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200</w:t>
            </w:r>
          </w:p>
        </w:tc>
        <w:tc>
          <w:tcPr>
            <w:tcW w:w="109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16409.54</w:t>
            </w:r>
          </w:p>
        </w:tc>
        <w:tc>
          <w:tcPr>
            <w:tcW w:w="1053"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8204.77</w:t>
            </w:r>
          </w:p>
        </w:tc>
        <w:tc>
          <w:tcPr>
            <w:tcW w:w="1183"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2461.431</w:t>
            </w:r>
          </w:p>
        </w:tc>
        <w:tc>
          <w:tcPr>
            <w:tcW w:w="799"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10800</w:t>
            </w:r>
          </w:p>
        </w:tc>
        <w:tc>
          <w:tcPr>
            <w:tcW w:w="779"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云南松林</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≥11年</w:t>
            </w:r>
          </w:p>
        </w:tc>
        <w:tc>
          <w:tcPr>
            <w:tcW w:w="811"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26~35</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16~20</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0.7512</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200</w:t>
            </w:r>
          </w:p>
        </w:tc>
        <w:tc>
          <w:tcPr>
            <w:tcW w:w="1061"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150.24</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600</w:t>
            </w:r>
          </w:p>
        </w:tc>
        <w:tc>
          <w:tcPr>
            <w:tcW w:w="1081"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90144</w:t>
            </w:r>
          </w:p>
        </w:tc>
        <w:tc>
          <w:tcPr>
            <w:tcW w:w="667"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2499</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2208</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500</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100</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200</w:t>
            </w:r>
          </w:p>
        </w:tc>
        <w:tc>
          <w:tcPr>
            <w:tcW w:w="109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18028.8</w:t>
            </w:r>
          </w:p>
        </w:tc>
        <w:tc>
          <w:tcPr>
            <w:tcW w:w="1053"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9014.4</w:t>
            </w:r>
          </w:p>
        </w:tc>
        <w:tc>
          <w:tcPr>
            <w:tcW w:w="1183"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2704.32</w:t>
            </w:r>
          </w:p>
        </w:tc>
        <w:tc>
          <w:tcPr>
            <w:tcW w:w="799"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10800</w:t>
            </w:r>
          </w:p>
        </w:tc>
        <w:tc>
          <w:tcPr>
            <w:tcW w:w="779"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华山松林</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≥11年</w:t>
            </w:r>
          </w:p>
        </w:tc>
        <w:tc>
          <w:tcPr>
            <w:tcW w:w="811"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26~35</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16~20</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0.7516</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180</w:t>
            </w:r>
          </w:p>
        </w:tc>
        <w:tc>
          <w:tcPr>
            <w:tcW w:w="1061"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135.288</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600</w:t>
            </w:r>
          </w:p>
        </w:tc>
        <w:tc>
          <w:tcPr>
            <w:tcW w:w="1081"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81172.8</w:t>
            </w:r>
          </w:p>
        </w:tc>
        <w:tc>
          <w:tcPr>
            <w:tcW w:w="667"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2299</w:t>
            </w:r>
          </w:p>
        </w:tc>
        <w:tc>
          <w:tcPr>
            <w:tcW w:w="87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2660</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500</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100</w:t>
            </w:r>
          </w:p>
        </w:tc>
        <w:tc>
          <w:tcPr>
            <w:tcW w:w="65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200</w:t>
            </w:r>
          </w:p>
        </w:tc>
        <w:tc>
          <w:tcPr>
            <w:tcW w:w="1096"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16234.56</w:t>
            </w:r>
          </w:p>
        </w:tc>
        <w:tc>
          <w:tcPr>
            <w:tcW w:w="1053"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8117.28</w:t>
            </w:r>
          </w:p>
        </w:tc>
        <w:tc>
          <w:tcPr>
            <w:tcW w:w="1183"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2435.184</w:t>
            </w:r>
          </w:p>
        </w:tc>
        <w:tc>
          <w:tcPr>
            <w:tcW w:w="799"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10800</w:t>
            </w:r>
          </w:p>
        </w:tc>
        <w:tc>
          <w:tcPr>
            <w:tcW w:w="779" w:type="dxa"/>
            <w:shd w:val="clear" w:color="auto" w:fill="FFFFFF"/>
            <w:noWrap w:val="0"/>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18000</w:t>
            </w:r>
          </w:p>
        </w:tc>
      </w:tr>
    </w:tbl>
    <w:p>
      <w:pPr>
        <w:spacing w:line="360" w:lineRule="auto"/>
        <w:rPr>
          <w:rFonts w:hint="eastAsia" w:ascii="楷体" w:hAnsi="楷体" w:eastAsia="楷体" w:cs="楷体"/>
          <w:color w:val="auto"/>
          <w:sz w:val="28"/>
          <w:szCs w:val="28"/>
          <w:highlight w:val="none"/>
          <w:lang w:val="en-US" w:eastAsia="zh-CN"/>
        </w:rPr>
        <w:sectPr>
          <w:pgSz w:w="16838" w:h="11905" w:orient="landscape"/>
          <w:pgMar w:top="1247" w:right="1417" w:bottom="1587" w:left="1417" w:header="851" w:footer="992" w:gutter="0"/>
          <w:cols w:space="720" w:num="1"/>
          <w:rtlGutter w:val="0"/>
          <w:docGrid w:type="lines" w:linePitch="312" w:charSpace="0"/>
        </w:sectPr>
      </w:pPr>
    </w:p>
    <w:p>
      <w:pPr>
        <w:pStyle w:val="61"/>
        <w:spacing w:line="360" w:lineRule="auto"/>
        <w:ind w:left="0" w:leftChars="0" w:firstLine="281" w:firstLineChars="100"/>
        <w:rPr>
          <w:rFonts w:hint="eastAsia" w:ascii="楷体" w:hAnsi="楷体" w:eastAsia="楷体" w:cs="楷体"/>
          <w:b/>
          <w:color w:val="auto"/>
          <w:sz w:val="28"/>
          <w:highlight w:val="none"/>
        </w:rPr>
      </w:pPr>
      <w:r>
        <w:rPr>
          <w:rFonts w:hint="eastAsia" w:ascii="楷体" w:hAnsi="楷体" w:eastAsia="楷体" w:cs="楷体"/>
          <w:b/>
          <w:color w:val="auto"/>
          <w:sz w:val="28"/>
          <w:highlight w:val="none"/>
        </w:rPr>
        <w:fldChar w:fldCharType="begin"/>
      </w:r>
      <w:r>
        <w:rPr>
          <w:rFonts w:hint="eastAsia" w:ascii="楷体" w:hAnsi="楷体" w:eastAsia="楷体" w:cs="楷体"/>
          <w:b/>
          <w:color w:val="auto"/>
          <w:sz w:val="28"/>
          <w:highlight w:val="none"/>
        </w:rPr>
        <w:instrText xml:space="preserve">= 5 \* GB3</w:instrText>
      </w:r>
      <w:r>
        <w:rPr>
          <w:rFonts w:hint="eastAsia" w:ascii="楷体" w:hAnsi="楷体" w:eastAsia="楷体" w:cs="楷体"/>
          <w:b/>
          <w:color w:val="auto"/>
          <w:sz w:val="28"/>
          <w:highlight w:val="none"/>
        </w:rPr>
        <w:fldChar w:fldCharType="separate"/>
      </w:r>
      <w:r>
        <w:rPr>
          <w:rFonts w:hint="eastAsia" w:ascii="楷体" w:hAnsi="楷体" w:eastAsia="楷体" w:cs="楷体"/>
          <w:b/>
          <w:color w:val="auto"/>
          <w:sz w:val="28"/>
          <w:highlight w:val="none"/>
        </w:rPr>
        <w:t>⑤</w:t>
      </w:r>
      <w:r>
        <w:rPr>
          <w:rFonts w:hint="eastAsia" w:ascii="楷体" w:hAnsi="楷体" w:eastAsia="楷体" w:cs="楷体"/>
          <w:b/>
          <w:color w:val="auto"/>
          <w:sz w:val="28"/>
          <w:highlight w:val="none"/>
        </w:rPr>
        <w:fldChar w:fldCharType="end"/>
      </w:r>
      <w:r>
        <w:rPr>
          <w:rFonts w:hint="eastAsia" w:ascii="楷体" w:hAnsi="楷体" w:eastAsia="楷体" w:cs="楷体"/>
          <w:b/>
          <w:color w:val="auto"/>
          <w:sz w:val="28"/>
          <w:highlight w:val="none"/>
        </w:rPr>
        <w:t>成熟林（过熟林）补偿标准测算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将上述确定的各林木成熟林（过熟林）的木材销售总收入、生产经营成本、生产经营利润、林地地租带入市场价倒算法公式，得到各林木成熟林（过熟林）的补偿标准，详见表 5-17。</w:t>
      </w:r>
    </w:p>
    <w:p>
      <w:pPr>
        <w:widowControl/>
        <w:spacing w:line="360" w:lineRule="auto"/>
        <w:jc w:val="center"/>
        <w:rPr>
          <w:rFonts w:hint="eastAsia" w:ascii="楷体" w:hAnsi="楷体" w:eastAsia="楷体" w:cs="楷体"/>
        </w:rPr>
      </w:pPr>
      <w:r>
        <w:rPr>
          <w:rFonts w:hint="eastAsia" w:ascii="楷体" w:hAnsi="楷体" w:eastAsia="楷体" w:cs="楷体"/>
          <w:color w:val="000000"/>
          <w:kern w:val="0"/>
          <w:sz w:val="28"/>
          <w:szCs w:val="28"/>
          <w:lang w:bidi="ar"/>
        </w:rPr>
        <w:t>表 5-17 林木（成熟林）测算结果表</w:t>
      </w:r>
    </w:p>
    <w:tbl>
      <w:tblPr>
        <w:tblStyle w:val="45"/>
        <w:tblW w:w="9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308"/>
        <w:gridCol w:w="1572"/>
        <w:gridCol w:w="1392"/>
        <w:gridCol w:w="1308"/>
        <w:gridCol w:w="1308"/>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786" w:type="dxa"/>
            <w:gridSpan w:val="7"/>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bCs/>
                <w:i w:val="0"/>
                <w:iCs w:val="0"/>
                <w:color w:val="000000"/>
                <w:sz w:val="22"/>
                <w:szCs w:val="22"/>
                <w:u w:val="none"/>
              </w:rPr>
            </w:pPr>
            <w:r>
              <w:rPr>
                <w:rFonts w:hint="eastAsia" w:ascii="楷体" w:hAnsi="楷体" w:eastAsia="楷体" w:cs="楷体"/>
                <w:b/>
                <w:bCs/>
                <w:i w:val="0"/>
                <w:iCs w:val="0"/>
                <w:color w:val="000000"/>
                <w:kern w:val="0"/>
                <w:sz w:val="22"/>
                <w:szCs w:val="22"/>
                <w:u w:val="none"/>
                <w:lang w:val="en-US" w:eastAsia="zh-CN" w:bidi="ar"/>
              </w:rPr>
              <w:t>中龄林测算结果表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1494"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林木名称</w:t>
            </w:r>
          </w:p>
        </w:tc>
        <w:tc>
          <w:tcPr>
            <w:tcW w:w="1308"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木材销售总收入</w:t>
            </w:r>
          </w:p>
        </w:tc>
        <w:tc>
          <w:tcPr>
            <w:tcW w:w="1572"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木材生产经营成本</w:t>
            </w:r>
          </w:p>
        </w:tc>
        <w:tc>
          <w:tcPr>
            <w:tcW w:w="1392"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木材经营利润</w:t>
            </w:r>
          </w:p>
        </w:tc>
        <w:tc>
          <w:tcPr>
            <w:tcW w:w="1308"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林地地租</w:t>
            </w:r>
          </w:p>
        </w:tc>
        <w:tc>
          <w:tcPr>
            <w:tcW w:w="1308"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补偿标准（元/亩）</w:t>
            </w:r>
          </w:p>
        </w:tc>
        <w:tc>
          <w:tcPr>
            <w:tcW w:w="1404" w:type="dxa"/>
            <w:shd w:val="clear" w:color="auto" w:fill="FFFFFF"/>
            <w:noWrap w:val="0"/>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color w:val="000000"/>
                <w:kern w:val="0"/>
                <w:sz w:val="22"/>
                <w:szCs w:val="22"/>
                <w:u w:val="none"/>
                <w:lang w:val="en-US" w:eastAsia="zh-CN" w:bidi="ar"/>
              </w:rPr>
              <w:t>补偿标准（元/株）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4"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桉树</w:t>
            </w:r>
          </w:p>
        </w:tc>
        <w:tc>
          <w:tcPr>
            <w:tcW w:w="1308"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82047.7</w:t>
            </w:r>
          </w:p>
        </w:tc>
        <w:tc>
          <w:tcPr>
            <w:tcW w:w="1572"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26722.701</w:t>
            </w:r>
          </w:p>
        </w:tc>
        <w:tc>
          <w:tcPr>
            <w:tcW w:w="1392"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 xml:space="preserve">16409.5 </w:t>
            </w:r>
          </w:p>
        </w:tc>
        <w:tc>
          <w:tcPr>
            <w:tcW w:w="1308"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18000</w:t>
            </w:r>
          </w:p>
        </w:tc>
        <w:tc>
          <w:tcPr>
            <w:tcW w:w="1308"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 xml:space="preserve">20915 </w:t>
            </w:r>
          </w:p>
        </w:tc>
        <w:tc>
          <w:tcPr>
            <w:tcW w:w="1404"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 xml:space="preserve">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4"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云南松林</w:t>
            </w:r>
          </w:p>
        </w:tc>
        <w:tc>
          <w:tcPr>
            <w:tcW w:w="1308"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90144</w:t>
            </w:r>
          </w:p>
        </w:tc>
        <w:tc>
          <w:tcPr>
            <w:tcW w:w="1572"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28025.72</w:t>
            </w:r>
          </w:p>
        </w:tc>
        <w:tc>
          <w:tcPr>
            <w:tcW w:w="1392"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 xml:space="preserve">18028.8 </w:t>
            </w:r>
          </w:p>
        </w:tc>
        <w:tc>
          <w:tcPr>
            <w:tcW w:w="1308"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18000</w:t>
            </w:r>
          </w:p>
        </w:tc>
        <w:tc>
          <w:tcPr>
            <w:tcW w:w="1308"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 xml:space="preserve">26089 </w:t>
            </w:r>
          </w:p>
        </w:tc>
        <w:tc>
          <w:tcPr>
            <w:tcW w:w="1404"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4"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2"/>
                <w:sz w:val="22"/>
                <w:szCs w:val="22"/>
                <w:u w:val="none"/>
                <w:lang w:val="en-US" w:eastAsia="zh-CN" w:bidi="ar-SA"/>
              </w:rPr>
            </w:pPr>
            <w:r>
              <w:rPr>
                <w:rFonts w:hint="eastAsia" w:ascii="楷体" w:hAnsi="楷体" w:eastAsia="楷体" w:cs="楷体"/>
                <w:i w:val="0"/>
                <w:iCs w:val="0"/>
                <w:color w:val="000000"/>
                <w:kern w:val="0"/>
                <w:sz w:val="22"/>
                <w:szCs w:val="22"/>
                <w:u w:val="none"/>
                <w:lang w:val="en-US" w:eastAsia="zh-CN" w:bidi="ar"/>
              </w:rPr>
              <w:t>华山松林</w:t>
            </w:r>
          </w:p>
        </w:tc>
        <w:tc>
          <w:tcPr>
            <w:tcW w:w="1308"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81172.8</w:t>
            </w:r>
          </w:p>
        </w:tc>
        <w:tc>
          <w:tcPr>
            <w:tcW w:w="1572"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27111.464</w:t>
            </w:r>
          </w:p>
        </w:tc>
        <w:tc>
          <w:tcPr>
            <w:tcW w:w="1392"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 xml:space="preserve">16234.6 </w:t>
            </w:r>
          </w:p>
        </w:tc>
        <w:tc>
          <w:tcPr>
            <w:tcW w:w="1308"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18000</w:t>
            </w:r>
          </w:p>
        </w:tc>
        <w:tc>
          <w:tcPr>
            <w:tcW w:w="1308" w:type="dxa"/>
            <w:shd w:val="clear" w:color="auto" w:fill="FFFFFF"/>
            <w:noWrap w:val="0"/>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 xml:space="preserve">19827 </w:t>
            </w:r>
          </w:p>
        </w:tc>
        <w:tc>
          <w:tcPr>
            <w:tcW w:w="1404"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kern w:val="0"/>
                <w:sz w:val="22"/>
                <w:szCs w:val="22"/>
                <w:u w:val="none"/>
                <w:lang w:val="en-US" w:eastAsia="zh-CN" w:bidi="ar"/>
              </w:rPr>
            </w:pPr>
            <w:r>
              <w:rPr>
                <w:rFonts w:hint="eastAsia" w:ascii="楷体" w:hAnsi="楷体" w:eastAsia="楷体" w:cs="楷体"/>
                <w:i w:val="0"/>
                <w:iCs w:val="0"/>
                <w:color w:val="000000"/>
                <w:kern w:val="0"/>
                <w:sz w:val="22"/>
                <w:szCs w:val="22"/>
                <w:u w:val="none"/>
                <w:lang w:val="en-US" w:eastAsia="zh-CN" w:bidi="ar"/>
              </w:rPr>
              <w:t xml:space="preserve">110 </w:t>
            </w:r>
          </w:p>
        </w:tc>
      </w:tr>
    </w:tbl>
    <w:p>
      <w:pPr>
        <w:spacing w:line="360" w:lineRule="auto"/>
        <w:ind w:firstLine="280" w:firstLineChars="10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3.</w:t>
      </w:r>
      <w:r>
        <w:rPr>
          <w:rFonts w:hint="eastAsia" w:ascii="楷体" w:hAnsi="楷体" w:eastAsia="楷体" w:cs="楷体"/>
          <w:color w:val="auto"/>
          <w:sz w:val="28"/>
          <w:szCs w:val="28"/>
          <w:highlight w:val="none"/>
        </w:rPr>
        <w:t>果木类补偿标准测算</w:t>
      </w:r>
    </w:p>
    <w:p>
      <w:pPr>
        <w:pStyle w:val="61"/>
        <w:spacing w:line="360" w:lineRule="auto"/>
        <w:ind w:firstLine="56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根据果木的生长发育阶段可分为产前期、初产期、盛产期、衰产期，不同的阶段采用的测算方法也不一致，产前期采用的测算方法是重置成本法，初产期、盛产期、衰产期采用收获现值法。</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（1）相关技术指标的获取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①果木收益还原率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根据《全民所有自然资源资产清查技术指南》相关要求，果木的收益还原率在确定的林木收益还原率基础上加上 4%的特殊风险利率，即果木收益还原率=林木收益还原率 4.79%+特殊风险利率 4%=8.79%。</w:t>
      </w:r>
    </w:p>
    <w:p>
      <w:pPr>
        <w:keepNext w:val="0"/>
        <w:keepLines w:val="0"/>
        <w:widowControl/>
        <w:suppressLineNumbers w:val="0"/>
        <w:spacing w:line="360" w:lineRule="auto"/>
        <w:ind w:firstLine="280" w:firstLineChars="1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②果木建园密度和龄组（生长发育阶段）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《云南省森林资源规划设计调查操作细则》（2013 年修订），LY《名特优经济林基地建设技术规程》（LY-T 1557-2017）以及相关林业标准进行确定。详见下表。</w:t>
      </w:r>
    </w:p>
    <w:p>
      <w:pPr>
        <w:keepNext w:val="0"/>
        <w:keepLines w:val="0"/>
        <w:widowControl/>
        <w:suppressLineNumbers w:val="0"/>
        <w:spacing w:line="360" w:lineRule="auto"/>
        <w:jc w:val="center"/>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表 5-16果木主要技术表</w:t>
      </w:r>
    </w:p>
    <w:p>
      <w:pPr>
        <w:pStyle w:val="2"/>
        <w:spacing w:line="360" w:lineRule="auto"/>
        <w:outlineLvl w:val="9"/>
        <w:rPr>
          <w:rFonts w:hint="eastAsia" w:ascii="楷体" w:hAnsi="楷体" w:eastAsia="楷体" w:cs="楷体"/>
          <w:sz w:val="24"/>
          <w:szCs w:val="24"/>
        </w:rPr>
      </w:pPr>
    </w:p>
    <w:tbl>
      <w:tblPr>
        <w:tblStyle w:val="45"/>
        <w:tblW w:w="104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3"/>
        <w:gridCol w:w="946"/>
        <w:gridCol w:w="1776"/>
        <w:gridCol w:w="1656"/>
        <w:gridCol w:w="1656"/>
        <w:gridCol w:w="902"/>
        <w:gridCol w:w="1023"/>
        <w:gridCol w:w="1159"/>
        <w:gridCol w:w="7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40" w:hRule="atLeast"/>
          <w:tblHeader/>
          <w:jc w:val="center"/>
        </w:trPr>
        <w:tc>
          <w:tcPr>
            <w:tcW w:w="10495" w:type="dxa"/>
            <w:gridSpan w:val="9"/>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果木主要技术指标表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60"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工时费</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100元/工日</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复合肥2元/㎏</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农药</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60元/亩</w:t>
            </w:r>
          </w:p>
        </w:tc>
        <w:tc>
          <w:tcPr>
            <w:tcW w:w="9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规划设计费</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12元/亩</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管理费用</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12元/亩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05" w:hRule="atLeast"/>
          <w:tblHeader/>
          <w:jc w:val="center"/>
        </w:trPr>
        <w:tc>
          <w:tcPr>
            <w:tcW w:w="69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果木名称</w:t>
            </w:r>
          </w:p>
        </w:tc>
        <w:tc>
          <w:tcPr>
            <w:tcW w:w="94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苗木费（元/株）</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种植密度（株/亩）</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平均种植密度</w:t>
            </w:r>
          </w:p>
        </w:tc>
        <w:tc>
          <w:tcPr>
            <w:tcW w:w="4153"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龄组（生长发育阶段）（年）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60" w:hRule="atLeast"/>
          <w:tblHeader/>
          <w:jc w:val="center"/>
        </w:trPr>
        <w:tc>
          <w:tcPr>
            <w:tcW w:w="69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4"/>
                <w:szCs w:val="24"/>
                <w:u w:val="none"/>
              </w:rPr>
            </w:pPr>
          </w:p>
        </w:tc>
        <w:tc>
          <w:tcPr>
            <w:tcW w:w="94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4"/>
                <w:szCs w:val="24"/>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最低种植密度</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最高种植密度</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4"/>
                <w:szCs w:val="24"/>
                <w:u w:val="none"/>
              </w:rPr>
            </w:pP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产前期</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初产期</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盛产期</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衰产期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苹果</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70</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56</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9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≤4年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 xml:space="preserve"> 5-8 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9-30 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梨</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60</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53</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≤2年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3-5 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6-30 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桃子</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65</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35</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51</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52</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6-8 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9-30 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柿子</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55</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56</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51</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≤4年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5-8 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9-20 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≥21年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72"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李子</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6-10 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11-30 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坚果</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58</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52</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≤4年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5-8年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9-20年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≥21年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核桃</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65</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36</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6-10年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11-30年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板栗</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60</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58</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6-8年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9-30年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花椒</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45</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6-8年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9-30年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松子</w:t>
            </w:r>
          </w:p>
        </w:tc>
        <w:tc>
          <w:tcPr>
            <w:tcW w:w="9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16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58</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50</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6-8年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9-30年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6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柑橘</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65</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35</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55</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51</w:t>
            </w:r>
          </w:p>
        </w:tc>
        <w:tc>
          <w:tcPr>
            <w:tcW w:w="90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≤4年</w:t>
            </w:r>
          </w:p>
        </w:tc>
        <w:tc>
          <w:tcPr>
            <w:tcW w:w="11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5-9年</w:t>
            </w:r>
          </w:p>
        </w:tc>
        <w:tc>
          <w:tcPr>
            <w:tcW w:w="11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10-30年</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≥31年</w:t>
            </w:r>
          </w:p>
        </w:tc>
      </w:tr>
    </w:tbl>
    <w:p>
      <w:pPr>
        <w:pStyle w:val="61"/>
        <w:spacing w:line="360" w:lineRule="auto"/>
        <w:ind w:left="0" w:leftChars="0" w:firstLine="0" w:firstLineChars="0"/>
        <w:rPr>
          <w:rFonts w:hint="eastAsia" w:ascii="楷体" w:hAnsi="楷体" w:eastAsia="楷体" w:cs="楷体"/>
          <w:color w:val="auto"/>
          <w:kern w:val="0"/>
          <w:sz w:val="28"/>
          <w:szCs w:val="28"/>
          <w:highlight w:val="none"/>
        </w:rPr>
      </w:pPr>
    </w:p>
    <w:p>
      <w:pPr>
        <w:pStyle w:val="61"/>
        <w:spacing w:line="360" w:lineRule="auto"/>
        <w:ind w:left="0" w:leftChars="0"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kern w:val="0"/>
          <w:sz w:val="28"/>
          <w:szCs w:val="28"/>
          <w:highlight w:val="none"/>
        </w:rPr>
        <w:t>①</w:t>
      </w:r>
      <w:r>
        <w:rPr>
          <w:rFonts w:hint="eastAsia" w:ascii="楷体" w:hAnsi="楷体" w:eastAsia="楷体" w:cs="楷体"/>
          <w:color w:val="auto"/>
          <w:sz w:val="28"/>
          <w:szCs w:val="28"/>
          <w:highlight w:val="none"/>
        </w:rPr>
        <w:t>产前期测算方法采用重置成本法</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果木产前期测算方法采用重置成本法，果木产前期补偿标准测算采用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重置成本法，重置成本法，按现在的技术标准和工价、物价水平，重新种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植一片与被估算资产同样的果木分所需的资金成本和资金的投资收入（利 </w:t>
      </w:r>
    </w:p>
    <w:p>
      <w:pPr>
        <w:keepNext w:val="0"/>
        <w:keepLines w:val="0"/>
        <w:widowControl/>
        <w:suppressLineNumbers w:val="0"/>
        <w:spacing w:line="360" w:lineRule="auto"/>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息）作为林木资产的评估值测算。</w:t>
      </w:r>
    </w:p>
    <w:p>
      <w:pPr>
        <w:pStyle w:val="2"/>
        <w:spacing w:line="360" w:lineRule="auto"/>
        <w:outlineLvl w:val="9"/>
        <w:rPr>
          <w:rFonts w:hint="eastAsia" w:ascii="楷体" w:hAnsi="楷体" w:eastAsia="楷体" w:cs="楷体"/>
        </w:rPr>
      </w:pPr>
    </w:p>
    <w:p>
      <w:pPr>
        <w:spacing w:line="360" w:lineRule="auto"/>
        <w:rPr>
          <w:rFonts w:hint="eastAsia" w:ascii="楷体" w:hAnsi="楷体" w:eastAsia="楷体" w:cs="楷体"/>
        </w:rPr>
      </w:pPr>
    </w:p>
    <w:p>
      <w:pPr>
        <w:pStyle w:val="2"/>
        <w:spacing w:line="360" w:lineRule="auto"/>
        <w:outlineLvl w:val="9"/>
        <w:rPr>
          <w:rFonts w:hint="eastAsia" w:ascii="楷体" w:hAnsi="楷体" w:eastAsia="楷体" w:cs="楷体"/>
        </w:rPr>
      </w:pPr>
    </w:p>
    <w:p>
      <w:pPr>
        <w:spacing w:line="360" w:lineRule="auto"/>
        <w:jc w:val="center"/>
        <w:rPr>
          <w:rFonts w:hint="eastAsia" w:ascii="楷体" w:hAnsi="楷体" w:eastAsia="楷体" w:cs="楷体"/>
        </w:rPr>
      </w:pPr>
      <w:r>
        <w:rPr>
          <w:rFonts w:hint="eastAsia" w:ascii="楷体" w:hAnsi="楷体" w:eastAsia="楷体" w:cs="楷体"/>
          <w:color w:val="auto"/>
          <w:position w:val="-28"/>
          <w:sz w:val="28"/>
          <w:szCs w:val="28"/>
          <w:highlight w:val="none"/>
        </w:rPr>
        <w:object>
          <v:shape id="_x0000_i1032" o:spt="75" type="#_x0000_t75" style="height:45.6pt;width:204pt;" o:ole="t" filled="f" o:preferrelative="t" stroked="f" coordsize="21600,21600">
            <v:path/>
            <v:fill on="f" focussize="0,0"/>
            <v:stroke on="f" joinstyle="miter"/>
            <v:imagedata r:id="rId15" o:title=""/>
            <o:lock v:ext="edit" aspectratio="t"/>
            <w10:wrap type="none"/>
            <w10:anchorlock/>
          </v:shape>
          <o:OLEObject Type="Embed" ProgID="Equation.DSMT4" ShapeID="_x0000_i1032" DrawAspect="Content" ObjectID="_1468075732" r:id="rId28">
            <o:LockedField>false</o:LockedField>
          </o:OLEObject>
        </w:objec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式中：</w:t>
      </w:r>
    </w:p>
    <w:p>
      <w:pPr>
        <w:keepNext w:val="0"/>
        <w:keepLines w:val="0"/>
        <w:widowControl/>
        <w:suppressLineNumbers w:val="0"/>
        <w:spacing w:line="360" w:lineRule="auto"/>
        <w:ind w:firstLine="360" w:firstLineChars="200"/>
        <w:jc w:val="left"/>
        <w:rPr>
          <w:rFonts w:hint="eastAsia" w:ascii="楷体" w:hAnsi="楷体" w:eastAsia="楷体" w:cs="楷体"/>
        </w:rPr>
      </w:pPr>
      <w:r>
        <w:rPr>
          <w:rFonts w:hint="eastAsia" w:ascii="楷体" w:hAnsi="楷体" w:eastAsia="楷体" w:cs="楷体"/>
          <w:i/>
          <w:iCs/>
          <w:color w:val="000000"/>
          <w:kern w:val="0"/>
          <w:sz w:val="18"/>
          <w:szCs w:val="18"/>
          <w:lang w:val="en-US" w:eastAsia="zh-CN" w:bidi="ar"/>
        </w:rPr>
        <w:t xml:space="preserve">E </w:t>
      </w:r>
      <w:r>
        <w:rPr>
          <w:rFonts w:hint="eastAsia" w:ascii="楷体" w:hAnsi="楷体" w:eastAsia="楷体" w:cs="楷体"/>
          <w:i/>
          <w:iCs/>
          <w:color w:val="000000"/>
          <w:kern w:val="0"/>
          <w:sz w:val="10"/>
          <w:szCs w:val="10"/>
          <w:lang w:val="en-US" w:eastAsia="zh-CN" w:bidi="ar"/>
        </w:rPr>
        <w:t xml:space="preserve">n </w:t>
      </w:r>
      <w:r>
        <w:rPr>
          <w:rFonts w:hint="eastAsia" w:ascii="楷体" w:hAnsi="楷体" w:eastAsia="楷体" w:cs="楷体"/>
          <w:color w:val="000000"/>
          <w:kern w:val="0"/>
          <w:sz w:val="28"/>
          <w:szCs w:val="28"/>
          <w:lang w:val="en-US" w:eastAsia="zh-CN" w:bidi="ar"/>
        </w:rPr>
        <w:t xml:space="preserve">——果木评估值； </w:t>
      </w:r>
    </w:p>
    <w:p>
      <w:pPr>
        <w:keepNext w:val="0"/>
        <w:keepLines w:val="0"/>
        <w:widowControl/>
        <w:suppressLineNumbers w:val="0"/>
        <w:spacing w:line="360" w:lineRule="auto"/>
        <w:ind w:firstLine="280" w:firstLineChars="1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K——综合调整系数； </w:t>
      </w:r>
    </w:p>
    <w:p>
      <w:pPr>
        <w:keepNext w:val="0"/>
        <w:keepLines w:val="0"/>
        <w:widowControl/>
        <w:suppressLineNumbers w:val="0"/>
        <w:spacing w:line="360" w:lineRule="auto"/>
        <w:ind w:firstLine="360" w:firstLineChars="200"/>
        <w:jc w:val="left"/>
        <w:rPr>
          <w:rFonts w:hint="eastAsia" w:ascii="楷体" w:hAnsi="楷体" w:eastAsia="楷体" w:cs="楷体"/>
        </w:rPr>
      </w:pPr>
      <w:r>
        <w:rPr>
          <w:rFonts w:hint="eastAsia" w:ascii="楷体" w:hAnsi="楷体" w:eastAsia="楷体" w:cs="楷体"/>
          <w:i/>
          <w:iCs/>
          <w:color w:val="000000"/>
          <w:kern w:val="0"/>
          <w:sz w:val="18"/>
          <w:szCs w:val="18"/>
          <w:lang w:val="en-US" w:eastAsia="zh-CN" w:bidi="ar"/>
        </w:rPr>
        <w:t xml:space="preserve">C </w:t>
      </w:r>
      <w:r>
        <w:rPr>
          <w:rFonts w:hint="eastAsia" w:ascii="楷体" w:hAnsi="楷体" w:eastAsia="楷体" w:cs="楷体"/>
          <w:i/>
          <w:iCs/>
          <w:color w:val="000000"/>
          <w:kern w:val="0"/>
          <w:sz w:val="10"/>
          <w:szCs w:val="10"/>
          <w:lang w:val="en-US" w:eastAsia="zh-CN" w:bidi="ar"/>
        </w:rPr>
        <w:t xml:space="preserve">i </w:t>
      </w:r>
      <w:r>
        <w:rPr>
          <w:rFonts w:hint="eastAsia" w:ascii="楷体" w:hAnsi="楷体" w:eastAsia="楷体" w:cs="楷体"/>
          <w:color w:val="000000"/>
          <w:kern w:val="0"/>
          <w:sz w:val="28"/>
          <w:szCs w:val="28"/>
          <w:lang w:val="en-US" w:eastAsia="zh-CN" w:bidi="ar"/>
        </w:rPr>
        <w:t>——第 i 年以现时工价和生产水平为标准的生产成本（不含园地地租）；</w:t>
      </w:r>
    </w:p>
    <w:p>
      <w:pPr>
        <w:keepNext w:val="0"/>
        <w:keepLines w:val="0"/>
        <w:widowControl/>
        <w:suppressLineNumbers w:val="0"/>
        <w:spacing w:line="360" w:lineRule="auto"/>
        <w:ind w:firstLine="280" w:firstLineChars="1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n——估算对象现实林分年龄； </w:t>
      </w:r>
    </w:p>
    <w:p>
      <w:pPr>
        <w:keepNext w:val="0"/>
        <w:keepLines w:val="0"/>
        <w:widowControl/>
        <w:suppressLineNumbers w:val="0"/>
        <w:spacing w:line="360" w:lineRule="auto"/>
        <w:ind w:firstLine="260" w:firstLineChars="100"/>
        <w:jc w:val="left"/>
        <w:rPr>
          <w:rFonts w:hint="eastAsia" w:ascii="楷体" w:hAnsi="楷体" w:eastAsia="楷体" w:cs="楷体"/>
        </w:rPr>
      </w:pPr>
      <w:r>
        <w:rPr>
          <w:rFonts w:hint="eastAsia" w:ascii="楷体" w:hAnsi="楷体" w:eastAsia="楷体" w:cs="楷体"/>
          <w:i/>
          <w:iCs/>
          <w:color w:val="000000"/>
          <w:kern w:val="0"/>
          <w:sz w:val="26"/>
          <w:szCs w:val="26"/>
          <w:lang w:val="en-US" w:eastAsia="zh-CN" w:bidi="ar"/>
        </w:rPr>
        <w:t xml:space="preserve">p </w:t>
      </w:r>
      <w:r>
        <w:rPr>
          <w:rFonts w:hint="eastAsia" w:ascii="楷体" w:hAnsi="楷体" w:eastAsia="楷体" w:cs="楷体"/>
          <w:color w:val="000000"/>
          <w:kern w:val="0"/>
          <w:sz w:val="28"/>
          <w:szCs w:val="28"/>
          <w:lang w:val="en-US" w:eastAsia="zh-CN" w:bidi="ar"/>
        </w:rPr>
        <w:t>——收益还原率。</w:t>
      </w:r>
    </w:p>
    <w:p>
      <w:pPr>
        <w:pStyle w:val="2"/>
        <w:spacing w:line="360" w:lineRule="auto"/>
        <w:outlineLvl w:val="9"/>
        <w:rPr>
          <w:rFonts w:hint="eastAsia" w:ascii="楷体" w:hAnsi="楷体" w:eastAsia="楷体" w:cs="楷体"/>
        </w:rPr>
      </w:pP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b/>
          <w:bCs/>
          <w:color w:val="000000"/>
          <w:kern w:val="0"/>
          <w:sz w:val="28"/>
          <w:szCs w:val="28"/>
          <w:lang w:val="en-US" w:eastAsia="zh-CN" w:bidi="ar"/>
        </w:rPr>
        <w:t xml:space="preserve">②确定果木生产成本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果木产前期的生产水平为标准的生产成本，可根据不同树种果木产前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期标准林分平均株数等确定生产成本，具体包括第一年果木的种植和抚育 </w:t>
      </w:r>
    </w:p>
    <w:p>
      <w:pPr>
        <w:keepNext w:val="0"/>
        <w:keepLines w:val="0"/>
        <w:widowControl/>
        <w:suppressLineNumbers w:val="0"/>
        <w:spacing w:line="360" w:lineRule="auto"/>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成本和第二年至产前期林分年龄成本。其中第一年种植和抚育成本包括 </w:t>
      </w:r>
    </w:p>
    <w:p>
      <w:pPr>
        <w:keepNext w:val="0"/>
        <w:keepLines w:val="0"/>
        <w:widowControl/>
        <w:suppressLineNumbers w:val="0"/>
        <w:spacing w:line="360" w:lineRule="auto"/>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苗木费、种植费、施肥成本、抚育成本和其他成本；第二年至产前期 </w:t>
      </w:r>
    </w:p>
    <w:p>
      <w:pPr>
        <w:keepNext w:val="0"/>
        <w:keepLines w:val="0"/>
        <w:widowControl/>
        <w:suppressLineNumbers w:val="0"/>
        <w:spacing w:line="360" w:lineRule="auto"/>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林分年龄成本主要为年抚育成本，且各年抚育成本差别不大，统一为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一个值。数据来源于收集农业相关果木生产成本资料和实地走访填写调查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表得到，根据收集资料及调查表整理，各果木产前期的生产成本统计详见 </w:t>
      </w:r>
    </w:p>
    <w:p>
      <w:pPr>
        <w:keepNext w:val="0"/>
        <w:keepLines w:val="0"/>
        <w:widowControl/>
        <w:suppressLineNumbers w:val="0"/>
        <w:spacing w:line="360" w:lineRule="auto"/>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表 5-17。</w:t>
      </w:r>
    </w:p>
    <w:p>
      <w:pPr>
        <w:keepNext w:val="0"/>
        <w:keepLines w:val="0"/>
        <w:widowControl/>
        <w:suppressLineNumbers w:val="0"/>
        <w:spacing w:line="360" w:lineRule="auto"/>
        <w:jc w:val="center"/>
        <w:rPr>
          <w:rFonts w:hint="eastAsia" w:ascii="楷体" w:hAnsi="楷体" w:eastAsia="楷体" w:cs="楷体"/>
          <w:b w:val="0"/>
          <w:bCs w:val="0"/>
          <w:sz w:val="24"/>
          <w:szCs w:val="24"/>
        </w:rPr>
      </w:pPr>
      <w:r>
        <w:rPr>
          <w:rFonts w:hint="eastAsia" w:ascii="楷体" w:hAnsi="楷体" w:eastAsia="楷体" w:cs="楷体"/>
          <w:b w:val="0"/>
          <w:bCs w:val="0"/>
          <w:color w:val="000000"/>
          <w:kern w:val="0"/>
          <w:sz w:val="24"/>
          <w:szCs w:val="24"/>
          <w:lang w:val="en-US" w:eastAsia="zh-CN" w:bidi="ar"/>
        </w:rPr>
        <w:t>表 5-17 产前期果木单位投资构成表</w:t>
      </w:r>
    </w:p>
    <w:p>
      <w:pPr>
        <w:pStyle w:val="2"/>
        <w:spacing w:line="360" w:lineRule="auto"/>
        <w:outlineLvl w:val="9"/>
        <w:rPr>
          <w:rFonts w:hint="eastAsia" w:ascii="楷体" w:hAnsi="楷体" w:eastAsia="楷体" w:cs="楷体"/>
          <w:b w:val="0"/>
          <w:bCs w:val="0"/>
          <w:sz w:val="24"/>
          <w:szCs w:val="24"/>
        </w:rPr>
      </w:pPr>
    </w:p>
    <w:tbl>
      <w:tblPr>
        <w:tblStyle w:val="45"/>
        <w:tblW w:w="5690" w:type="pct"/>
        <w:tblInd w:w="-7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720"/>
        <w:gridCol w:w="696"/>
        <w:gridCol w:w="696"/>
        <w:gridCol w:w="708"/>
        <w:gridCol w:w="708"/>
        <w:gridCol w:w="732"/>
        <w:gridCol w:w="660"/>
        <w:gridCol w:w="1056"/>
        <w:gridCol w:w="732"/>
        <w:gridCol w:w="684"/>
        <w:gridCol w:w="816"/>
        <w:gridCol w:w="840"/>
        <w:gridCol w:w="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40" w:hRule="atLeast"/>
          <w:tblHeader/>
        </w:trPr>
        <w:tc>
          <w:tcPr>
            <w:tcW w:w="5000" w:type="pct"/>
            <w:gridSpan w:val="14"/>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产前期果木单位投资构成表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60" w:hRule="atLeast"/>
          <w:tblHeader/>
        </w:trPr>
        <w:tc>
          <w:tcPr>
            <w:tcW w:w="363" w:type="pct"/>
            <w:vMerge w:val="restart"/>
            <w:tcBorders>
              <w:top w:val="single" w:color="000000" w:sz="8" w:space="0"/>
              <w:left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果木名称</w:t>
            </w:r>
          </w:p>
        </w:tc>
        <w:tc>
          <w:tcPr>
            <w:tcW w:w="3173" w:type="pct"/>
            <w:gridSpan w:val="9"/>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第一年造林和抚育成本</w:t>
            </w:r>
          </w:p>
        </w:tc>
        <w:tc>
          <w:tcPr>
            <w:tcW w:w="1463" w:type="pct"/>
            <w:gridSpan w:val="4"/>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第二年至初产期林分年龄成本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05" w:hRule="atLeast"/>
          <w:tblHeader/>
        </w:trPr>
        <w:tc>
          <w:tcPr>
            <w:tcW w:w="363" w:type="pct"/>
            <w:vMerge w:val="continue"/>
            <w:tcBorders>
              <w:left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0"/>
                <w:sz w:val="24"/>
                <w:szCs w:val="24"/>
                <w:u w:val="none"/>
                <w:lang w:val="en-US" w:eastAsia="zh-CN" w:bidi="ar"/>
              </w:rPr>
            </w:pPr>
          </w:p>
        </w:tc>
        <w:tc>
          <w:tcPr>
            <w:tcW w:w="999"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材料费</w:t>
            </w:r>
          </w:p>
        </w:tc>
        <w:tc>
          <w:tcPr>
            <w:tcW w:w="1328" w:type="pct"/>
            <w:gridSpan w:val="4"/>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劳务费</w:t>
            </w:r>
          </w:p>
        </w:tc>
        <w:tc>
          <w:tcPr>
            <w:tcW w:w="845"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科技支撑费</w:t>
            </w:r>
          </w:p>
        </w:tc>
        <w:tc>
          <w:tcPr>
            <w:tcW w:w="1463" w:type="pct"/>
            <w:gridSpan w:val="4"/>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年抚育成本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60" w:hRule="atLeast"/>
          <w:tblHeader/>
        </w:trPr>
        <w:tc>
          <w:tcPr>
            <w:tcW w:w="363" w:type="pct"/>
            <w:vMerge w:val="continue"/>
            <w:tcBorders>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0"/>
                <w:sz w:val="24"/>
                <w:szCs w:val="24"/>
                <w:u w:val="none"/>
                <w:lang w:val="en-US" w:eastAsia="zh-CN" w:bidi="ar"/>
              </w:rPr>
            </w:pP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种苗</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肥料</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农药</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清理</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整地</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种植</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管护</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规划设计费</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管理费用</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肥料</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农药</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抚育成本</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管理费用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苹果</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3500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梨</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3180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桃子</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3380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柿子</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2805</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李子</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2500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坚果</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2600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核桃</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3250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板栗</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花椒</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2250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松子</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2500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8" w:hRule="atLeast"/>
          <w:tblHeader/>
        </w:trPr>
        <w:tc>
          <w:tcPr>
            <w:tcW w:w="3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柑橘</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3315</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3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3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r>
    </w:tbl>
    <w:p>
      <w:pPr>
        <w:spacing w:line="360" w:lineRule="auto"/>
        <w:rPr>
          <w:rFonts w:hint="eastAsia" w:ascii="楷体" w:hAnsi="楷体" w:eastAsia="楷体" w:cs="楷体"/>
        </w:rPr>
      </w:pP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③确定综合调整系数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由于采用总体评估方法对果木产前期价值进行估算，产前期实物量主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要因子为平均值，因此综合调整系数不进行调整，即 K 取 1。 </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④确定收益还原率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果木收益还原率8.79%。 </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⑤确定林分年龄 </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详见表 5-16。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⑥确定种植密度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详见表 5-16。 </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⑦产前期补偿标准测算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将上述确定的各果木产期期幼生产成本、综合调整系数、收益还原率、林分年龄带入重置成本法公式，得到各果木产前期补偿标准，详见表 5-18。 </w:t>
      </w:r>
    </w:p>
    <w:p>
      <w:pPr>
        <w:keepNext w:val="0"/>
        <w:keepLines w:val="0"/>
        <w:widowControl/>
        <w:suppressLineNumbers w:val="0"/>
        <w:spacing w:line="360" w:lineRule="auto"/>
        <w:ind w:firstLine="562" w:firstLineChars="200"/>
        <w:jc w:val="left"/>
        <w:rPr>
          <w:rFonts w:hint="eastAsia" w:ascii="楷体" w:hAnsi="楷体" w:eastAsia="楷体" w:cs="楷体"/>
        </w:rPr>
      </w:pPr>
      <w:r>
        <w:rPr>
          <w:rFonts w:hint="eastAsia" w:ascii="楷体" w:hAnsi="楷体" w:eastAsia="楷体" w:cs="楷体"/>
          <w:b/>
          <w:bCs/>
          <w:color w:val="000000"/>
          <w:kern w:val="0"/>
          <w:sz w:val="28"/>
          <w:szCs w:val="28"/>
          <w:lang w:val="en-US" w:eastAsia="zh-CN" w:bidi="ar"/>
        </w:rPr>
        <w:t>以苹果为例，具体测算过程如下：</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苹果的第 1 年生产成本为 4024 元/亩，第 2-8 年每年生产成本均为 252元/亩，林分年龄8、收益还原率为 8.79%，代入公式得到苹果产前期的补偿标准为 7577元/亩，苹果平均种植密度为 50 株/亩，苹果产前期按株数补偿标准=7577/50=152元/株。</w:t>
      </w:r>
    </w:p>
    <w:p>
      <w:pPr>
        <w:keepNext w:val="0"/>
        <w:keepLines w:val="0"/>
        <w:widowControl/>
        <w:suppressLineNumbers w:val="0"/>
        <w:spacing w:line="360" w:lineRule="auto"/>
        <w:jc w:val="center"/>
        <w:rPr>
          <w:rFonts w:hint="eastAsia" w:ascii="楷体" w:hAnsi="楷体" w:eastAsia="楷体" w:cs="楷体"/>
          <w:b w:val="0"/>
          <w:bCs w:val="0"/>
          <w:sz w:val="24"/>
          <w:szCs w:val="24"/>
        </w:rPr>
      </w:pPr>
      <w:r>
        <w:rPr>
          <w:rFonts w:hint="eastAsia" w:ascii="楷体" w:hAnsi="楷体" w:eastAsia="楷体" w:cs="楷体"/>
          <w:b w:val="0"/>
          <w:bCs w:val="0"/>
          <w:color w:val="000000"/>
          <w:kern w:val="0"/>
          <w:sz w:val="24"/>
          <w:szCs w:val="24"/>
          <w:lang w:val="en-US" w:eastAsia="zh-CN" w:bidi="ar"/>
        </w:rPr>
        <w:t>表 5-18果木产期期测算结果表</w:t>
      </w:r>
    </w:p>
    <w:tbl>
      <w:tblPr>
        <w:tblStyle w:val="45"/>
        <w:tblW w:w="11196" w:type="dxa"/>
        <w:tblInd w:w="-1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0"/>
        <w:gridCol w:w="1584"/>
        <w:gridCol w:w="1776"/>
        <w:gridCol w:w="2088"/>
        <w:gridCol w:w="1296"/>
        <w:gridCol w:w="1332"/>
        <w:gridCol w:w="1152"/>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04" w:hRule="atLeast"/>
          <w:tblHeader/>
        </w:trPr>
        <w:tc>
          <w:tcPr>
            <w:tcW w:w="11196" w:type="dxa"/>
            <w:gridSpan w:val="8"/>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果木产期期测算结果表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1269"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果木名称</w:t>
            </w:r>
          </w:p>
        </w:tc>
        <w:tc>
          <w:tcPr>
            <w:tcW w:w="1584"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综合调整系数（K）</w:t>
            </w:r>
          </w:p>
        </w:tc>
        <w:tc>
          <w:tcPr>
            <w:tcW w:w="177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第1年生产成本（Ci）</w:t>
            </w:r>
          </w:p>
        </w:tc>
        <w:tc>
          <w:tcPr>
            <w:tcW w:w="208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第2~n年生产成本（成本一样）</w:t>
            </w:r>
          </w:p>
        </w:tc>
        <w:tc>
          <w:tcPr>
            <w:tcW w:w="129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林分年龄（n）</w:t>
            </w:r>
          </w:p>
        </w:tc>
        <w:tc>
          <w:tcPr>
            <w:tcW w:w="1332"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收益还原率（p）</w:t>
            </w:r>
          </w:p>
        </w:tc>
        <w:tc>
          <w:tcPr>
            <w:tcW w:w="1152"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补偿标准（元/亩）</w:t>
            </w:r>
          </w:p>
        </w:tc>
        <w:tc>
          <w:tcPr>
            <w:tcW w:w="118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补偿标准（元/株）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苹果</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4024</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7577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梨</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3704</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6613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桃子</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3904</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6876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柿子</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3329</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5632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李子</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3024</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5246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坚果</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3124</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6345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核桃</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3774</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6705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00"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板栗</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3524</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6893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花椒</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2774</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4930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松子</w:t>
            </w:r>
          </w:p>
        </w:tc>
        <w:tc>
          <w:tcPr>
            <w:tcW w:w="1584"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3024</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5718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8" w:hRule="atLeast"/>
          <w:tblHeader/>
        </w:trPr>
        <w:tc>
          <w:tcPr>
            <w:tcW w:w="78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柑橘</w:t>
            </w:r>
          </w:p>
        </w:tc>
        <w:tc>
          <w:tcPr>
            <w:tcW w:w="1584"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776"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3839</w:t>
            </w:r>
          </w:p>
        </w:tc>
        <w:tc>
          <w:tcPr>
            <w:tcW w:w="2088"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252.0 </w:t>
            </w:r>
          </w:p>
        </w:tc>
        <w:tc>
          <w:tcPr>
            <w:tcW w:w="1296"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w:t>
            </w:r>
          </w:p>
        </w:tc>
        <w:tc>
          <w:tcPr>
            <w:tcW w:w="133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152" w:type="dxa"/>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6790 </w:t>
            </w:r>
          </w:p>
        </w:tc>
        <w:tc>
          <w:tcPr>
            <w:tcW w:w="1188" w:type="dxa"/>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133 </w:t>
            </w:r>
          </w:p>
        </w:tc>
      </w:tr>
    </w:tbl>
    <w:p>
      <w:pPr>
        <w:pStyle w:val="2"/>
        <w:spacing w:line="360" w:lineRule="auto"/>
        <w:outlineLvl w:val="9"/>
        <w:rPr>
          <w:rFonts w:hint="eastAsia" w:ascii="楷体" w:hAnsi="楷体" w:eastAsia="楷体" w:cs="楷体"/>
        </w:rPr>
      </w:pPr>
    </w:p>
    <w:p>
      <w:pPr>
        <w:pStyle w:val="61"/>
        <w:spacing w:line="360" w:lineRule="auto"/>
        <w:ind w:left="0" w:leftChars="0" w:firstLine="560" w:firstLineChars="200"/>
        <w:rPr>
          <w:rFonts w:hint="eastAsia" w:ascii="楷体" w:hAnsi="楷体" w:eastAsia="楷体" w:cs="楷体"/>
          <w:color w:val="auto"/>
          <w:sz w:val="28"/>
          <w:szCs w:val="28"/>
          <w:highlight w:val="none"/>
        </w:rPr>
      </w:pPr>
    </w:p>
    <w:p>
      <w:pPr>
        <w:pStyle w:val="61"/>
        <w:spacing w:line="360" w:lineRule="auto"/>
        <w:ind w:left="0" w:leftChars="0"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①</w:t>
      </w:r>
      <w:r>
        <w:rPr>
          <w:rFonts w:hint="eastAsia" w:ascii="楷体" w:hAnsi="楷体" w:eastAsia="楷体" w:cs="楷体"/>
          <w:color w:val="auto"/>
          <w:sz w:val="28"/>
          <w:szCs w:val="28"/>
          <w:highlight w:val="none"/>
        </w:rPr>
        <w:t>初产期、盛产期、衰产期测算方法采用收获现值法</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果木初产期、盛产期、衰产期测算方法采用收获现值法，收获现值法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是将被评估果木资产稳定的周期收益作为资本投资的收益，再按适当的投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资收益率求出资产的价值。计算公式为：</w:t>
      </w:r>
    </w:p>
    <w:p>
      <w:pPr>
        <w:pStyle w:val="61"/>
        <w:spacing w:line="360" w:lineRule="auto"/>
        <w:ind w:firstLine="560"/>
        <w:rPr>
          <w:rFonts w:hint="eastAsia" w:ascii="楷体" w:hAnsi="楷体" w:eastAsia="楷体" w:cs="楷体"/>
          <w:color w:val="auto"/>
          <w:sz w:val="28"/>
          <w:szCs w:val="28"/>
          <w:highlight w:val="none"/>
        </w:rPr>
      </w:pPr>
    </w:p>
    <w:p>
      <w:pPr>
        <w:spacing w:line="360" w:lineRule="auto"/>
        <w:jc w:val="center"/>
        <w:rPr>
          <w:rFonts w:hint="eastAsia" w:ascii="楷体" w:hAnsi="楷体" w:eastAsia="楷体" w:cs="楷体"/>
          <w:b/>
          <w:color w:val="auto"/>
          <w:sz w:val="28"/>
          <w:szCs w:val="28"/>
          <w:highlight w:val="none"/>
        </w:rPr>
      </w:pPr>
      <w:r>
        <w:rPr>
          <w:rFonts w:hint="eastAsia" w:ascii="楷体" w:hAnsi="楷体" w:eastAsia="楷体" w:cs="楷体"/>
          <w:color w:val="auto"/>
          <w:position w:val="-28"/>
          <w:sz w:val="28"/>
          <w:szCs w:val="28"/>
          <w:highlight w:val="none"/>
        </w:rPr>
        <w:object>
          <v:shape id="_x0000_i1033" o:spt="75" type="#_x0000_t75" style="height:44.4pt;width:162.6pt;" o:ole="t" filled="f" o:preferrelative="t" stroked="f" coordsize="21600,21600">
            <v:path/>
            <v:fill on="f" focussize="0,0"/>
            <v:stroke on="f" joinstyle="miter"/>
            <v:imagedata r:id="rId30" o:title=""/>
            <o:lock v:ext="edit" aspectratio="t"/>
            <w10:wrap type="none"/>
            <w10:anchorlock/>
          </v:shape>
          <o:OLEObject Type="Embed" ProgID="Equation.DSMT4" ShapeID="_x0000_i1033" DrawAspect="Content" ObjectID="_1468075733" r:id="rId29">
            <o:LockedField>false</o:LockedField>
          </o:OLEObject>
        </w:object>
      </w:r>
    </w:p>
    <w:p>
      <w:pPr>
        <w:adjustRightInd w:val="0"/>
        <w:snapToGrid w:val="0"/>
        <w:spacing w:line="360" w:lineRule="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式中：</w:t>
      </w:r>
    </w:p>
    <w:p>
      <w:pPr>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object>
          <v:shape id="_x0000_i1034" o:spt="75" type="#_x0000_t75" style="height:17.4pt;width:14.4pt;" o:ole="t" filled="f" o:preferrelative="t" stroked="f" coordsize="21600,21600">
            <v:path/>
            <v:fill on="f" focussize="0,0"/>
            <v:stroke on="f" joinstyle="miter"/>
            <v:imagedata r:id="rId32" o:title=""/>
            <o:lock v:ext="edit" aspectratio="t"/>
            <w10:wrap type="none"/>
            <w10:anchorlock/>
          </v:shape>
          <o:OLEObject Type="Embed" ProgID="Equation.DSMT4" ShapeID="_x0000_i1034" DrawAspect="Content" ObjectID="_1468075734" r:id="rId31">
            <o:LockedField>false</o:LockedField>
          </o:OLEObject>
        </w:object>
      </w:r>
      <w:r>
        <w:rPr>
          <w:rFonts w:hint="eastAsia" w:ascii="楷体" w:hAnsi="楷体" w:eastAsia="楷体" w:cs="楷体"/>
          <w:color w:val="auto"/>
          <w:sz w:val="28"/>
          <w:szCs w:val="28"/>
          <w:highlight w:val="none"/>
        </w:rPr>
        <w:t>——林木样点评估值；</w:t>
      </w:r>
    </w:p>
    <w:p>
      <w:pPr>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A——年均纯收益；</w:t>
      </w:r>
    </w:p>
    <w:p>
      <w:pPr>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object>
          <v:shape id="_x0000_i1035" o:spt="75" type="#_x0000_t75" style="height:12pt;width:11.4pt;" o:ole="t" filled="f" o:preferrelative="t" stroked="f" coordsize="21600,21600">
            <v:path/>
            <v:fill on="f" focussize="0,0"/>
            <v:stroke on="f" joinstyle="miter"/>
            <v:imagedata r:id="rId34" o:title=""/>
            <o:lock v:ext="edit" aspectratio="t"/>
            <w10:wrap type="none"/>
            <w10:anchorlock/>
          </v:shape>
          <o:OLEObject Type="Embed" ProgID="Equation.DSMT4" ShapeID="_x0000_i1035" DrawAspect="Content" ObjectID="_1468075735" r:id="rId33">
            <o:LockedField>false</o:LockedField>
          </o:OLEObject>
        </w:object>
      </w:r>
      <w:r>
        <w:rPr>
          <w:rFonts w:hint="eastAsia" w:ascii="楷体" w:hAnsi="楷体" w:eastAsia="楷体" w:cs="楷体"/>
          <w:color w:val="auto"/>
          <w:sz w:val="28"/>
          <w:szCs w:val="28"/>
          <w:highlight w:val="none"/>
        </w:rPr>
        <w:t>——收益还原率；</w:t>
      </w:r>
    </w:p>
    <w:p>
      <w:pPr>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u——经济寿命期。</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②确定收益还原率 </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果木初产期、盛产期、衰产期收获现值法测算补偿标准收益还原为8%。</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③确定收益期 </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各果木经济寿命期大于园地使用期限，果木经济寿命期取 50年。 </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④确定年均纯收益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果木销售总收入通过收集整理农业果木相关统计资料和实地填写调查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表确定各果木市场价格、单产，果木销售总收入=单价 x 单产，各果木初产期、盛产期、衰产期总收入详见表 5-19、表 5-20、表 5-21。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果木生产成本主要包括培育成本、采摘成本、其他成本、果木生产成本=培育成本+采摘成本+其他成本，各果木初产期、盛产期、衰产期成本费用通过收集整理果木相关资料和实地填写调查表确定，详见表 5-19、表 5-20、表 5-21。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确定果木生产经营利润和林业经营生产税费：利润指林产品销售行业的平均利润，利润率具体标准根据盘龙区实际情况确定；税费主要指水果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产品销售过程中应支付的相关税费，具体取费标准按国家和当地有关规定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确定。各果木初产期、盛产期、衰产期生产经营利润、经营生产税费详见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表 5-19、表 5-20、表 5-21。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园地地租、其他不可预见费，具体数据通过资料收集整理和外业调查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获取确定。各果木初产期、盛产期、衰产期园地地租、其他不可预见费详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见表 5-21、表 5-22、表 5-23。 </w:t>
      </w:r>
    </w:p>
    <w:p>
      <w:pPr>
        <w:spacing w:line="360" w:lineRule="auto"/>
        <w:rPr>
          <w:rFonts w:hint="eastAsia" w:ascii="楷体" w:hAnsi="楷体" w:eastAsia="楷体" w:cs="楷体"/>
          <w:color w:val="auto"/>
          <w:sz w:val="28"/>
          <w:szCs w:val="28"/>
          <w:highlight w:val="none"/>
        </w:rPr>
        <w:sectPr>
          <w:headerReference r:id="rId6" w:type="default"/>
          <w:footerReference r:id="rId7" w:type="default"/>
          <w:pgSz w:w="11905" w:h="16838"/>
          <w:pgMar w:top="1417" w:right="1247" w:bottom="1417" w:left="1587" w:header="851" w:footer="992" w:gutter="0"/>
          <w:pgNumType w:fmt="decimal"/>
          <w:cols w:space="0" w:num="1"/>
          <w:rtlGutter w:val="0"/>
          <w:docGrid w:type="lines" w:linePitch="312" w:charSpace="0"/>
        </w:sectPr>
      </w:pPr>
    </w:p>
    <w:p>
      <w:pPr>
        <w:keepNext w:val="0"/>
        <w:keepLines w:val="0"/>
        <w:widowControl/>
        <w:suppressLineNumbers w:val="0"/>
        <w:spacing w:line="360" w:lineRule="auto"/>
        <w:jc w:val="center"/>
        <w:rPr>
          <w:rFonts w:hint="eastAsia" w:ascii="楷体" w:hAnsi="楷体" w:eastAsia="楷体" w:cs="楷体"/>
          <w:b w:val="0"/>
          <w:bCs w:val="0"/>
          <w:color w:val="000000"/>
          <w:kern w:val="0"/>
          <w:sz w:val="24"/>
          <w:szCs w:val="24"/>
          <w:lang w:val="en-US" w:eastAsia="zh-CN" w:bidi="ar"/>
        </w:rPr>
      </w:pPr>
    </w:p>
    <w:p>
      <w:pPr>
        <w:keepNext w:val="0"/>
        <w:keepLines w:val="0"/>
        <w:widowControl/>
        <w:suppressLineNumbers w:val="0"/>
        <w:spacing w:line="360" w:lineRule="auto"/>
        <w:jc w:val="center"/>
        <w:rPr>
          <w:rFonts w:hint="eastAsia" w:ascii="楷体" w:hAnsi="楷体" w:eastAsia="楷体" w:cs="楷体"/>
          <w:b w:val="0"/>
          <w:bCs w:val="0"/>
          <w:sz w:val="24"/>
          <w:szCs w:val="24"/>
        </w:rPr>
      </w:pPr>
      <w:r>
        <w:rPr>
          <w:rFonts w:hint="eastAsia" w:ascii="楷体" w:hAnsi="楷体" w:eastAsia="楷体" w:cs="楷体"/>
          <w:b w:val="0"/>
          <w:bCs w:val="0"/>
          <w:color w:val="000000"/>
          <w:kern w:val="0"/>
          <w:sz w:val="24"/>
          <w:szCs w:val="24"/>
          <w:lang w:val="en-US" w:eastAsia="zh-CN" w:bidi="ar"/>
        </w:rPr>
        <w:t>表 5-19 各果木初产期生产经营情况统计表</w:t>
      </w:r>
    </w:p>
    <w:p>
      <w:pPr>
        <w:spacing w:line="360" w:lineRule="auto"/>
        <w:rPr>
          <w:rFonts w:hint="eastAsia" w:ascii="楷体" w:hAnsi="楷体" w:eastAsia="楷体" w:cs="楷体"/>
          <w:b w:val="0"/>
          <w:bCs w:val="0"/>
          <w:color w:val="auto"/>
          <w:sz w:val="24"/>
          <w:szCs w:val="24"/>
          <w:highlight w:val="none"/>
        </w:rPr>
      </w:pPr>
    </w:p>
    <w:tbl>
      <w:tblPr>
        <w:tblStyle w:val="45"/>
        <w:tblW w:w="5584" w:type="pct"/>
        <w:tblInd w:w="-1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0"/>
        <w:gridCol w:w="1104"/>
        <w:gridCol w:w="1320"/>
        <w:gridCol w:w="1656"/>
        <w:gridCol w:w="1176"/>
        <w:gridCol w:w="600"/>
        <w:gridCol w:w="744"/>
        <w:gridCol w:w="732"/>
        <w:gridCol w:w="864"/>
        <w:gridCol w:w="852"/>
        <w:gridCol w:w="696"/>
        <w:gridCol w:w="1284"/>
        <w:gridCol w:w="1260"/>
        <w:gridCol w:w="1008"/>
        <w:gridCol w:w="1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cantSplit/>
          <w:trHeight w:val="450" w:hRule="atLeast"/>
          <w:tblHeader/>
        </w:trPr>
        <w:tc>
          <w:tcPr>
            <w:tcW w:w="5000" w:type="pct"/>
            <w:gridSpan w:val="15"/>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果木初产期相关经济技术指标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05" w:hRule="atLeast"/>
          <w:tblHeader/>
        </w:trPr>
        <w:tc>
          <w:tcPr>
            <w:tcW w:w="245"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果木名称</w:t>
            </w:r>
          </w:p>
        </w:tc>
        <w:tc>
          <w:tcPr>
            <w:tcW w:w="347"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果木生长发育阶段</w:t>
            </w:r>
          </w:p>
        </w:tc>
        <w:tc>
          <w:tcPr>
            <w:tcW w:w="1307"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果木销售总收入</w:t>
            </w:r>
          </w:p>
        </w:tc>
        <w:tc>
          <w:tcPr>
            <w:tcW w:w="1193" w:type="pct"/>
            <w:gridSpan w:val="5"/>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年培育成本</w:t>
            </w:r>
          </w:p>
        </w:tc>
        <w:tc>
          <w:tcPr>
            <w:tcW w:w="219"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采摘成本</w:t>
            </w:r>
          </w:p>
        </w:tc>
        <w:tc>
          <w:tcPr>
            <w:tcW w:w="404"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经营利润</w:t>
            </w:r>
          </w:p>
        </w:tc>
        <w:tc>
          <w:tcPr>
            <w:tcW w:w="39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税费</w:t>
            </w:r>
          </w:p>
        </w:tc>
        <w:tc>
          <w:tcPr>
            <w:tcW w:w="317"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租金</w:t>
            </w:r>
          </w:p>
        </w:tc>
        <w:tc>
          <w:tcPr>
            <w:tcW w:w="568"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其他不可预见费用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60" w:hRule="atLeast"/>
          <w:tblHeader/>
        </w:trPr>
        <w:tc>
          <w:tcPr>
            <w:tcW w:w="245"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47"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平均单产（千克/亩）</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平均收购价格（元/千克）</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总收入（元/亩）</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肥料</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农药</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抚育成本</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管理费用</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合计</w:t>
            </w:r>
          </w:p>
        </w:tc>
        <w:tc>
          <w:tcPr>
            <w:tcW w:w="219"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04"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9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17"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68"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苹果</w:t>
            </w:r>
          </w:p>
        </w:tc>
        <w:tc>
          <w:tcPr>
            <w:tcW w:w="34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 5-8 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6750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1350</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202.5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梨</w:t>
            </w:r>
          </w:p>
        </w:tc>
        <w:tc>
          <w:tcPr>
            <w:tcW w:w="34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6-8 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24</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6480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1296</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194.4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桃子</w:t>
            </w:r>
          </w:p>
        </w:tc>
        <w:tc>
          <w:tcPr>
            <w:tcW w:w="34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6-9 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6750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1350</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202.5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柿子</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5-10年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265</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6625</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132.5</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1325</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198.8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李子</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5-6年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290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23</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6670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145</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1334</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200.1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坚果</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7-10年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230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28</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6440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115</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1288</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193.2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核桃</w:t>
            </w:r>
          </w:p>
        </w:tc>
        <w:tc>
          <w:tcPr>
            <w:tcW w:w="34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 6-10 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26</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7020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1404</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210.6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板栗</w:t>
            </w:r>
          </w:p>
        </w:tc>
        <w:tc>
          <w:tcPr>
            <w:tcW w:w="34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7-10 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26</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6500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125</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1300</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195.0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花椒</w:t>
            </w:r>
          </w:p>
        </w:tc>
        <w:tc>
          <w:tcPr>
            <w:tcW w:w="34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5-10年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220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6600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110</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1320</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198.0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松子</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6-10年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280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23</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6440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140</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1288</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193.2 </w:t>
            </w:r>
          </w:p>
        </w:tc>
        <w:tc>
          <w:tcPr>
            <w:tcW w:w="31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trPr>
        <w:tc>
          <w:tcPr>
            <w:tcW w:w="24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柑橘</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6-8 年</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260</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6500</w:t>
            </w:r>
          </w:p>
        </w:tc>
        <w:tc>
          <w:tcPr>
            <w:tcW w:w="18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0"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2"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1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130</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1300</w:t>
            </w:r>
          </w:p>
        </w:tc>
        <w:tc>
          <w:tcPr>
            <w:tcW w:w="39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195.0 </w:t>
            </w:r>
          </w:p>
        </w:tc>
        <w:tc>
          <w:tcPr>
            <w:tcW w:w="31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56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65</w:t>
            </w:r>
          </w:p>
        </w:tc>
      </w:tr>
    </w:tbl>
    <w:p>
      <w:pPr>
        <w:pStyle w:val="2"/>
        <w:spacing w:line="360" w:lineRule="auto"/>
        <w:outlineLvl w:val="9"/>
        <w:rPr>
          <w:rFonts w:hint="eastAsia" w:ascii="楷体" w:hAnsi="楷体" w:eastAsia="楷体" w:cs="楷体"/>
          <w:b w:val="0"/>
          <w:bCs w:val="0"/>
          <w:sz w:val="24"/>
          <w:szCs w:val="24"/>
        </w:rPr>
        <w:sectPr>
          <w:pgSz w:w="16838" w:h="11905" w:orient="landscape"/>
          <w:pgMar w:top="1417" w:right="1247" w:bottom="1417" w:left="1587" w:header="851" w:footer="992" w:gutter="0"/>
          <w:pgNumType w:fmt="decimal"/>
          <w:cols w:space="0" w:num="1"/>
          <w:rtlGutter w:val="0"/>
          <w:docGrid w:type="lines" w:linePitch="312" w:charSpace="0"/>
        </w:sectPr>
      </w:pPr>
    </w:p>
    <w:p>
      <w:pPr>
        <w:keepNext w:val="0"/>
        <w:keepLines w:val="0"/>
        <w:widowControl/>
        <w:suppressLineNumbers w:val="0"/>
        <w:spacing w:line="360" w:lineRule="auto"/>
        <w:jc w:val="center"/>
        <w:rPr>
          <w:rFonts w:hint="eastAsia" w:ascii="楷体" w:hAnsi="楷体" w:eastAsia="楷体" w:cs="楷体"/>
          <w:b w:val="0"/>
          <w:bCs w:val="0"/>
          <w:color w:val="000000"/>
          <w:kern w:val="0"/>
          <w:sz w:val="24"/>
          <w:szCs w:val="24"/>
          <w:lang w:val="en-US" w:eastAsia="zh-CN" w:bidi="ar"/>
        </w:rPr>
      </w:pPr>
    </w:p>
    <w:p>
      <w:pPr>
        <w:keepNext w:val="0"/>
        <w:keepLines w:val="0"/>
        <w:widowControl/>
        <w:suppressLineNumbers w:val="0"/>
        <w:spacing w:line="360" w:lineRule="auto"/>
        <w:jc w:val="center"/>
        <w:rPr>
          <w:rFonts w:hint="eastAsia" w:ascii="楷体" w:hAnsi="楷体" w:eastAsia="楷体" w:cs="楷体"/>
          <w:b w:val="0"/>
          <w:bCs w:val="0"/>
          <w:sz w:val="24"/>
          <w:szCs w:val="24"/>
        </w:rPr>
      </w:pPr>
      <w:r>
        <w:rPr>
          <w:rFonts w:hint="eastAsia" w:ascii="楷体" w:hAnsi="楷体" w:eastAsia="楷体" w:cs="楷体"/>
          <w:b w:val="0"/>
          <w:bCs w:val="0"/>
          <w:color w:val="000000"/>
          <w:kern w:val="0"/>
          <w:sz w:val="24"/>
          <w:szCs w:val="24"/>
          <w:lang w:val="en-US" w:eastAsia="zh-CN" w:bidi="ar"/>
        </w:rPr>
        <w:t>表 5-20 各果木盛产期生产经营情况统计表</w:t>
      </w:r>
    </w:p>
    <w:p>
      <w:pPr>
        <w:spacing w:line="360" w:lineRule="auto"/>
        <w:ind w:firstLine="480" w:firstLineChars="200"/>
        <w:jc w:val="center"/>
        <w:rPr>
          <w:rFonts w:hint="eastAsia" w:ascii="楷体" w:hAnsi="楷体" w:eastAsia="楷体" w:cs="楷体"/>
          <w:b w:val="0"/>
          <w:bCs w:val="0"/>
          <w:color w:val="auto"/>
          <w:sz w:val="24"/>
          <w:szCs w:val="24"/>
          <w:highlight w:val="none"/>
        </w:rPr>
      </w:pPr>
    </w:p>
    <w:tbl>
      <w:tblPr>
        <w:tblStyle w:val="45"/>
        <w:tblW w:w="5393" w:type="pct"/>
        <w:tblInd w:w="-1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3"/>
        <w:gridCol w:w="1093"/>
        <w:gridCol w:w="1296"/>
        <w:gridCol w:w="1668"/>
        <w:gridCol w:w="1176"/>
        <w:gridCol w:w="588"/>
        <w:gridCol w:w="780"/>
        <w:gridCol w:w="720"/>
        <w:gridCol w:w="852"/>
        <w:gridCol w:w="852"/>
        <w:gridCol w:w="708"/>
        <w:gridCol w:w="1260"/>
        <w:gridCol w:w="1272"/>
        <w:gridCol w:w="1020"/>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50" w:hRule="atLeast"/>
          <w:tblHeader/>
        </w:trPr>
        <w:tc>
          <w:tcPr>
            <w:tcW w:w="5000" w:type="pct"/>
            <w:gridSpan w:val="15"/>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果木初产期相关经济技术指标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05" w:hRule="atLeast"/>
          <w:tblHeader/>
        </w:trPr>
        <w:tc>
          <w:tcPr>
            <w:tcW w:w="26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果木名称</w:t>
            </w:r>
          </w:p>
        </w:tc>
        <w:tc>
          <w:tcPr>
            <w:tcW w:w="35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果木生长发育阶段</w:t>
            </w:r>
          </w:p>
        </w:tc>
        <w:tc>
          <w:tcPr>
            <w:tcW w:w="1349"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果木销售总收入</w:t>
            </w:r>
          </w:p>
        </w:tc>
        <w:tc>
          <w:tcPr>
            <w:tcW w:w="1236" w:type="pct"/>
            <w:gridSpan w:val="5"/>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年培育成本</w:t>
            </w:r>
          </w:p>
        </w:tc>
        <w:tc>
          <w:tcPr>
            <w:tcW w:w="230"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采摘成本</w:t>
            </w:r>
          </w:p>
        </w:tc>
        <w:tc>
          <w:tcPr>
            <w:tcW w:w="410"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经营利润</w:t>
            </w:r>
          </w:p>
        </w:tc>
        <w:tc>
          <w:tcPr>
            <w:tcW w:w="414"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税费</w:t>
            </w:r>
          </w:p>
        </w:tc>
        <w:tc>
          <w:tcPr>
            <w:tcW w:w="33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租金</w:t>
            </w:r>
          </w:p>
        </w:tc>
        <w:tc>
          <w:tcPr>
            <w:tcW w:w="407"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其他不可预见费用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60" w:hRule="atLeast"/>
          <w:tblHeader/>
        </w:trPr>
        <w:tc>
          <w:tcPr>
            <w:tcW w:w="26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5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平均单产（千克/亩）</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平均收购价格（元/千克）</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总收入（元/亩）</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肥料</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农药</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抚育成本</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管理费用</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合计</w:t>
            </w:r>
          </w:p>
        </w:tc>
        <w:tc>
          <w:tcPr>
            <w:tcW w:w="230"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10"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14"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3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07"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苹果</w:t>
            </w:r>
          </w:p>
        </w:tc>
        <w:tc>
          <w:tcPr>
            <w:tcW w:w="35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9-30 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6750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2025</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405.0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梨</w:t>
            </w:r>
          </w:p>
        </w:tc>
        <w:tc>
          <w:tcPr>
            <w:tcW w:w="35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9-30 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280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24</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6720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2016</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403.2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桃子</w:t>
            </w:r>
          </w:p>
        </w:tc>
        <w:tc>
          <w:tcPr>
            <w:tcW w:w="35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10-15 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6750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2025</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405.0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柿子</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11-40年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285</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24</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6840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142.5</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2052</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410.4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李子</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7-15年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290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23</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6670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145</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2001</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400.2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坚果</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11-30年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240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28</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6720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2016</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403.2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核桃</w:t>
            </w:r>
          </w:p>
        </w:tc>
        <w:tc>
          <w:tcPr>
            <w:tcW w:w="35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11-70 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26</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7020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2106</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421.2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板栗</w:t>
            </w:r>
          </w:p>
        </w:tc>
        <w:tc>
          <w:tcPr>
            <w:tcW w:w="35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11-60 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260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26</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6760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2028</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405.6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花椒</w:t>
            </w:r>
          </w:p>
        </w:tc>
        <w:tc>
          <w:tcPr>
            <w:tcW w:w="35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11-30 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230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29</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6670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115</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2001</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400.2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松子</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11-60年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6750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2025</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405.0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trPr>
        <w:tc>
          <w:tcPr>
            <w:tcW w:w="2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柑橘</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9-30 年</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270</w:t>
            </w:r>
          </w:p>
        </w:tc>
        <w:tc>
          <w:tcPr>
            <w:tcW w:w="54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6750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5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7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2025</w:t>
            </w:r>
          </w:p>
        </w:tc>
        <w:tc>
          <w:tcPr>
            <w:tcW w:w="4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405.0 </w:t>
            </w:r>
          </w:p>
        </w:tc>
        <w:tc>
          <w:tcPr>
            <w:tcW w:w="33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68 </w:t>
            </w:r>
          </w:p>
        </w:tc>
      </w:tr>
    </w:tbl>
    <w:p>
      <w:pPr>
        <w:pStyle w:val="2"/>
        <w:spacing w:line="360" w:lineRule="auto"/>
        <w:outlineLvl w:val="9"/>
        <w:rPr>
          <w:rFonts w:hint="eastAsia" w:ascii="楷体" w:hAnsi="楷体" w:eastAsia="楷体" w:cs="楷体"/>
          <w:b w:val="0"/>
          <w:bCs w:val="0"/>
          <w:sz w:val="24"/>
          <w:szCs w:val="24"/>
        </w:rPr>
        <w:sectPr>
          <w:pgSz w:w="16838" w:h="11905" w:orient="landscape"/>
          <w:pgMar w:top="1417" w:right="1247" w:bottom="1417" w:left="1587" w:header="851" w:footer="992" w:gutter="0"/>
          <w:pgNumType w:fmt="decimal"/>
          <w:cols w:space="0" w:num="1"/>
          <w:rtlGutter w:val="0"/>
          <w:docGrid w:type="lines" w:linePitch="312" w:charSpace="0"/>
        </w:sectPr>
      </w:pPr>
    </w:p>
    <w:p>
      <w:pPr>
        <w:keepNext w:val="0"/>
        <w:keepLines w:val="0"/>
        <w:widowControl/>
        <w:suppressLineNumbers w:val="0"/>
        <w:spacing w:line="360" w:lineRule="auto"/>
        <w:jc w:val="center"/>
        <w:rPr>
          <w:rFonts w:hint="eastAsia" w:ascii="楷体" w:hAnsi="楷体" w:eastAsia="楷体" w:cs="楷体"/>
          <w:b w:val="0"/>
          <w:bCs w:val="0"/>
          <w:sz w:val="24"/>
          <w:szCs w:val="24"/>
        </w:rPr>
      </w:pPr>
      <w:r>
        <w:rPr>
          <w:rFonts w:hint="eastAsia" w:ascii="楷体" w:hAnsi="楷体" w:eastAsia="楷体" w:cs="楷体"/>
          <w:b w:val="0"/>
          <w:bCs w:val="0"/>
          <w:color w:val="000000"/>
          <w:kern w:val="0"/>
          <w:sz w:val="24"/>
          <w:szCs w:val="24"/>
          <w:lang w:val="en-US" w:eastAsia="zh-CN" w:bidi="ar"/>
        </w:rPr>
        <w:t>表 5-21各果木衰产期生产经营情况统计表</w:t>
      </w:r>
    </w:p>
    <w:p>
      <w:pPr>
        <w:spacing w:line="360" w:lineRule="auto"/>
        <w:jc w:val="center"/>
        <w:rPr>
          <w:rFonts w:hint="eastAsia" w:ascii="楷体" w:hAnsi="楷体" w:eastAsia="楷体" w:cs="楷体"/>
          <w:b w:val="0"/>
          <w:bCs w:val="0"/>
          <w:sz w:val="24"/>
          <w:szCs w:val="24"/>
        </w:rPr>
      </w:pPr>
    </w:p>
    <w:tbl>
      <w:tblPr>
        <w:tblStyle w:val="45"/>
        <w:tblW w:w="5387" w:type="pct"/>
        <w:tblInd w:w="-1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1"/>
        <w:gridCol w:w="1106"/>
        <w:gridCol w:w="1279"/>
        <w:gridCol w:w="1704"/>
        <w:gridCol w:w="1164"/>
        <w:gridCol w:w="612"/>
        <w:gridCol w:w="756"/>
        <w:gridCol w:w="732"/>
        <w:gridCol w:w="816"/>
        <w:gridCol w:w="888"/>
        <w:gridCol w:w="708"/>
        <w:gridCol w:w="1248"/>
        <w:gridCol w:w="1272"/>
        <w:gridCol w:w="1008"/>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15"/>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果木初产期相关经济技术指标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5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果木名称</w:t>
            </w:r>
          </w:p>
        </w:tc>
        <w:tc>
          <w:tcPr>
            <w:tcW w:w="360"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果木生长发育阶段</w:t>
            </w:r>
          </w:p>
        </w:tc>
        <w:tc>
          <w:tcPr>
            <w:tcW w:w="1353"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果木销售总收入</w:t>
            </w:r>
          </w:p>
        </w:tc>
        <w:tc>
          <w:tcPr>
            <w:tcW w:w="1241" w:type="pct"/>
            <w:gridSpan w:val="5"/>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年培育成本</w:t>
            </w:r>
          </w:p>
        </w:tc>
        <w:tc>
          <w:tcPr>
            <w:tcW w:w="23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采摘成本</w:t>
            </w:r>
          </w:p>
        </w:tc>
        <w:tc>
          <w:tcPr>
            <w:tcW w:w="407"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经营利润</w:t>
            </w:r>
          </w:p>
        </w:tc>
        <w:tc>
          <w:tcPr>
            <w:tcW w:w="415"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税费</w:t>
            </w:r>
          </w:p>
        </w:tc>
        <w:tc>
          <w:tcPr>
            <w:tcW w:w="328"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租金</w:t>
            </w:r>
          </w:p>
        </w:tc>
        <w:tc>
          <w:tcPr>
            <w:tcW w:w="410"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其他不可预见费用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5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60"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平均单产（千克/亩）</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平均收购价格（元/千克）</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总收入（元/亩）</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肥料</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农药</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抚育成本</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管理费用</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合计</w:t>
            </w:r>
          </w:p>
        </w:tc>
        <w:tc>
          <w:tcPr>
            <w:tcW w:w="23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07"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15"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28"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410"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苹果</w:t>
            </w:r>
          </w:p>
        </w:tc>
        <w:tc>
          <w:tcPr>
            <w:tcW w:w="3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≥31年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1800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54.0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梨</w:t>
            </w:r>
          </w:p>
        </w:tc>
        <w:tc>
          <w:tcPr>
            <w:tcW w:w="3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≥31年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1280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128</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38.4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桃子</w:t>
            </w:r>
          </w:p>
        </w:tc>
        <w:tc>
          <w:tcPr>
            <w:tcW w:w="3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1700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51.0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柿子</w:t>
            </w:r>
          </w:p>
        </w:tc>
        <w:tc>
          <w:tcPr>
            <w:tcW w:w="36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≥41年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1260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45</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126</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37.8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李子</w:t>
            </w:r>
          </w:p>
        </w:tc>
        <w:tc>
          <w:tcPr>
            <w:tcW w:w="36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1300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39.0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坚果</w:t>
            </w:r>
          </w:p>
        </w:tc>
        <w:tc>
          <w:tcPr>
            <w:tcW w:w="36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≥31年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1080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108</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32.4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核桃</w:t>
            </w:r>
          </w:p>
        </w:tc>
        <w:tc>
          <w:tcPr>
            <w:tcW w:w="3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≥71年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1800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54.0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板栗</w:t>
            </w:r>
          </w:p>
        </w:tc>
        <w:tc>
          <w:tcPr>
            <w:tcW w:w="3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≥61年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1620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45</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162</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48.6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花椒</w:t>
            </w:r>
          </w:p>
        </w:tc>
        <w:tc>
          <w:tcPr>
            <w:tcW w:w="3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≥31年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850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85</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25.5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松子</w:t>
            </w:r>
          </w:p>
        </w:tc>
        <w:tc>
          <w:tcPr>
            <w:tcW w:w="36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≥61年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1050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35</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105</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31.5 </w:t>
            </w:r>
          </w:p>
        </w:tc>
        <w:tc>
          <w:tcPr>
            <w:tcW w:w="32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5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柑橘</w:t>
            </w:r>
          </w:p>
        </w:tc>
        <w:tc>
          <w:tcPr>
            <w:tcW w:w="36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≥31年</w:t>
            </w:r>
          </w:p>
        </w:tc>
        <w:tc>
          <w:tcPr>
            <w:tcW w:w="417"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90</w:t>
            </w:r>
          </w:p>
        </w:tc>
        <w:tc>
          <w:tcPr>
            <w:tcW w:w="55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w:t>
            </w:r>
          </w:p>
        </w:tc>
        <w:tc>
          <w:tcPr>
            <w:tcW w:w="37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1530</w:t>
            </w:r>
          </w:p>
        </w:tc>
        <w:tc>
          <w:tcPr>
            <w:tcW w:w="19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60</w:t>
            </w:r>
          </w:p>
        </w:tc>
        <w:tc>
          <w:tcPr>
            <w:tcW w:w="2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6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2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45</w:t>
            </w:r>
          </w:p>
        </w:tc>
        <w:tc>
          <w:tcPr>
            <w:tcW w:w="407"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153</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45.9 </w:t>
            </w:r>
          </w:p>
        </w:tc>
        <w:tc>
          <w:tcPr>
            <w:tcW w:w="32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w:t>
            </w:r>
          </w:p>
        </w:tc>
        <w:tc>
          <w:tcPr>
            <w:tcW w:w="410"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 </w:t>
            </w:r>
          </w:p>
        </w:tc>
      </w:tr>
    </w:tbl>
    <w:p>
      <w:pPr>
        <w:pStyle w:val="2"/>
        <w:spacing w:line="360" w:lineRule="auto"/>
        <w:outlineLvl w:val="9"/>
        <w:rPr>
          <w:rFonts w:hint="eastAsia" w:ascii="楷体" w:hAnsi="楷体" w:eastAsia="楷体" w:cs="楷体"/>
        </w:rPr>
        <w:sectPr>
          <w:pgSz w:w="16838" w:h="11905" w:orient="landscape"/>
          <w:pgMar w:top="1417" w:right="1247" w:bottom="1417" w:left="1587" w:header="851" w:footer="992" w:gutter="0"/>
          <w:pgNumType w:fmt="decimal"/>
          <w:cols w:space="0" w:num="1"/>
          <w:rtlGutter w:val="0"/>
          <w:docGrid w:type="lines" w:linePitch="312" w:charSpace="0"/>
        </w:sectPr>
      </w:pP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 xml:space="preserve">⑤果木初产期、盛产期、衰产期补偿标准测算 </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将上述确定的果木初产期、盛产期、衰产期的收益还原率、收益期、年均纯收益带入收获现值法公式，得到各果木初产期、盛产期、衰产期补偿标准，详见表 5-22、表 5-23、表 5-24。 </w:t>
      </w:r>
    </w:p>
    <w:p>
      <w:pPr>
        <w:keepNext w:val="0"/>
        <w:keepLines w:val="0"/>
        <w:widowControl/>
        <w:suppressLineNumbers w:val="0"/>
        <w:spacing w:line="360" w:lineRule="auto"/>
        <w:ind w:firstLine="281" w:firstLineChars="100"/>
        <w:jc w:val="left"/>
        <w:rPr>
          <w:rFonts w:hint="eastAsia" w:ascii="楷体" w:hAnsi="楷体" w:eastAsia="楷体" w:cs="楷体"/>
        </w:rPr>
      </w:pPr>
      <w:r>
        <w:rPr>
          <w:rFonts w:hint="eastAsia" w:ascii="楷体" w:hAnsi="楷体" w:eastAsia="楷体" w:cs="楷体"/>
          <w:b/>
          <w:bCs/>
          <w:color w:val="000000"/>
          <w:kern w:val="0"/>
          <w:sz w:val="28"/>
          <w:szCs w:val="28"/>
          <w:lang w:val="en-US" w:eastAsia="zh-CN" w:bidi="ar"/>
        </w:rPr>
        <w:t xml:space="preserve">以初产期苹果为例，具体测算过程如下： </w:t>
      </w:r>
    </w:p>
    <w:p>
      <w:pPr>
        <w:keepNext w:val="0"/>
        <w:keepLines w:val="0"/>
        <w:widowControl/>
        <w:suppressLineNumbers w:val="0"/>
        <w:spacing w:line="360" w:lineRule="auto"/>
        <w:ind w:firstLine="560" w:firstLineChars="200"/>
        <w:jc w:val="lef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苹果的初产期年均纯收益为 4805 元/亩，收益还原率为 8%，代入收获现值法公式得到苹果初产期的补偿标准15915 元/亩。苹果种植密度为 50 株/亩，苹果初产期按株数补偿标准=15915/50=318 元/株。</w:t>
      </w:r>
    </w:p>
    <w:p>
      <w:pPr>
        <w:keepNext w:val="0"/>
        <w:keepLines w:val="0"/>
        <w:widowControl/>
        <w:suppressLineNumbers w:val="0"/>
        <w:spacing w:line="360" w:lineRule="auto"/>
        <w:jc w:val="center"/>
        <w:rPr>
          <w:rFonts w:hint="eastAsia" w:ascii="楷体" w:hAnsi="楷体" w:eastAsia="楷体" w:cs="楷体"/>
          <w:b w:val="0"/>
          <w:bCs w:val="0"/>
          <w:sz w:val="24"/>
          <w:szCs w:val="24"/>
        </w:rPr>
      </w:pPr>
      <w:r>
        <w:rPr>
          <w:rFonts w:hint="eastAsia" w:ascii="楷体" w:hAnsi="楷体" w:eastAsia="楷体" w:cs="楷体"/>
          <w:b w:val="0"/>
          <w:bCs w:val="0"/>
          <w:color w:val="000000"/>
          <w:kern w:val="0"/>
          <w:sz w:val="24"/>
          <w:szCs w:val="24"/>
          <w:lang w:val="en-US" w:eastAsia="zh-CN" w:bidi="ar"/>
        </w:rPr>
        <w:t>表 5-22果木初产期测算结果表</w:t>
      </w:r>
    </w:p>
    <w:p>
      <w:pPr>
        <w:keepNext w:val="0"/>
        <w:keepLines w:val="0"/>
        <w:widowControl/>
        <w:suppressLineNumbers w:val="0"/>
        <w:spacing w:line="360" w:lineRule="auto"/>
        <w:ind w:firstLine="480" w:firstLineChars="200"/>
        <w:jc w:val="left"/>
        <w:rPr>
          <w:rFonts w:hint="eastAsia" w:ascii="楷体" w:hAnsi="楷体" w:eastAsia="楷体" w:cs="楷体"/>
          <w:b w:val="0"/>
          <w:bCs w:val="0"/>
          <w:sz w:val="24"/>
          <w:szCs w:val="24"/>
        </w:rPr>
      </w:pPr>
      <w:r>
        <w:rPr>
          <w:rFonts w:hint="eastAsia" w:ascii="楷体" w:hAnsi="楷体" w:eastAsia="楷体" w:cs="楷体"/>
          <w:b w:val="0"/>
          <w:bCs w:val="0"/>
          <w:color w:val="000000"/>
          <w:kern w:val="0"/>
          <w:sz w:val="24"/>
          <w:szCs w:val="24"/>
          <w:lang w:val="en-US" w:eastAsia="zh-CN" w:bidi="ar"/>
        </w:rPr>
        <w:t xml:space="preserve"> </w:t>
      </w:r>
    </w:p>
    <w:tbl>
      <w:tblPr>
        <w:tblStyle w:val="45"/>
        <w:tblW w:w="88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16"/>
        <w:gridCol w:w="1476"/>
        <w:gridCol w:w="1356"/>
        <w:gridCol w:w="1476"/>
        <w:gridCol w:w="1164"/>
        <w:gridCol w:w="12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tblHeader/>
          <w:jc w:val="center"/>
        </w:trPr>
        <w:tc>
          <w:tcPr>
            <w:tcW w:w="8833" w:type="dxa"/>
            <w:gridSpan w:val="6"/>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果木初产期测算结果表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125"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果木名称</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年均纯收益（A）</w:t>
            </w:r>
          </w:p>
        </w:tc>
        <w:tc>
          <w:tcPr>
            <w:tcW w:w="13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收益还原率(P)</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经济寿命期(u)</w:t>
            </w:r>
          </w:p>
        </w:tc>
        <w:tc>
          <w:tcPr>
            <w:tcW w:w="11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补偿标准（元/亩）</w:t>
            </w:r>
          </w:p>
        </w:tc>
        <w:tc>
          <w:tcPr>
            <w:tcW w:w="12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both"/>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补偿标准（元/株）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8"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苹果</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4805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15915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梨</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4600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15235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桃子</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4805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15915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柿子</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4713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15608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李子</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4734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15680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坚果</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4589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15201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核桃</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5010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16594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板栗</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4625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15319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花椒</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4716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15620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松子</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4564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15118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柑橘</w:t>
            </w:r>
          </w:p>
        </w:tc>
        <w:tc>
          <w:tcPr>
            <w:tcW w:w="147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4620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7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164"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15302 </w:t>
            </w:r>
          </w:p>
        </w:tc>
        <w:tc>
          <w:tcPr>
            <w:tcW w:w="1245"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300 </w:t>
            </w:r>
          </w:p>
        </w:tc>
      </w:tr>
    </w:tbl>
    <w:p>
      <w:pPr>
        <w:keepNext w:val="0"/>
        <w:keepLines w:val="0"/>
        <w:widowControl/>
        <w:suppressLineNumbers w:val="0"/>
        <w:spacing w:line="360" w:lineRule="auto"/>
        <w:jc w:val="both"/>
        <w:rPr>
          <w:rFonts w:hint="eastAsia" w:ascii="楷体" w:hAnsi="楷体" w:eastAsia="楷体" w:cs="楷体"/>
          <w:b w:val="0"/>
          <w:bCs w:val="0"/>
          <w:color w:val="000000"/>
          <w:kern w:val="0"/>
          <w:sz w:val="24"/>
          <w:szCs w:val="24"/>
          <w:lang w:val="en-US" w:eastAsia="zh-CN" w:bidi="ar"/>
        </w:rPr>
      </w:pPr>
    </w:p>
    <w:p>
      <w:pPr>
        <w:keepNext w:val="0"/>
        <w:keepLines w:val="0"/>
        <w:widowControl/>
        <w:suppressLineNumbers w:val="0"/>
        <w:spacing w:line="360" w:lineRule="auto"/>
        <w:jc w:val="center"/>
        <w:rPr>
          <w:rFonts w:hint="eastAsia" w:ascii="楷体" w:hAnsi="楷体" w:eastAsia="楷体" w:cs="楷体"/>
          <w:b w:val="0"/>
          <w:bCs w:val="0"/>
          <w:color w:val="000000"/>
          <w:kern w:val="0"/>
          <w:sz w:val="24"/>
          <w:szCs w:val="24"/>
          <w:lang w:val="en-US" w:eastAsia="zh-CN" w:bidi="ar"/>
        </w:rPr>
      </w:pPr>
      <w:r>
        <w:rPr>
          <w:rFonts w:hint="eastAsia" w:ascii="楷体" w:hAnsi="楷体" w:eastAsia="楷体" w:cs="楷体"/>
          <w:b w:val="0"/>
          <w:bCs w:val="0"/>
          <w:color w:val="000000"/>
          <w:kern w:val="0"/>
          <w:sz w:val="24"/>
          <w:szCs w:val="24"/>
          <w:lang w:val="en-US" w:eastAsia="zh-CN" w:bidi="ar"/>
        </w:rPr>
        <w:t>表 5-23果木盛产期测算结果表</w:t>
      </w:r>
    </w:p>
    <w:p>
      <w:pPr>
        <w:pStyle w:val="2"/>
        <w:spacing w:line="360" w:lineRule="auto"/>
        <w:outlineLvl w:val="9"/>
        <w:rPr>
          <w:rFonts w:hint="eastAsia" w:ascii="楷体" w:hAnsi="楷体" w:eastAsia="楷体" w:cs="楷体"/>
          <w:lang w:val="en-US" w:eastAsia="zh-CN"/>
        </w:rPr>
      </w:pPr>
    </w:p>
    <w:tbl>
      <w:tblPr>
        <w:tblStyle w:val="45"/>
        <w:tblW w:w="92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32"/>
        <w:gridCol w:w="1512"/>
        <w:gridCol w:w="1356"/>
        <w:gridCol w:w="1428"/>
        <w:gridCol w:w="1200"/>
        <w:gridCol w:w="1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0" w:hRule="atLeast"/>
          <w:jc w:val="center"/>
        </w:trPr>
        <w:tc>
          <w:tcPr>
            <w:tcW w:w="9286" w:type="dxa"/>
            <w:gridSpan w:val="6"/>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果木盛产期测算结果表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果木名称</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年均纯收益（A）</w:t>
            </w:r>
          </w:p>
        </w:tc>
        <w:tc>
          <w:tcPr>
            <w:tcW w:w="13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收益还原率(P)</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经济寿命期(u)</w:t>
            </w:r>
          </w:p>
        </w:tc>
        <w:tc>
          <w:tcPr>
            <w:tcW w:w="12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补偿标准（元/亩）</w:t>
            </w:r>
          </w:p>
        </w:tc>
        <w:tc>
          <w:tcPr>
            <w:tcW w:w="145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补偿标准（元/株）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苹果</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3928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26354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梨</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3904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26193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桃子</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3928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26354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柿子</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3977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26684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李子</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3867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25949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坚果</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3924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26328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核桃</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4098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27495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板栗</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3939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26430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花椒</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3897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26150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松子</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3928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26354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柑橘</w:t>
            </w:r>
          </w:p>
        </w:tc>
        <w:tc>
          <w:tcPr>
            <w:tcW w:w="1512"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3928 </w:t>
            </w:r>
          </w:p>
        </w:tc>
        <w:tc>
          <w:tcPr>
            <w:tcW w:w="135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2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26354 </w:t>
            </w:r>
          </w:p>
        </w:tc>
        <w:tc>
          <w:tcPr>
            <w:tcW w:w="1458"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517 </w:t>
            </w:r>
          </w:p>
        </w:tc>
      </w:tr>
    </w:tbl>
    <w:p>
      <w:pPr>
        <w:pStyle w:val="2"/>
        <w:spacing w:line="360" w:lineRule="auto"/>
        <w:outlineLvl w:val="9"/>
        <w:rPr>
          <w:rFonts w:hint="eastAsia" w:ascii="楷体" w:hAnsi="楷体" w:eastAsia="楷体" w:cs="楷体"/>
          <w:b w:val="0"/>
          <w:bCs w:val="0"/>
          <w:sz w:val="24"/>
          <w:szCs w:val="24"/>
        </w:rPr>
      </w:pPr>
    </w:p>
    <w:p>
      <w:pPr>
        <w:keepNext w:val="0"/>
        <w:keepLines w:val="0"/>
        <w:widowControl/>
        <w:suppressLineNumbers w:val="0"/>
        <w:spacing w:line="360" w:lineRule="auto"/>
        <w:jc w:val="center"/>
        <w:rPr>
          <w:rFonts w:hint="eastAsia" w:ascii="楷体" w:hAnsi="楷体" w:eastAsia="楷体" w:cs="楷体"/>
          <w:b w:val="0"/>
          <w:bCs w:val="0"/>
          <w:color w:val="000000"/>
          <w:kern w:val="0"/>
          <w:sz w:val="24"/>
          <w:szCs w:val="24"/>
          <w:lang w:val="en-US" w:eastAsia="zh-CN" w:bidi="ar"/>
        </w:rPr>
      </w:pPr>
    </w:p>
    <w:p>
      <w:pPr>
        <w:keepNext w:val="0"/>
        <w:keepLines w:val="0"/>
        <w:widowControl/>
        <w:suppressLineNumbers w:val="0"/>
        <w:spacing w:line="360" w:lineRule="auto"/>
        <w:jc w:val="center"/>
        <w:rPr>
          <w:rFonts w:hint="eastAsia" w:ascii="楷体" w:hAnsi="楷体" w:eastAsia="楷体" w:cs="楷体"/>
          <w:b w:val="0"/>
          <w:bCs w:val="0"/>
          <w:color w:val="000000"/>
          <w:kern w:val="0"/>
          <w:sz w:val="24"/>
          <w:szCs w:val="24"/>
          <w:lang w:val="en-US" w:eastAsia="zh-CN" w:bidi="ar"/>
        </w:rPr>
      </w:pPr>
      <w:r>
        <w:rPr>
          <w:rFonts w:hint="eastAsia" w:ascii="楷体" w:hAnsi="楷体" w:eastAsia="楷体" w:cs="楷体"/>
          <w:b w:val="0"/>
          <w:bCs w:val="0"/>
          <w:color w:val="000000"/>
          <w:kern w:val="0"/>
          <w:sz w:val="24"/>
          <w:szCs w:val="24"/>
          <w:lang w:val="en-US" w:eastAsia="zh-CN" w:bidi="ar"/>
        </w:rPr>
        <w:t>表 5-24 果木衰产期测算结果表</w:t>
      </w:r>
    </w:p>
    <w:p>
      <w:pPr>
        <w:pStyle w:val="2"/>
        <w:spacing w:line="360" w:lineRule="auto"/>
        <w:outlineLvl w:val="9"/>
        <w:rPr>
          <w:rFonts w:hint="eastAsia" w:ascii="楷体" w:hAnsi="楷体" w:eastAsia="楷体" w:cs="楷体"/>
        </w:rPr>
      </w:pPr>
    </w:p>
    <w:tbl>
      <w:tblPr>
        <w:tblStyle w:val="45"/>
        <w:tblW w:w="92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32"/>
        <w:gridCol w:w="1500"/>
        <w:gridCol w:w="1380"/>
        <w:gridCol w:w="1416"/>
        <w:gridCol w:w="1212"/>
        <w:gridCol w:w="14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50" w:hRule="atLeast"/>
          <w:tblHeader/>
          <w:jc w:val="center"/>
        </w:trPr>
        <w:tc>
          <w:tcPr>
            <w:tcW w:w="9286" w:type="dxa"/>
            <w:gridSpan w:val="6"/>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果木衰产期测算结果表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32"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果木名称</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年均纯收益（A）</w:t>
            </w:r>
          </w:p>
        </w:tc>
        <w:tc>
          <w:tcPr>
            <w:tcW w:w="13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收益还原率(P)</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经济寿命期(u)</w:t>
            </w:r>
          </w:p>
        </w:tc>
        <w:tc>
          <w:tcPr>
            <w:tcW w:w="12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补偿标准（元/亩）</w:t>
            </w:r>
          </w:p>
        </w:tc>
        <w:tc>
          <w:tcPr>
            <w:tcW w:w="14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补偿标准（元/株）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苹果</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1308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8777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梨</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871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5843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桃子</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1222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8200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柿子</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849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5694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李子</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878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5891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坚果</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709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4756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核桃</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1308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8777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板栗</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1158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7772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花椒</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516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3462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松子</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678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4549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6" w:hRule="atLeast"/>
          <w:tblHeader/>
          <w:jc w:val="center"/>
        </w:trPr>
        <w:tc>
          <w:tcPr>
            <w:tcW w:w="23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柑橘</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1081 </w:t>
            </w:r>
          </w:p>
        </w:tc>
        <w:tc>
          <w:tcPr>
            <w:tcW w:w="1380"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8.79%</w:t>
            </w:r>
          </w:p>
        </w:tc>
        <w:tc>
          <w:tcPr>
            <w:tcW w:w="141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12"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7252 </w:t>
            </w:r>
          </w:p>
        </w:tc>
        <w:tc>
          <w:tcPr>
            <w:tcW w:w="1446" w:type="dxa"/>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 xml:space="preserve">142 </w:t>
            </w:r>
          </w:p>
        </w:tc>
      </w:tr>
    </w:tbl>
    <w:p>
      <w:pPr>
        <w:pStyle w:val="2"/>
        <w:spacing w:line="360" w:lineRule="auto"/>
        <w:outlineLvl w:val="9"/>
        <w:rPr>
          <w:rFonts w:hint="eastAsia" w:ascii="楷体" w:hAnsi="楷体" w:eastAsia="楷体" w:cs="楷体"/>
          <w:b w:val="0"/>
          <w:bCs w:val="0"/>
          <w:sz w:val="24"/>
          <w:szCs w:val="24"/>
        </w:rPr>
      </w:pPr>
    </w:p>
    <w:p>
      <w:pPr>
        <w:spacing w:line="360" w:lineRule="auto"/>
        <w:ind w:firstLine="280" w:firstLineChars="100"/>
        <w:rPr>
          <w:rFonts w:hint="eastAsia" w:ascii="楷体" w:hAnsi="楷体" w:eastAsia="楷体" w:cs="楷体"/>
          <w:color w:val="auto"/>
          <w:sz w:val="28"/>
          <w:szCs w:val="28"/>
          <w:highlight w:val="none"/>
        </w:rPr>
      </w:pPr>
    </w:p>
    <w:p>
      <w:pPr>
        <w:spacing w:line="360" w:lineRule="auto"/>
        <w:ind w:firstLine="280" w:firstLineChars="100"/>
        <w:rPr>
          <w:rFonts w:hint="eastAsia" w:ascii="楷体" w:hAnsi="楷体" w:eastAsia="楷体" w:cs="楷体"/>
          <w:color w:val="auto"/>
          <w:sz w:val="28"/>
          <w:szCs w:val="28"/>
          <w:highlight w:val="none"/>
        </w:rPr>
      </w:pPr>
    </w:p>
    <w:p>
      <w:pPr>
        <w:spacing w:line="360" w:lineRule="auto"/>
        <w:ind w:firstLine="280" w:firstLineChars="1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（4）其他林（果）木物补偿标准测算</w:t>
      </w:r>
    </w:p>
    <w:p>
      <w:pPr>
        <w:pStyle w:val="61"/>
        <w:spacing w:line="360" w:lineRule="auto"/>
        <w:ind w:firstLine="56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其他林（果）木补偿标准测算主要指无法通过龄组（生产发育阶段）进行划分，在测算过程中采用价格指数法进行测算。测算公式如下：</w:t>
      </w:r>
    </w:p>
    <w:p>
      <w:pPr>
        <w:widowControl/>
        <w:adjustRightInd w:val="0"/>
        <w:snapToGrid w:val="0"/>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其他林（果）木补偿标准=历史补偿标准×价格指数或：林（果）木补偿标准=历史补偿标准×（1+价格变动指数）</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综上，按照《技术指南》要求选取了部分林木、果木进行测算出对应的理论值，结合正在执行的补偿标准，以及相关工作经验，在不打破原有的补偿形式下，采用经验发进行适当调整，最终确定补偿标准。</w:t>
      </w:r>
    </w:p>
    <w:p>
      <w:pPr>
        <w:spacing w:line="360" w:lineRule="auto"/>
        <w:ind w:firstLine="281" w:firstLineChars="100"/>
        <w:outlineLvl w:val="1"/>
        <w:rPr>
          <w:rFonts w:hint="eastAsia" w:ascii="楷体" w:hAnsi="楷体" w:eastAsia="楷体" w:cs="楷体"/>
          <w:b/>
          <w:bCs/>
          <w:color w:val="auto"/>
          <w:sz w:val="28"/>
          <w:szCs w:val="28"/>
          <w:highlight w:val="none"/>
        </w:rPr>
      </w:pPr>
      <w:bookmarkStart w:id="178" w:name="_Toc12652"/>
      <w:r>
        <w:rPr>
          <w:rFonts w:hint="eastAsia" w:ascii="楷体" w:hAnsi="楷体" w:eastAsia="楷体" w:cs="楷体"/>
          <w:b/>
          <w:bCs/>
          <w:color w:val="auto"/>
          <w:sz w:val="28"/>
          <w:szCs w:val="28"/>
          <w:highlight w:val="none"/>
        </w:rPr>
        <w:t>（三）青苗补偿标准测算</w:t>
      </w:r>
      <w:bookmarkEnd w:id="177"/>
      <w:bookmarkEnd w:id="178"/>
    </w:p>
    <w:p>
      <w:pPr>
        <w:spacing w:line="360" w:lineRule="auto"/>
        <w:ind w:firstLine="560" w:firstLineChars="200"/>
        <w:outlineLvl w:val="9"/>
        <w:rPr>
          <w:rFonts w:hint="eastAsia" w:ascii="楷体" w:hAnsi="楷体" w:eastAsia="楷体" w:cs="楷体"/>
          <w:color w:val="auto"/>
          <w:sz w:val="28"/>
          <w:szCs w:val="28"/>
          <w:highlight w:val="none"/>
        </w:rPr>
      </w:pPr>
      <w:bookmarkStart w:id="179" w:name="_Toc79406909"/>
      <w:r>
        <w:rPr>
          <w:rFonts w:hint="eastAsia" w:ascii="楷体" w:hAnsi="楷体" w:eastAsia="楷体" w:cs="楷体"/>
          <w:color w:val="auto"/>
          <w:sz w:val="28"/>
          <w:szCs w:val="28"/>
          <w:highlight w:val="none"/>
        </w:rPr>
        <w:t>青苗补偿标准按作物分类，分为粮食作物、经济作物、果蔬类作物、其他作物四大类。</w:t>
      </w:r>
    </w:p>
    <w:p>
      <w:pPr>
        <w:spacing w:line="360" w:lineRule="auto"/>
        <w:ind w:firstLine="562" w:firstLineChars="200"/>
        <w:outlineLvl w:val="2"/>
        <w:rPr>
          <w:rFonts w:hint="eastAsia" w:ascii="楷体" w:hAnsi="楷体" w:eastAsia="楷体" w:cs="楷体"/>
          <w:b/>
          <w:bCs/>
          <w:color w:val="auto"/>
          <w:kern w:val="0"/>
          <w:sz w:val="28"/>
          <w:szCs w:val="28"/>
          <w:highlight w:val="none"/>
        </w:rPr>
      </w:pPr>
      <w:bookmarkStart w:id="180" w:name="_Toc4640"/>
      <w:bookmarkStart w:id="181" w:name="_Toc30673"/>
      <w:r>
        <w:rPr>
          <w:rFonts w:hint="eastAsia" w:ascii="楷体" w:hAnsi="楷体" w:eastAsia="楷体" w:cs="楷体"/>
          <w:b/>
          <w:bCs/>
          <w:color w:val="auto"/>
          <w:kern w:val="0"/>
          <w:sz w:val="28"/>
          <w:szCs w:val="28"/>
          <w:highlight w:val="none"/>
          <w:lang w:val="en-US" w:eastAsia="zh-CN"/>
        </w:rPr>
        <w:t>1</w:t>
      </w:r>
      <w:r>
        <w:rPr>
          <w:rFonts w:hint="eastAsia" w:ascii="楷体" w:hAnsi="楷体" w:eastAsia="楷体" w:cs="楷体"/>
          <w:b/>
          <w:bCs/>
          <w:color w:val="auto"/>
          <w:kern w:val="0"/>
          <w:sz w:val="28"/>
          <w:szCs w:val="28"/>
          <w:highlight w:val="none"/>
        </w:rPr>
        <w:t>、青苗补偿标准测算方法</w:t>
      </w:r>
      <w:bookmarkEnd w:id="179"/>
      <w:bookmarkEnd w:id="180"/>
      <w:bookmarkEnd w:id="181"/>
    </w:p>
    <w:p>
      <w:pPr>
        <w:spacing w:line="360" w:lineRule="auto"/>
        <w:ind w:firstLine="560" w:firstLineChars="200"/>
        <w:rPr>
          <w:rFonts w:hint="eastAsia" w:ascii="楷体" w:hAnsi="楷体" w:eastAsia="楷体" w:cs="楷体"/>
          <w:color w:val="auto"/>
          <w:sz w:val="28"/>
          <w:szCs w:val="28"/>
          <w:highlight w:val="none"/>
          <w:lang w:eastAsia="zh-CN"/>
        </w:rPr>
      </w:pPr>
      <w:r>
        <w:rPr>
          <w:rFonts w:hint="eastAsia" w:ascii="楷体" w:hAnsi="楷体" w:eastAsia="楷体" w:cs="楷体"/>
          <w:color w:val="auto"/>
          <w:sz w:val="28"/>
          <w:szCs w:val="28"/>
          <w:highlight w:val="none"/>
        </w:rPr>
        <w:t>青苗补偿标准主要选取产值法、价格指数法及市场价倒算法进行测算。具体测算方法如下</w:t>
      </w:r>
      <w:r>
        <w:rPr>
          <w:rFonts w:hint="eastAsia" w:ascii="楷体" w:hAnsi="楷体" w:eastAsia="楷体" w:cs="楷体"/>
          <w:color w:val="auto"/>
          <w:sz w:val="28"/>
          <w:szCs w:val="28"/>
          <w:highlight w:val="none"/>
          <w:lang w:eastAsia="zh-CN"/>
        </w:rPr>
        <w:t>：</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1 \* GB3</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①</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rPr>
        <w:t>产值法</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按地类进行补偿的，根据基本单元内耕地各地类面积乘对应作物产量和价格通过面积加权测算出耕地产值后适当向上调整确定年产值，青苗补偿标准=年产值÷耕种季数；按具体作物进行补偿的，各作物补偿标准=近三年平均作物单产/3×基准日市场价格+附加收益。</w:t>
      </w:r>
    </w:p>
    <w:p>
      <w:pPr>
        <w:autoSpaceDE w:val="0"/>
        <w:autoSpaceDN w:val="0"/>
        <w:adjustRightInd w:val="0"/>
        <w:spacing w:line="360" w:lineRule="auto"/>
        <w:ind w:firstLine="56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（分粮食作物、经济作物、瓜果蔬菜测算）根据上述测算的各作物补偿标准，采用面积加权的方式分别测算出粮食作物、经济作物、蔬菜瓜果类以及其他作物的补偿标准，具体测算公式及结果如下：</w:t>
      </w:r>
    </w:p>
    <w:p>
      <w:pPr>
        <w:autoSpaceDE w:val="0"/>
        <w:autoSpaceDN w:val="0"/>
        <w:adjustRightInd w:val="0"/>
        <w:spacing w:line="360" w:lineRule="auto"/>
        <w:ind w:firstLine="560"/>
        <w:jc w:val="center"/>
        <w:rPr>
          <w:rFonts w:hint="eastAsia" w:ascii="楷体" w:hAnsi="楷体" w:eastAsia="楷体" w:cs="楷体"/>
          <w:color w:val="auto"/>
          <w:sz w:val="28"/>
          <w:szCs w:val="28"/>
          <w:highlight w:val="none"/>
        </w:rPr>
      </w:pPr>
      <m:oMath>
        <m:sSub>
          <m:sSubPr>
            <m:ctrlPr>
              <w:rPr>
                <w:rFonts w:hint="eastAsia" w:ascii="Cambria Math" w:hAnsi="Cambria Math" w:eastAsia="楷体" w:cs="楷体"/>
                <w:i/>
                <w:color w:val="auto"/>
                <w:sz w:val="28"/>
                <w:szCs w:val="28"/>
                <w:highlight w:val="none"/>
              </w:rPr>
            </m:ctrlPr>
          </m:sSubPr>
          <m:e>
            <m:r>
              <m:rPr/>
              <w:rPr>
                <w:rFonts w:hint="eastAsia" w:ascii="Cambria Math" w:hAnsi="Cambria Math" w:eastAsia="楷体" w:cs="楷体"/>
                <w:color w:val="auto"/>
                <w:sz w:val="28"/>
                <w:szCs w:val="28"/>
                <w:highlight w:val="none"/>
              </w:rPr>
              <m:t>c</m:t>
            </m:r>
            <m:ctrlPr>
              <w:rPr>
                <w:rFonts w:hint="eastAsia" w:ascii="Cambria Math" w:hAnsi="Cambria Math" w:eastAsia="楷体" w:cs="楷体"/>
                <w:i/>
                <w:color w:val="auto"/>
                <w:sz w:val="28"/>
                <w:szCs w:val="28"/>
                <w:highlight w:val="none"/>
              </w:rPr>
            </m:ctrlPr>
          </m:e>
          <m:sub>
            <m:r>
              <m:rPr/>
              <w:rPr>
                <w:rFonts w:hint="eastAsia" w:ascii="Cambria Math" w:hAnsi="Cambria Math" w:eastAsia="楷体" w:cs="楷体"/>
                <w:color w:val="auto"/>
                <w:sz w:val="28"/>
                <w:szCs w:val="28"/>
                <w:highlight w:val="none"/>
              </w:rPr>
              <m:t>i</m:t>
            </m:r>
            <m:ctrlPr>
              <w:rPr>
                <w:rFonts w:hint="eastAsia" w:ascii="Cambria Math" w:hAnsi="Cambria Math" w:eastAsia="楷体" w:cs="楷体"/>
                <w:i/>
                <w:color w:val="auto"/>
                <w:sz w:val="28"/>
                <w:szCs w:val="28"/>
                <w:highlight w:val="none"/>
              </w:rPr>
            </m:ctrlPr>
          </m:sub>
        </m:sSub>
        <m:r>
          <m:rPr/>
          <w:rPr>
            <w:rFonts w:hint="eastAsia" w:ascii="Cambria Math" w:hAnsi="Cambria Math" w:eastAsia="楷体" w:cs="楷体"/>
            <w:color w:val="auto"/>
            <w:sz w:val="28"/>
            <w:szCs w:val="28"/>
            <w:highlight w:val="none"/>
          </w:rPr>
          <m:t>=</m:t>
        </m:r>
        <m:f>
          <m:fPr>
            <m:ctrlPr>
              <w:rPr>
                <w:rFonts w:hint="eastAsia" w:ascii="Cambria Math" w:hAnsi="Cambria Math" w:eastAsia="楷体" w:cs="楷体"/>
                <w:color w:val="auto"/>
                <w:sz w:val="28"/>
                <w:szCs w:val="28"/>
                <w:highlight w:val="none"/>
              </w:rPr>
            </m:ctrlPr>
          </m:fPr>
          <m:num>
            <m:f>
              <m:fPr>
                <m:ctrlPr>
                  <w:rPr>
                    <w:rFonts w:hint="eastAsia" w:ascii="Cambria Math" w:hAnsi="Cambria Math" w:eastAsia="楷体" w:cs="楷体"/>
                    <w:i/>
                    <w:color w:val="auto"/>
                    <w:sz w:val="28"/>
                    <w:szCs w:val="28"/>
                    <w:highlight w:val="none"/>
                  </w:rPr>
                </m:ctrlPr>
              </m:fPr>
              <m:num>
                <m:nary>
                  <m:naryPr>
                    <m:chr m:val="∑"/>
                    <m:subHide m:val="1"/>
                    <m:supHide m:val="1"/>
                    <m:ctrlPr>
                      <w:rPr>
                        <w:rFonts w:hint="eastAsia" w:ascii="Cambria Math" w:hAnsi="Cambria Math" w:eastAsia="楷体" w:cs="楷体"/>
                        <w:i/>
                        <w:color w:val="auto"/>
                        <w:sz w:val="28"/>
                        <w:szCs w:val="28"/>
                        <w:highlight w:val="none"/>
                      </w:rPr>
                    </m:ctrlPr>
                  </m:naryPr>
                  <m:sub>
                    <m:ctrlPr>
                      <w:rPr>
                        <w:rFonts w:hint="eastAsia" w:ascii="Cambria Math" w:hAnsi="Cambria Math" w:eastAsia="楷体" w:cs="楷体"/>
                        <w:i/>
                        <w:color w:val="auto"/>
                        <w:sz w:val="28"/>
                        <w:szCs w:val="28"/>
                        <w:highlight w:val="none"/>
                      </w:rPr>
                    </m:ctrlPr>
                  </m:sub>
                  <m:sup>
                    <m:ctrlPr>
                      <w:rPr>
                        <w:rFonts w:hint="eastAsia" w:ascii="Cambria Math" w:hAnsi="Cambria Math" w:eastAsia="楷体" w:cs="楷体"/>
                        <w:i/>
                        <w:color w:val="auto"/>
                        <w:sz w:val="28"/>
                        <w:szCs w:val="28"/>
                        <w:highlight w:val="none"/>
                      </w:rPr>
                    </m:ctrlPr>
                  </m:sup>
                  <m:e>
                    <m:sSub>
                      <m:sSubPr>
                        <m:ctrlPr>
                          <w:rPr>
                            <w:rFonts w:hint="eastAsia" w:ascii="Cambria Math" w:hAnsi="Cambria Math" w:eastAsia="楷体" w:cs="楷体"/>
                            <w:i/>
                            <w:color w:val="auto"/>
                            <w:sz w:val="28"/>
                            <w:szCs w:val="28"/>
                            <w:highlight w:val="none"/>
                          </w:rPr>
                        </m:ctrlPr>
                      </m:sSubPr>
                      <m:e>
                        <m:r>
                          <m:rPr/>
                          <w:rPr>
                            <w:rFonts w:hint="eastAsia" w:ascii="Cambria Math" w:hAnsi="Cambria Math" w:eastAsia="楷体" w:cs="楷体"/>
                            <w:color w:val="auto"/>
                            <w:sz w:val="28"/>
                            <w:szCs w:val="28"/>
                            <w:highlight w:val="none"/>
                          </w:rPr>
                          <m:t>A</m:t>
                        </m:r>
                        <m:ctrlPr>
                          <w:rPr>
                            <w:rFonts w:hint="eastAsia" w:ascii="Cambria Math" w:hAnsi="Cambria Math" w:eastAsia="楷体" w:cs="楷体"/>
                            <w:i/>
                            <w:color w:val="auto"/>
                            <w:sz w:val="28"/>
                            <w:szCs w:val="28"/>
                            <w:highlight w:val="none"/>
                          </w:rPr>
                        </m:ctrlPr>
                      </m:e>
                      <m:sub>
                        <m:r>
                          <m:rPr/>
                          <w:rPr>
                            <w:rFonts w:hint="eastAsia" w:ascii="Cambria Math" w:hAnsi="Cambria Math" w:eastAsia="楷体" w:cs="楷体"/>
                            <w:color w:val="auto"/>
                            <w:sz w:val="28"/>
                            <w:szCs w:val="28"/>
                            <w:highlight w:val="none"/>
                          </w:rPr>
                          <m:t>ij</m:t>
                        </m:r>
                        <m:ctrlPr>
                          <w:rPr>
                            <w:rFonts w:hint="eastAsia" w:ascii="Cambria Math" w:hAnsi="Cambria Math" w:eastAsia="楷体" w:cs="楷体"/>
                            <w:i/>
                            <w:color w:val="auto"/>
                            <w:sz w:val="28"/>
                            <w:szCs w:val="28"/>
                            <w:highlight w:val="none"/>
                          </w:rPr>
                        </m:ctrlPr>
                      </m:sub>
                    </m:sSub>
                    <m:r>
                      <m:rPr/>
                      <w:rPr>
                        <w:rFonts w:hint="eastAsia" w:ascii="Cambria Math" w:hAnsi="Cambria Math" w:eastAsia="楷体" w:cs="楷体"/>
                        <w:color w:val="auto"/>
                        <w:sz w:val="28"/>
                        <w:szCs w:val="28"/>
                        <w:highlight w:val="none"/>
                      </w:rPr>
                      <m:t>×</m:t>
                    </m:r>
                    <m:sSub>
                      <m:sSubPr>
                        <m:ctrlPr>
                          <w:rPr>
                            <w:rFonts w:hint="eastAsia" w:ascii="Cambria Math" w:hAnsi="Cambria Math" w:eastAsia="楷体" w:cs="楷体"/>
                            <w:i/>
                            <w:color w:val="auto"/>
                            <w:sz w:val="28"/>
                            <w:szCs w:val="28"/>
                            <w:highlight w:val="none"/>
                          </w:rPr>
                        </m:ctrlPr>
                      </m:sSubPr>
                      <m:e>
                        <m:r>
                          <m:rPr/>
                          <w:rPr>
                            <w:rFonts w:hint="eastAsia" w:ascii="Cambria Math" w:hAnsi="Cambria Math" w:eastAsia="楷体" w:cs="楷体"/>
                            <w:color w:val="auto"/>
                            <w:sz w:val="28"/>
                            <w:szCs w:val="28"/>
                            <w:highlight w:val="none"/>
                          </w:rPr>
                          <m:t>m</m:t>
                        </m:r>
                        <m:ctrlPr>
                          <w:rPr>
                            <w:rFonts w:hint="eastAsia" w:ascii="Cambria Math" w:hAnsi="Cambria Math" w:eastAsia="楷体" w:cs="楷体"/>
                            <w:i/>
                            <w:color w:val="auto"/>
                            <w:sz w:val="28"/>
                            <w:szCs w:val="28"/>
                            <w:highlight w:val="none"/>
                          </w:rPr>
                        </m:ctrlPr>
                      </m:e>
                      <m:sub>
                        <m:r>
                          <m:rPr/>
                          <w:rPr>
                            <w:rFonts w:hint="eastAsia" w:ascii="Cambria Math" w:hAnsi="Cambria Math" w:eastAsia="楷体" w:cs="楷体"/>
                            <w:color w:val="auto"/>
                            <w:sz w:val="28"/>
                            <w:szCs w:val="28"/>
                            <w:highlight w:val="none"/>
                          </w:rPr>
                          <m:t>ij</m:t>
                        </m:r>
                        <m:ctrlPr>
                          <w:rPr>
                            <w:rFonts w:hint="eastAsia" w:ascii="Cambria Math" w:hAnsi="Cambria Math" w:eastAsia="楷体" w:cs="楷体"/>
                            <w:i/>
                            <w:color w:val="auto"/>
                            <w:sz w:val="28"/>
                            <w:szCs w:val="28"/>
                            <w:highlight w:val="none"/>
                          </w:rPr>
                        </m:ctrlPr>
                      </m:sub>
                    </m:sSub>
                    <m:ctrlPr>
                      <w:rPr>
                        <w:rFonts w:hint="eastAsia" w:ascii="Cambria Math" w:hAnsi="Cambria Math" w:eastAsia="楷体" w:cs="楷体"/>
                        <w:i/>
                        <w:color w:val="auto"/>
                        <w:sz w:val="28"/>
                        <w:szCs w:val="28"/>
                        <w:highlight w:val="none"/>
                      </w:rPr>
                    </m:ctrlPr>
                  </m:e>
                </m:nary>
                <m:ctrlPr>
                  <w:rPr>
                    <w:rFonts w:hint="eastAsia" w:ascii="Cambria Math" w:hAnsi="Cambria Math" w:eastAsia="楷体" w:cs="楷体"/>
                    <w:i/>
                    <w:color w:val="auto"/>
                    <w:sz w:val="28"/>
                    <w:szCs w:val="28"/>
                    <w:highlight w:val="none"/>
                  </w:rPr>
                </m:ctrlPr>
              </m:num>
              <m:den>
                <m:nary>
                  <m:naryPr>
                    <m:chr m:val="∑"/>
                    <m:subHide m:val="1"/>
                    <m:supHide m:val="1"/>
                    <m:ctrlPr>
                      <w:rPr>
                        <w:rFonts w:hint="eastAsia" w:ascii="Cambria Math" w:hAnsi="Cambria Math" w:eastAsia="楷体" w:cs="楷体"/>
                        <w:i/>
                        <w:color w:val="auto"/>
                        <w:sz w:val="28"/>
                        <w:szCs w:val="28"/>
                        <w:highlight w:val="none"/>
                      </w:rPr>
                    </m:ctrlPr>
                  </m:naryPr>
                  <m:sub>
                    <m:ctrlPr>
                      <w:rPr>
                        <w:rFonts w:hint="eastAsia" w:ascii="Cambria Math" w:hAnsi="Cambria Math" w:eastAsia="楷体" w:cs="楷体"/>
                        <w:i/>
                        <w:color w:val="auto"/>
                        <w:sz w:val="28"/>
                        <w:szCs w:val="28"/>
                        <w:highlight w:val="none"/>
                      </w:rPr>
                    </m:ctrlPr>
                  </m:sub>
                  <m:sup>
                    <m:ctrlPr>
                      <w:rPr>
                        <w:rFonts w:hint="eastAsia" w:ascii="Cambria Math" w:hAnsi="Cambria Math" w:eastAsia="楷体" w:cs="楷体"/>
                        <w:i/>
                        <w:color w:val="auto"/>
                        <w:sz w:val="28"/>
                        <w:szCs w:val="28"/>
                        <w:highlight w:val="none"/>
                      </w:rPr>
                    </m:ctrlPr>
                  </m:sup>
                  <m:e>
                    <m:sSub>
                      <m:sSubPr>
                        <m:ctrlPr>
                          <w:rPr>
                            <w:rFonts w:hint="eastAsia" w:ascii="Cambria Math" w:hAnsi="Cambria Math" w:eastAsia="楷体" w:cs="楷体"/>
                            <w:i/>
                            <w:color w:val="auto"/>
                            <w:sz w:val="28"/>
                            <w:szCs w:val="28"/>
                            <w:highlight w:val="none"/>
                          </w:rPr>
                        </m:ctrlPr>
                      </m:sSubPr>
                      <m:e>
                        <m:r>
                          <m:rPr/>
                          <w:rPr>
                            <w:rFonts w:hint="eastAsia" w:ascii="Cambria Math" w:hAnsi="Cambria Math" w:eastAsia="楷体" w:cs="楷体"/>
                            <w:color w:val="auto"/>
                            <w:sz w:val="28"/>
                            <w:szCs w:val="28"/>
                            <w:highlight w:val="none"/>
                          </w:rPr>
                          <m:t>m</m:t>
                        </m:r>
                        <m:ctrlPr>
                          <w:rPr>
                            <w:rFonts w:hint="eastAsia" w:ascii="Cambria Math" w:hAnsi="Cambria Math" w:eastAsia="楷体" w:cs="楷体"/>
                            <w:i/>
                            <w:color w:val="auto"/>
                            <w:sz w:val="28"/>
                            <w:szCs w:val="28"/>
                            <w:highlight w:val="none"/>
                          </w:rPr>
                        </m:ctrlPr>
                      </m:e>
                      <m:sub>
                        <m:r>
                          <m:rPr/>
                          <w:rPr>
                            <w:rFonts w:hint="eastAsia" w:ascii="Cambria Math" w:hAnsi="Cambria Math" w:eastAsia="楷体" w:cs="楷体"/>
                            <w:color w:val="auto"/>
                            <w:sz w:val="28"/>
                            <w:szCs w:val="28"/>
                            <w:highlight w:val="none"/>
                          </w:rPr>
                          <m:t>ij</m:t>
                        </m:r>
                        <m:ctrlPr>
                          <w:rPr>
                            <w:rFonts w:hint="eastAsia" w:ascii="Cambria Math" w:hAnsi="Cambria Math" w:eastAsia="楷体" w:cs="楷体"/>
                            <w:i/>
                            <w:color w:val="auto"/>
                            <w:sz w:val="28"/>
                            <w:szCs w:val="28"/>
                            <w:highlight w:val="none"/>
                          </w:rPr>
                        </m:ctrlPr>
                      </m:sub>
                    </m:sSub>
                    <m:ctrlPr>
                      <w:rPr>
                        <w:rFonts w:hint="eastAsia" w:ascii="Cambria Math" w:hAnsi="Cambria Math" w:eastAsia="楷体" w:cs="楷体"/>
                        <w:i/>
                        <w:color w:val="auto"/>
                        <w:sz w:val="28"/>
                        <w:szCs w:val="28"/>
                        <w:highlight w:val="none"/>
                      </w:rPr>
                    </m:ctrlPr>
                  </m:e>
                </m:nary>
                <m:ctrlPr>
                  <w:rPr>
                    <w:rFonts w:hint="eastAsia" w:ascii="Cambria Math" w:hAnsi="Cambria Math" w:eastAsia="楷体" w:cs="楷体"/>
                    <w:i/>
                    <w:color w:val="auto"/>
                    <w:sz w:val="28"/>
                    <w:szCs w:val="28"/>
                    <w:highlight w:val="none"/>
                  </w:rPr>
                </m:ctrlPr>
              </m:den>
            </m:f>
            <m:ctrlPr>
              <w:rPr>
                <w:rFonts w:hint="eastAsia" w:ascii="Cambria Math" w:hAnsi="Cambria Math" w:eastAsia="楷体" w:cs="楷体"/>
                <w:color w:val="auto"/>
                <w:sz w:val="28"/>
                <w:szCs w:val="28"/>
                <w:highlight w:val="none"/>
              </w:rPr>
            </m:ctrlPr>
          </m:num>
          <m:den>
            <m:r>
              <m:rPr>
                <m:sty m:val="p"/>
              </m:rPr>
              <w:rPr>
                <w:rFonts w:hint="eastAsia" w:ascii="Cambria Math" w:hAnsi="Cambria Math" w:eastAsia="楷体" w:cs="楷体"/>
                <w:color w:val="auto"/>
                <w:sz w:val="28"/>
                <w:szCs w:val="28"/>
                <w:highlight w:val="none"/>
              </w:rPr>
              <m:t>3</m:t>
            </m:r>
            <m:ctrlPr>
              <w:rPr>
                <w:rFonts w:hint="eastAsia" w:ascii="Cambria Math" w:hAnsi="Cambria Math" w:eastAsia="楷体" w:cs="楷体"/>
                <w:color w:val="auto"/>
                <w:sz w:val="28"/>
                <w:szCs w:val="28"/>
                <w:highlight w:val="none"/>
              </w:rPr>
            </m:ctrlPr>
          </m:den>
        </m:f>
        <m:r>
          <m:rPr>
            <m:sty m:val="p"/>
          </m:rPr>
          <w:rPr>
            <w:rFonts w:hint="eastAsia" w:ascii="Cambria Math" w:hAnsi="Cambria Math" w:eastAsia="楷体" w:cs="楷体"/>
            <w:color w:val="auto"/>
            <w:sz w:val="28"/>
            <w:szCs w:val="28"/>
            <w:highlight w:val="none"/>
          </w:rPr>
          <m:t>∗p+附加收益</m:t>
        </m:r>
      </m:oMath>
      <w:r>
        <w:rPr>
          <w:rFonts w:hint="eastAsia" w:ascii="楷体" w:hAnsi="楷体" w:eastAsia="楷体" w:cs="楷体"/>
          <w:color w:val="auto"/>
          <w:sz w:val="28"/>
          <w:szCs w:val="28"/>
          <w:highlight w:val="none"/>
        </w:rPr>
        <w:t>………公式8</w:t>
      </w:r>
    </w:p>
    <w:p>
      <w:pPr>
        <w:spacing w:line="360" w:lineRule="auto"/>
        <w:ind w:firstLine="700" w:firstLineChars="25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式中：</w:t>
      </w:r>
      <m:oMath>
        <m:sSub>
          <m:sSubPr>
            <m:ctrlPr>
              <w:rPr>
                <w:rFonts w:hint="eastAsia" w:ascii="Cambria Math" w:hAnsi="Cambria Math" w:eastAsia="楷体" w:cs="楷体"/>
                <w:i/>
                <w:color w:val="auto"/>
                <w:sz w:val="28"/>
                <w:szCs w:val="28"/>
                <w:highlight w:val="none"/>
              </w:rPr>
            </m:ctrlPr>
          </m:sSubPr>
          <m:e>
            <m:r>
              <m:rPr/>
              <w:rPr>
                <w:rFonts w:hint="eastAsia" w:ascii="Cambria Math" w:hAnsi="Cambria Math" w:eastAsia="楷体" w:cs="楷体"/>
                <w:color w:val="auto"/>
                <w:sz w:val="28"/>
                <w:szCs w:val="28"/>
                <w:highlight w:val="none"/>
              </w:rPr>
              <m:t>c</m:t>
            </m:r>
            <m:ctrlPr>
              <w:rPr>
                <w:rFonts w:hint="eastAsia" w:ascii="Cambria Math" w:hAnsi="Cambria Math" w:eastAsia="楷体" w:cs="楷体"/>
                <w:i/>
                <w:color w:val="auto"/>
                <w:sz w:val="28"/>
                <w:szCs w:val="28"/>
                <w:highlight w:val="none"/>
              </w:rPr>
            </m:ctrlPr>
          </m:e>
          <m:sub>
            <m:r>
              <m:rPr/>
              <w:rPr>
                <w:rFonts w:hint="eastAsia" w:ascii="Cambria Math" w:hAnsi="Cambria Math" w:eastAsia="楷体" w:cs="楷体"/>
                <w:color w:val="auto"/>
                <w:sz w:val="28"/>
                <w:szCs w:val="28"/>
                <w:highlight w:val="none"/>
              </w:rPr>
              <m:t>i</m:t>
            </m:r>
            <m:ctrlPr>
              <w:rPr>
                <w:rFonts w:hint="eastAsia" w:ascii="Cambria Math" w:hAnsi="Cambria Math" w:eastAsia="楷体" w:cs="楷体"/>
                <w:i/>
                <w:color w:val="auto"/>
                <w:sz w:val="28"/>
                <w:szCs w:val="28"/>
                <w:highlight w:val="none"/>
              </w:rPr>
            </m:ctrlPr>
          </m:sub>
        </m:sSub>
      </m:oMath>
      <w:r>
        <w:rPr>
          <w:rFonts w:hint="eastAsia" w:ascii="楷体" w:hAnsi="楷体" w:eastAsia="楷体" w:cs="楷体"/>
          <w:color w:val="auto"/>
          <w:sz w:val="28"/>
          <w:szCs w:val="28"/>
          <w:highlight w:val="none"/>
        </w:rPr>
        <w:t>—作物补偿标准；</w:t>
      </w:r>
    </w:p>
    <w:p>
      <w:pPr>
        <w:spacing w:line="360" w:lineRule="auto"/>
        <w:ind w:firstLine="1400" w:firstLineChars="50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QUOTE </w:instrText>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QUOTE </w:instrText>
      </w:r>
      <w:r>
        <w:rPr>
          <w:rFonts w:hint="eastAsia" w:ascii="楷体" w:hAnsi="楷体" w:eastAsia="楷体" w:cs="楷体"/>
          <w:color w:val="auto"/>
          <w:sz w:val="28"/>
          <w:szCs w:val="28"/>
          <w:highlight w:val="none"/>
        </w:rPr>
        <w:drawing>
          <wp:inline distT="0" distB="0" distL="0" distR="0">
            <wp:extent cx="190500" cy="197485"/>
            <wp:effectExtent l="0" t="0" r="0" b="13970"/>
            <wp:docPr id="1" name="图片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66"/>
                    <pic:cNvPicPr>
                      <a:picLocks noChangeAspect="1" noChangeArrowheads="1"/>
                    </pic:cNvPicPr>
                  </pic:nvPicPr>
                  <pic:blipFill>
                    <a:blip r:embed="rId35" cstate="email">
                      <a:clrChange>
                        <a:clrFrom>
                          <a:srgbClr val="FFFFFF"/>
                        </a:clrFrom>
                        <a:clrTo>
                          <a:srgbClr val="FFFFFF">
                            <a:alpha val="0"/>
                          </a:srgbClr>
                        </a:clrTo>
                      </a:clrChange>
                    </a:blip>
                    <a:srcRect/>
                    <a:stretch>
                      <a:fillRect/>
                    </a:stretch>
                  </pic:blipFill>
                  <pic:spPr>
                    <a:xfrm>
                      <a:off x="0" y="0"/>
                      <a:ext cx="190500" cy="197485"/>
                    </a:xfrm>
                    <a:prstGeom prst="rect">
                      <a:avLst/>
                    </a:prstGeom>
                    <a:noFill/>
                    <a:ln w="9525">
                      <a:noFill/>
                      <a:miter lim="800000"/>
                      <a:headEnd/>
                      <a:tailEnd/>
                    </a:ln>
                  </pic:spPr>
                </pic:pic>
              </a:graphicData>
            </a:graphic>
          </wp:inline>
        </w:drawing>
      </w:r>
      <w:r>
        <w:rPr>
          <w:rFonts w:hint="eastAsia" w:ascii="楷体" w:hAnsi="楷体" w:eastAsia="楷体" w:cs="楷体"/>
          <w:color w:val="auto"/>
          <w:sz w:val="28"/>
          <w:szCs w:val="28"/>
          <w:highlight w:val="none"/>
        </w:rPr>
        <w:instrText xml:space="preserve">  \* MERGEFORMAT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drawing>
          <wp:inline distT="0" distB="0" distL="0" distR="0">
            <wp:extent cx="190500" cy="197485"/>
            <wp:effectExtent l="0" t="0" r="0" b="13970"/>
            <wp:docPr id="2" name="图片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65"/>
                    <pic:cNvPicPr>
                      <a:picLocks noChangeAspect="1" noChangeArrowheads="1"/>
                    </pic:cNvPicPr>
                  </pic:nvPicPr>
                  <pic:blipFill>
                    <a:blip r:embed="rId35" cstate="email">
                      <a:clrChange>
                        <a:clrFrom>
                          <a:srgbClr val="FFFFFF"/>
                        </a:clrFrom>
                        <a:clrTo>
                          <a:srgbClr val="FFFFFF">
                            <a:alpha val="0"/>
                          </a:srgbClr>
                        </a:clrTo>
                      </a:clrChange>
                    </a:blip>
                    <a:srcRect/>
                    <a:stretch>
                      <a:fillRect/>
                    </a:stretch>
                  </pic:blipFill>
                  <pic:spPr>
                    <a:xfrm>
                      <a:off x="0" y="0"/>
                      <a:ext cx="190500" cy="197485"/>
                    </a:xfrm>
                    <a:prstGeom prst="rect">
                      <a:avLst/>
                    </a:prstGeom>
                    <a:noFill/>
                    <a:ln w="9525">
                      <a:noFill/>
                      <a:miter lim="800000"/>
                      <a:headEnd/>
                      <a:tailEnd/>
                    </a:ln>
                  </pic:spPr>
                </pic:pic>
              </a:graphicData>
            </a:graphic>
          </wp:inline>
        </w:drawing>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rPr>
        <w:instrText xml:space="preserve">  \* MERGEFORMAT </w:instrText>
      </w:r>
      <w:r>
        <w:rPr>
          <w:rFonts w:hint="eastAsia" w:ascii="楷体" w:hAnsi="楷体" w:eastAsia="楷体" w:cs="楷体"/>
          <w:color w:val="auto"/>
          <w:sz w:val="28"/>
          <w:szCs w:val="28"/>
          <w:highlight w:val="none"/>
        </w:rPr>
        <w:fldChar w:fldCharType="separate"/>
      </w:r>
      <m:oMath>
        <m:sSub>
          <m:sSubPr>
            <m:ctrlPr>
              <w:rPr>
                <w:rFonts w:hint="eastAsia" w:ascii="Cambria Math" w:hAnsi="Cambria Math" w:eastAsia="楷体" w:cs="楷体"/>
                <w:i/>
                <w:color w:val="auto"/>
                <w:sz w:val="28"/>
                <w:szCs w:val="28"/>
                <w:highlight w:val="none"/>
              </w:rPr>
            </m:ctrlPr>
          </m:sSubPr>
          <m:e>
            <m:r>
              <m:rPr>
                <m:sty m:val="p"/>
              </m:rPr>
              <w:rPr>
                <w:rFonts w:hint="eastAsia" w:ascii="Cambria Math" w:hAnsi="Cambria Math" w:eastAsia="楷体" w:cs="楷体"/>
                <w:color w:val="auto"/>
                <w:sz w:val="28"/>
                <w:szCs w:val="28"/>
                <w:highlight w:val="none"/>
              </w:rPr>
              <m:t>A</m:t>
            </m:r>
            <m:ctrlPr>
              <w:rPr>
                <w:rFonts w:hint="eastAsia" w:ascii="Cambria Math" w:hAnsi="Cambria Math" w:eastAsia="楷体" w:cs="楷体"/>
                <w:i/>
                <w:color w:val="auto"/>
                <w:sz w:val="28"/>
                <w:szCs w:val="28"/>
                <w:highlight w:val="none"/>
              </w:rPr>
            </m:ctrlPr>
          </m:e>
          <m:sub>
            <m:r>
              <m:rPr>
                <m:sty m:val="p"/>
              </m:rPr>
              <w:rPr>
                <w:rFonts w:hint="eastAsia" w:ascii="Cambria Math" w:hAnsi="Cambria Math" w:eastAsia="楷体" w:cs="楷体"/>
                <w:color w:val="auto"/>
                <w:sz w:val="28"/>
                <w:szCs w:val="28"/>
                <w:highlight w:val="none"/>
              </w:rPr>
              <m:t>ij</m:t>
            </m:r>
            <m:ctrlPr>
              <w:rPr>
                <w:rFonts w:hint="eastAsia" w:ascii="Cambria Math" w:hAnsi="Cambria Math" w:eastAsia="楷体" w:cs="楷体"/>
                <w:i/>
                <w:color w:val="auto"/>
                <w:sz w:val="28"/>
                <w:szCs w:val="28"/>
                <w:highlight w:val="none"/>
              </w:rPr>
            </m:ctrlPr>
          </m:sub>
        </m:sSub>
      </m:oMath>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rPr>
        <w:t>—第i类作物第j个基本单元的产值；</w:t>
      </w:r>
    </w:p>
    <w:p>
      <w:pPr>
        <w:spacing w:line="360" w:lineRule="auto"/>
        <w:ind w:firstLine="1540" w:firstLineChars="55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QUOTE </w:instrText>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QUOTE </w:instrText>
      </w:r>
      <w:r>
        <w:rPr>
          <w:rFonts w:hint="eastAsia" w:ascii="楷体" w:hAnsi="楷体" w:eastAsia="楷体" w:cs="楷体"/>
          <w:color w:val="auto"/>
          <w:sz w:val="28"/>
          <w:szCs w:val="28"/>
          <w:highlight w:val="none"/>
        </w:rPr>
        <w:drawing>
          <wp:inline distT="0" distB="0" distL="0" distR="0">
            <wp:extent cx="168275" cy="197485"/>
            <wp:effectExtent l="0" t="0" r="3175" b="13970"/>
            <wp:docPr id="4098" name="图片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3364"/>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a:xfrm>
                      <a:off x="0" y="0"/>
                      <a:ext cx="168275" cy="197485"/>
                    </a:xfrm>
                    <a:prstGeom prst="rect">
                      <a:avLst/>
                    </a:prstGeom>
                    <a:noFill/>
                    <a:ln w="9525">
                      <a:noFill/>
                      <a:miter lim="800000"/>
                      <a:headEnd/>
                      <a:tailEnd/>
                    </a:ln>
                  </pic:spPr>
                </pic:pic>
              </a:graphicData>
            </a:graphic>
          </wp:inline>
        </w:drawing>
      </w:r>
      <w:r>
        <w:rPr>
          <w:rFonts w:hint="eastAsia" w:ascii="楷体" w:hAnsi="楷体" w:eastAsia="楷体" w:cs="楷体"/>
          <w:color w:val="auto"/>
          <w:sz w:val="28"/>
          <w:szCs w:val="28"/>
          <w:highlight w:val="none"/>
        </w:rPr>
        <w:instrText xml:space="preserve">  \* MERGEFORMAT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drawing>
          <wp:inline distT="0" distB="0" distL="0" distR="0">
            <wp:extent cx="168275" cy="197485"/>
            <wp:effectExtent l="0" t="0" r="3175" b="13970"/>
            <wp:docPr id="4101" name="图片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图片 3363"/>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a:xfrm>
                      <a:off x="0" y="0"/>
                      <a:ext cx="168275" cy="197485"/>
                    </a:xfrm>
                    <a:prstGeom prst="rect">
                      <a:avLst/>
                    </a:prstGeom>
                    <a:noFill/>
                    <a:ln w="9525">
                      <a:noFill/>
                      <a:miter lim="800000"/>
                      <a:headEnd/>
                      <a:tailEnd/>
                    </a:ln>
                  </pic:spPr>
                </pic:pic>
              </a:graphicData>
            </a:graphic>
          </wp:inline>
        </w:drawing>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rPr>
        <w:instrText xml:space="preserve">  \* MERGEFORMAT </w:instrText>
      </w:r>
      <w:r>
        <w:rPr>
          <w:rFonts w:hint="eastAsia" w:ascii="楷体" w:hAnsi="楷体" w:eastAsia="楷体" w:cs="楷体"/>
          <w:color w:val="auto"/>
          <w:sz w:val="28"/>
          <w:szCs w:val="28"/>
          <w:highlight w:val="none"/>
        </w:rPr>
        <w:fldChar w:fldCharType="separate"/>
      </w:r>
      <m:oMath>
        <m:sSub>
          <m:sSubPr>
            <m:ctrlPr>
              <w:rPr>
                <w:rFonts w:hint="eastAsia" w:ascii="Cambria Math" w:hAnsi="Cambria Math" w:eastAsia="楷体" w:cs="楷体"/>
                <w:i/>
                <w:color w:val="auto"/>
                <w:sz w:val="28"/>
                <w:szCs w:val="28"/>
                <w:highlight w:val="none"/>
              </w:rPr>
            </m:ctrlPr>
          </m:sSubPr>
          <m:e>
            <m:r>
              <m:rPr>
                <m:sty m:val="p"/>
              </m:rPr>
              <w:rPr>
                <w:rFonts w:hint="eastAsia" w:ascii="Cambria Math" w:hAnsi="Cambria Math" w:eastAsia="楷体" w:cs="楷体"/>
                <w:color w:val="auto"/>
                <w:sz w:val="28"/>
                <w:szCs w:val="28"/>
                <w:highlight w:val="none"/>
              </w:rPr>
              <m:t>m</m:t>
            </m:r>
            <m:ctrlPr>
              <w:rPr>
                <w:rFonts w:hint="eastAsia" w:ascii="Cambria Math" w:hAnsi="Cambria Math" w:eastAsia="楷体" w:cs="楷体"/>
                <w:i/>
                <w:color w:val="auto"/>
                <w:sz w:val="28"/>
                <w:szCs w:val="28"/>
                <w:highlight w:val="none"/>
              </w:rPr>
            </m:ctrlPr>
          </m:e>
          <m:sub>
            <m:r>
              <m:rPr>
                <m:sty m:val="p"/>
              </m:rPr>
              <w:rPr>
                <w:rFonts w:hint="eastAsia" w:ascii="Cambria Math" w:hAnsi="Cambria Math" w:eastAsia="楷体" w:cs="楷体"/>
                <w:color w:val="auto"/>
                <w:sz w:val="28"/>
                <w:szCs w:val="28"/>
                <w:highlight w:val="none"/>
              </w:rPr>
              <m:t>ij</m:t>
            </m:r>
            <m:ctrlPr>
              <w:rPr>
                <w:rFonts w:hint="eastAsia" w:ascii="Cambria Math" w:hAnsi="Cambria Math" w:eastAsia="楷体" w:cs="楷体"/>
                <w:i/>
                <w:color w:val="auto"/>
                <w:sz w:val="28"/>
                <w:szCs w:val="28"/>
                <w:highlight w:val="none"/>
              </w:rPr>
            </m:ctrlPr>
          </m:sub>
        </m:sSub>
      </m:oMath>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rPr>
        <w:t>—第i类作物第j个基本单元的面积；</w:t>
      </w:r>
    </w:p>
    <w:p>
      <w:pPr>
        <w:spacing w:line="360" w:lineRule="auto"/>
        <w:ind w:firstLine="1540" w:firstLineChars="55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P为平均单价。</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2 \* GB3</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②</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rPr>
        <w:t>价格指数法</w:t>
      </w:r>
    </w:p>
    <w:p>
      <w:pPr>
        <w:autoSpaceDE w:val="0"/>
        <w:autoSpaceDN w:val="0"/>
        <w:adjustRightInd w:val="0"/>
        <w:spacing w:line="360" w:lineRule="auto"/>
        <w:ind w:left="105" w:leftChars="50"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价格指数法，即采用历史补偿标准×（1+价格变动指数）测算青苗补偿标准，其中：</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历史补偿标准来源于各作物的补偿标准。</w:t>
      </w:r>
    </w:p>
    <w:p>
      <w:pPr>
        <w:spacing w:line="360" w:lineRule="auto"/>
        <w:ind w:firstLine="560" w:firstLineChars="200"/>
        <w:rPr>
          <w:rFonts w:hint="eastAsia" w:ascii="楷体" w:hAnsi="楷体" w:eastAsia="楷体" w:cs="楷体"/>
          <w:color w:val="auto"/>
          <w:sz w:val="28"/>
          <w:szCs w:val="28"/>
          <w:highlight w:val="none"/>
          <w:lang w:eastAsia="zh-CN"/>
        </w:rPr>
      </w:pPr>
      <w:r>
        <w:rPr>
          <w:rFonts w:hint="eastAsia" w:ascii="楷体" w:hAnsi="楷体" w:eastAsia="楷体" w:cs="楷体"/>
          <w:color w:val="auto"/>
          <w:sz w:val="28"/>
          <w:szCs w:val="28"/>
          <w:highlight w:val="none"/>
        </w:rPr>
        <w:t>价格变动指数，根据近三年盘龙区统计资料分析，确定价格变动指数为近三年盘龙区生产资料价格指数的环比增长</w:t>
      </w:r>
      <w:r>
        <w:rPr>
          <w:rFonts w:hint="eastAsia" w:ascii="楷体" w:hAnsi="楷体" w:eastAsia="楷体" w:cs="楷体"/>
          <w:color w:val="auto"/>
          <w:sz w:val="28"/>
          <w:szCs w:val="28"/>
          <w:highlight w:val="none"/>
          <w:lang w:val="en-US" w:eastAsia="zh-CN"/>
        </w:rPr>
        <w:t>指数</w:t>
      </w:r>
      <w:r>
        <w:rPr>
          <w:rFonts w:hint="eastAsia" w:ascii="楷体" w:hAnsi="楷体" w:eastAsia="楷体" w:cs="楷体"/>
          <w:color w:val="auto"/>
          <w:sz w:val="28"/>
          <w:szCs w:val="28"/>
          <w:highlight w:val="none"/>
          <w:lang w:eastAsia="zh-CN"/>
        </w:rPr>
        <w:t>。</w:t>
      </w:r>
    </w:p>
    <w:p>
      <w:pPr>
        <w:pStyle w:val="61"/>
        <w:spacing w:line="360" w:lineRule="auto"/>
        <w:ind w:firstLine="56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通过得到的产值法补偿标准和价格指数法补偿标准，分别赋予权重，计算得到</w:t>
      </w:r>
      <w:r>
        <w:rPr>
          <w:rFonts w:hint="eastAsia" w:ascii="楷体" w:hAnsi="楷体" w:eastAsia="楷体" w:cs="楷体"/>
          <w:color w:val="auto"/>
          <w:sz w:val="28"/>
          <w:szCs w:val="28"/>
          <w:highlight w:val="none"/>
          <w:lang w:val="en-US" w:eastAsia="zh-CN"/>
        </w:rPr>
        <w:t>青苗</w:t>
      </w:r>
      <w:r>
        <w:rPr>
          <w:rFonts w:hint="eastAsia" w:ascii="楷体" w:hAnsi="楷体" w:eastAsia="楷体" w:cs="楷体"/>
          <w:color w:val="auto"/>
          <w:sz w:val="28"/>
          <w:szCs w:val="28"/>
          <w:highlight w:val="none"/>
        </w:rPr>
        <w:t>的补偿标准</w:t>
      </w:r>
    </w:p>
    <w:p>
      <w:pPr>
        <w:spacing w:line="360" w:lineRule="auto"/>
        <w:ind w:firstLine="562" w:firstLineChars="200"/>
        <w:outlineLvl w:val="2"/>
        <w:rPr>
          <w:rFonts w:hint="eastAsia" w:ascii="楷体" w:hAnsi="楷体" w:eastAsia="楷体" w:cs="楷体"/>
          <w:b/>
          <w:bCs/>
          <w:color w:val="auto"/>
          <w:kern w:val="0"/>
          <w:sz w:val="28"/>
          <w:szCs w:val="28"/>
          <w:highlight w:val="none"/>
          <w:lang w:eastAsia="zh-CN"/>
        </w:rPr>
      </w:pPr>
      <w:bookmarkStart w:id="182" w:name="_Toc79406910"/>
      <w:bookmarkStart w:id="183" w:name="_Toc16722"/>
      <w:bookmarkStart w:id="184" w:name="_Toc23349"/>
      <w:r>
        <w:rPr>
          <w:rFonts w:hint="eastAsia" w:ascii="楷体" w:hAnsi="楷体" w:eastAsia="楷体" w:cs="楷体"/>
          <w:b/>
          <w:bCs/>
          <w:color w:val="auto"/>
          <w:kern w:val="0"/>
          <w:sz w:val="28"/>
          <w:szCs w:val="28"/>
          <w:highlight w:val="none"/>
          <w:lang w:val="en-US" w:eastAsia="zh-CN"/>
        </w:rPr>
        <w:t>2</w:t>
      </w:r>
      <w:r>
        <w:rPr>
          <w:rFonts w:hint="eastAsia" w:ascii="楷体" w:hAnsi="楷体" w:eastAsia="楷体" w:cs="楷体"/>
          <w:b/>
          <w:bCs/>
          <w:color w:val="auto"/>
          <w:kern w:val="0"/>
          <w:sz w:val="28"/>
          <w:szCs w:val="28"/>
          <w:highlight w:val="none"/>
        </w:rPr>
        <w:t>、青苗补偿标准</w:t>
      </w:r>
      <w:bookmarkEnd w:id="182"/>
      <w:r>
        <w:rPr>
          <w:rFonts w:hint="eastAsia" w:ascii="楷体" w:hAnsi="楷体" w:eastAsia="楷体" w:cs="楷体"/>
          <w:b/>
          <w:bCs/>
          <w:color w:val="auto"/>
          <w:kern w:val="0"/>
          <w:sz w:val="28"/>
          <w:szCs w:val="28"/>
          <w:highlight w:val="none"/>
          <w:lang w:val="en-US" w:eastAsia="zh-CN"/>
        </w:rPr>
        <w:t>确定</w:t>
      </w:r>
      <w:bookmarkEnd w:id="183"/>
      <w:bookmarkEnd w:id="184"/>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通过资料整理和外业调查表格，获取测算过程中涉及的各指标参数，采用上述规定的程序和方法测算补偿标准，将测算结果十位向上取整确定为青苗补偿的标准。</w:t>
      </w:r>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盘龙区根据现行补偿标准的内容和形式，并结合外业调查情况分析，为保持新制定补偿标准与原补偿标准相互衔接，方便实际征地过程易操作实施，盘龙区新制定补偿标准采用</w:t>
      </w:r>
      <w:r>
        <w:rPr>
          <w:rFonts w:hint="eastAsia" w:ascii="楷体" w:hAnsi="楷体" w:eastAsia="楷体" w:cs="楷体"/>
          <w:color w:val="auto"/>
          <w:sz w:val="28"/>
          <w:szCs w:val="28"/>
          <w:highlight w:val="none"/>
          <w:lang w:val="en-US" w:eastAsia="zh-CN"/>
        </w:rPr>
        <w:t>不分地类和分地类</w:t>
      </w:r>
      <w:r>
        <w:rPr>
          <w:rFonts w:hint="eastAsia" w:ascii="楷体" w:hAnsi="楷体" w:eastAsia="楷体" w:cs="楷体"/>
          <w:color w:val="auto"/>
          <w:sz w:val="28"/>
          <w:szCs w:val="28"/>
          <w:highlight w:val="none"/>
        </w:rPr>
        <w:t>进行补偿。</w:t>
      </w:r>
      <w:r>
        <w:rPr>
          <w:rFonts w:hint="eastAsia" w:ascii="楷体" w:hAnsi="楷体" w:eastAsia="楷体" w:cs="楷体"/>
          <w:color w:val="auto"/>
          <w:sz w:val="28"/>
          <w:szCs w:val="28"/>
          <w:highlight w:val="none"/>
          <w:lang w:val="en-US" w:eastAsia="zh-CN"/>
        </w:rPr>
        <w:t>不分地类的计算方法</w:t>
      </w:r>
      <w:r>
        <w:rPr>
          <w:rFonts w:hint="eastAsia" w:ascii="楷体" w:hAnsi="楷体" w:eastAsia="楷体" w:cs="楷体"/>
          <w:color w:val="auto"/>
          <w:sz w:val="28"/>
          <w:szCs w:val="28"/>
          <w:highlight w:val="none"/>
        </w:rPr>
        <w:t>采用价格指数法计算，即采用历史补偿标准×（1+价格变动指数）测算青苗补偿标准。分地类既分别对各地类中的粮食作物和其他作物（经济作物、蔬菜瓜果类作物）进行测算，其中粮食作物采用产值法和价格指数法取相应权重测算，产值法测算补偿标准为近三年各粮食作物产值的面价加权；其他作物（经济作物、蔬菜瓜果类作物）采用市场价倒算法和价格指数法取相应权重加权测算。最后通过对各地类中粮食作物和其他作物取算术平均值作为各地类的补偿标准。</w:t>
      </w:r>
    </w:p>
    <w:p>
      <w:pPr>
        <w:spacing w:line="360" w:lineRule="auto"/>
        <w:ind w:firstLine="562" w:firstLineChars="200"/>
        <w:outlineLvl w:val="1"/>
        <w:rPr>
          <w:rFonts w:hint="eastAsia" w:ascii="楷体" w:hAnsi="楷体" w:eastAsia="楷体" w:cs="楷体"/>
          <w:b/>
          <w:bCs/>
          <w:color w:val="auto"/>
          <w:sz w:val="28"/>
          <w:szCs w:val="28"/>
          <w:highlight w:val="none"/>
        </w:rPr>
      </w:pPr>
      <w:bookmarkStart w:id="185" w:name="_Toc22527"/>
      <w:r>
        <w:rPr>
          <w:rFonts w:hint="eastAsia" w:ascii="楷体" w:hAnsi="楷体" w:eastAsia="楷体" w:cs="楷体"/>
          <w:b/>
          <w:bCs/>
          <w:color w:val="auto"/>
          <w:sz w:val="28"/>
          <w:szCs w:val="28"/>
          <w:highlight w:val="none"/>
        </w:rPr>
        <w:t>（四）坟墓迁移费用测算</w:t>
      </w:r>
      <w:bookmarkEnd w:id="185"/>
    </w:p>
    <w:p>
      <w:pPr>
        <w:spacing w:line="360" w:lineRule="auto"/>
        <w:ind w:firstLine="562" w:firstLineChars="200"/>
        <w:outlineLvl w:val="2"/>
        <w:rPr>
          <w:rFonts w:hint="eastAsia" w:ascii="楷体" w:hAnsi="楷体" w:eastAsia="楷体" w:cs="楷体"/>
          <w:b/>
          <w:bCs/>
          <w:color w:val="auto"/>
          <w:sz w:val="28"/>
          <w:szCs w:val="28"/>
          <w:highlight w:val="none"/>
        </w:rPr>
      </w:pPr>
      <w:bookmarkStart w:id="186" w:name="_Toc19628"/>
      <w:bookmarkStart w:id="187" w:name="_Toc13701"/>
      <w:r>
        <w:rPr>
          <w:rFonts w:hint="eastAsia" w:ascii="楷体" w:hAnsi="楷体" w:eastAsia="楷体" w:cs="楷体"/>
          <w:b/>
          <w:bCs/>
          <w:color w:val="auto"/>
          <w:sz w:val="28"/>
          <w:szCs w:val="28"/>
          <w:highlight w:val="none"/>
          <w:lang w:val="en-US" w:eastAsia="zh-CN"/>
        </w:rPr>
        <w:t>1.</w:t>
      </w:r>
      <w:r>
        <w:rPr>
          <w:rFonts w:hint="eastAsia" w:ascii="楷体" w:hAnsi="楷体" w:eastAsia="楷体" w:cs="楷体"/>
          <w:b/>
          <w:bCs/>
          <w:color w:val="auto"/>
          <w:sz w:val="28"/>
          <w:szCs w:val="28"/>
          <w:highlight w:val="none"/>
        </w:rPr>
        <w:t>散葬坟墓迁移</w:t>
      </w:r>
      <w:bookmarkEnd w:id="186"/>
      <w:bookmarkEnd w:id="187"/>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在实际征地过程中涉及占用坟墓的主要做迁移处理，坟墓迁移的费用不包含占用坟地的费用，测算过程中主要从坟墓迁移的成本所涉及的费用进行考虑，一般情况下的坟墓迁移主要实行进公墓制度。因此坟墓迁移费测算主要考虑成本法，即迁坟成本+（原坟墓迁移费/2）-前期建造成本=坟墓迁移费。</w:t>
      </w:r>
      <w:r>
        <w:rPr>
          <w:rFonts w:hint="eastAsia" w:ascii="楷体" w:hAnsi="楷体" w:eastAsia="楷体" w:cs="楷体"/>
          <w:color w:val="auto"/>
          <w:sz w:val="28"/>
          <w:szCs w:val="28"/>
          <w:highlight w:val="none"/>
          <w:lang w:val="en-US" w:eastAsia="zh-CN"/>
        </w:rPr>
        <w:t xml:space="preserve">   </w:t>
      </w:r>
      <w:r>
        <w:rPr>
          <w:rFonts w:hint="eastAsia" w:ascii="楷体" w:hAnsi="楷体" w:eastAsia="楷体" w:cs="楷体"/>
          <w:color w:val="auto"/>
          <w:sz w:val="28"/>
          <w:szCs w:val="28"/>
          <w:highlight w:val="none"/>
        </w:rPr>
        <w:t>即坟墓迁移费=8822+（4500/2）-6000=5072（元/冢）</w:t>
      </w:r>
    </w:p>
    <w:p>
      <w:pP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br w:type="page"/>
      </w:r>
    </w:p>
    <w:p>
      <w:pPr>
        <w:widowControl/>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表</w:t>
      </w:r>
      <w:r>
        <w:rPr>
          <w:rFonts w:hint="eastAsia" w:ascii="楷体" w:hAnsi="楷体" w:eastAsia="楷体" w:cs="楷体"/>
          <w:b w:val="0"/>
          <w:bCs w:val="0"/>
          <w:color w:val="auto"/>
          <w:sz w:val="24"/>
          <w:szCs w:val="24"/>
          <w:highlight w:val="none"/>
          <w:lang w:val="en-US" w:eastAsia="zh-CN"/>
        </w:rPr>
        <w:t>5-25</w:t>
      </w:r>
      <w:r>
        <w:rPr>
          <w:rFonts w:hint="eastAsia" w:ascii="楷体" w:hAnsi="楷体" w:eastAsia="楷体" w:cs="楷体"/>
          <w:b w:val="0"/>
          <w:bCs w:val="0"/>
          <w:color w:val="auto"/>
          <w:sz w:val="24"/>
          <w:szCs w:val="24"/>
          <w:highlight w:val="none"/>
        </w:rPr>
        <w:t>盘龙区坟墓迁移费用测算结果一览表</w:t>
      </w:r>
    </w:p>
    <w:tbl>
      <w:tblPr>
        <w:tblStyle w:val="45"/>
        <w:tblpPr w:leftFromText="180" w:rightFromText="180" w:vertAnchor="text" w:horzAnchor="margin" w:tblpX="1" w:tblpY="3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19"/>
        <w:gridCol w:w="1183"/>
        <w:gridCol w:w="962"/>
        <w:gridCol w:w="2744"/>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97"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序号</w:t>
            </w:r>
          </w:p>
        </w:tc>
        <w:tc>
          <w:tcPr>
            <w:tcW w:w="441"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类型</w:t>
            </w:r>
          </w:p>
        </w:tc>
        <w:tc>
          <w:tcPr>
            <w:tcW w:w="637"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说明</w:t>
            </w:r>
          </w:p>
        </w:tc>
        <w:tc>
          <w:tcPr>
            <w:tcW w:w="518"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单位</w:t>
            </w:r>
          </w:p>
        </w:tc>
        <w:tc>
          <w:tcPr>
            <w:tcW w:w="1477"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历史补偿</w:t>
            </w:r>
          </w:p>
        </w:tc>
        <w:tc>
          <w:tcPr>
            <w:tcW w:w="1525"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本轮测算标准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97"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1</w:t>
            </w:r>
          </w:p>
        </w:tc>
        <w:tc>
          <w:tcPr>
            <w:tcW w:w="441"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坟墓</w:t>
            </w:r>
          </w:p>
        </w:tc>
        <w:tc>
          <w:tcPr>
            <w:tcW w:w="637"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p>
        </w:tc>
        <w:tc>
          <w:tcPr>
            <w:tcW w:w="518"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元/冢</w:t>
            </w:r>
          </w:p>
        </w:tc>
        <w:tc>
          <w:tcPr>
            <w:tcW w:w="1477"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4500</w:t>
            </w:r>
          </w:p>
        </w:tc>
        <w:tc>
          <w:tcPr>
            <w:tcW w:w="1525" w:type="pct"/>
            <w:shd w:val="clear" w:color="auto" w:fill="auto"/>
            <w:noWrap/>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5080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000" w:type="pct"/>
            <w:gridSpan w:val="6"/>
            <w:shd w:val="clear" w:color="auto" w:fill="auto"/>
            <w:noWrap/>
            <w:vAlign w:val="center"/>
          </w:tcPr>
          <w:p>
            <w:pPr>
              <w:widowControl/>
              <w:spacing w:line="360" w:lineRule="auto"/>
              <w:jc w:val="left"/>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注：本次测算为单冢，合葬按照两冢计算。</w:t>
            </w:r>
          </w:p>
        </w:tc>
      </w:tr>
    </w:tbl>
    <w:p>
      <w:pPr>
        <w:spacing w:before="312" w:beforeLines="100" w:line="360" w:lineRule="auto"/>
        <w:ind w:firstLine="562" w:firstLineChars="200"/>
        <w:outlineLvl w:val="9"/>
        <w:rPr>
          <w:rFonts w:hint="eastAsia" w:ascii="楷体" w:hAnsi="楷体" w:eastAsia="楷体" w:cs="楷体"/>
          <w:b/>
          <w:bCs/>
          <w:color w:val="auto"/>
          <w:sz w:val="28"/>
          <w:szCs w:val="28"/>
          <w:highlight w:val="none"/>
          <w:lang w:val="en-US" w:eastAsia="zh-CN"/>
        </w:rPr>
      </w:pPr>
      <w:bookmarkStart w:id="188" w:name="_Toc13727"/>
    </w:p>
    <w:p>
      <w:pPr>
        <w:spacing w:before="312" w:beforeLines="100" w:line="360" w:lineRule="auto"/>
        <w:ind w:firstLine="562" w:firstLineChars="200"/>
        <w:outlineLvl w:val="2"/>
        <w:rPr>
          <w:rFonts w:hint="eastAsia" w:ascii="楷体" w:hAnsi="楷体" w:eastAsia="楷体" w:cs="楷体"/>
          <w:b/>
          <w:bCs/>
          <w:color w:val="auto"/>
          <w:sz w:val="28"/>
          <w:szCs w:val="28"/>
          <w:highlight w:val="none"/>
        </w:rPr>
      </w:pPr>
      <w:bookmarkStart w:id="189" w:name="_Toc19894"/>
      <w:r>
        <w:rPr>
          <w:rFonts w:hint="eastAsia" w:ascii="楷体" w:hAnsi="楷体" w:eastAsia="楷体" w:cs="楷体"/>
          <w:b/>
          <w:bCs/>
          <w:color w:val="auto"/>
          <w:sz w:val="28"/>
          <w:szCs w:val="28"/>
          <w:highlight w:val="none"/>
          <w:lang w:val="en-US" w:eastAsia="zh-CN"/>
        </w:rPr>
        <w:t>2.</w:t>
      </w:r>
      <w:r>
        <w:rPr>
          <w:rFonts w:hint="eastAsia" w:ascii="楷体" w:hAnsi="楷体" w:eastAsia="楷体" w:cs="楷体"/>
          <w:b/>
          <w:bCs/>
          <w:color w:val="auto"/>
          <w:sz w:val="28"/>
          <w:szCs w:val="28"/>
          <w:highlight w:val="none"/>
        </w:rPr>
        <w:t>公墓搬迁补偿</w:t>
      </w:r>
      <w:bookmarkEnd w:id="188"/>
      <w:bookmarkEnd w:id="189"/>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有合法建设或经过民政部门审批手续的公墓搬迁，由政府统一进行搬迁，另择公墓。</w:t>
      </w:r>
    </w:p>
    <w:p>
      <w:pPr>
        <w:keepNext w:val="0"/>
        <w:keepLines w:val="0"/>
        <w:widowControl/>
        <w:suppressLineNumbers w:val="0"/>
        <w:spacing w:line="360" w:lineRule="auto"/>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在实际征地过程中涉及占用坟墓的主要做迁移处理，坟墓迁移的费用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不包含占用坟地的费用，测算过程中主要从坟墓迁移的成本所涉及的费用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进行考虑，如：坟墓迁移涉及的墓穴建造人工费、砂石材料费、砂石运输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费、坟墓异地搬迁人工费、墓碑材料盒、骨灰盒等，将核算出的各项成本 </w:t>
      </w:r>
    </w:p>
    <w:p>
      <w:pPr>
        <w:keepNext w:val="0"/>
        <w:keepLines w:val="0"/>
        <w:widowControl/>
        <w:suppressLineNumbers w:val="0"/>
        <w:spacing w:line="360" w:lineRule="auto"/>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费用累加做为确定坟墓迁移费用的标准。测算结果详见下表。</w:t>
      </w:r>
    </w:p>
    <w:p>
      <w:pPr>
        <w:pStyle w:val="61"/>
        <w:spacing w:line="360" w:lineRule="auto"/>
        <w:ind w:firstLine="600"/>
        <w:rPr>
          <w:rFonts w:hint="eastAsia" w:ascii="楷体" w:hAnsi="楷体" w:eastAsia="楷体" w:cs="楷体"/>
          <w:color w:val="auto"/>
          <w:sz w:val="28"/>
          <w:szCs w:val="28"/>
          <w:highlight w:val="none"/>
        </w:rPr>
        <w:sectPr>
          <w:pgSz w:w="11905" w:h="16838"/>
          <w:pgMar w:top="1417" w:right="1247" w:bottom="1417" w:left="1587" w:header="851" w:footer="992" w:gutter="0"/>
          <w:pgNumType w:fmt="decimal"/>
          <w:cols w:space="0" w:num="1"/>
          <w:rtlGutter w:val="0"/>
          <w:docGrid w:type="lines" w:linePitch="312" w:charSpace="0"/>
        </w:sectPr>
      </w:pPr>
    </w:p>
    <w:p>
      <w:pPr>
        <w:spacing w:line="360" w:lineRule="auto"/>
        <w:jc w:val="center"/>
        <w:outlineLvl w:val="1"/>
        <w:rPr>
          <w:rFonts w:hint="eastAsia" w:ascii="楷体" w:hAnsi="楷体" w:eastAsia="楷体" w:cs="楷体"/>
          <w:b w:val="0"/>
          <w:bCs w:val="0"/>
          <w:color w:val="000000"/>
          <w:kern w:val="0"/>
          <w:sz w:val="24"/>
          <w:szCs w:val="24"/>
          <w:lang w:val="en-US" w:eastAsia="zh-CN" w:bidi="ar"/>
        </w:rPr>
      </w:pPr>
      <w:bookmarkStart w:id="190" w:name="_Toc13134"/>
      <w:bookmarkStart w:id="191" w:name="_Toc3284"/>
      <w:r>
        <w:rPr>
          <w:rFonts w:hint="eastAsia" w:ascii="楷体" w:hAnsi="楷体" w:eastAsia="楷体" w:cs="楷体"/>
          <w:b w:val="0"/>
          <w:bCs w:val="0"/>
          <w:color w:val="000000"/>
          <w:kern w:val="0"/>
          <w:sz w:val="24"/>
          <w:szCs w:val="24"/>
          <w:lang w:val="en-US" w:eastAsia="zh-CN" w:bidi="ar"/>
        </w:rPr>
        <w:t>表 5-26 坟墓迁移测算过程表</w:t>
      </w:r>
      <w:bookmarkEnd w:id="190"/>
      <w:bookmarkEnd w:id="191"/>
    </w:p>
    <w:p>
      <w:pPr>
        <w:pStyle w:val="2"/>
        <w:spacing w:line="360" w:lineRule="auto"/>
        <w:outlineLvl w:val="9"/>
        <w:rPr>
          <w:rFonts w:hint="eastAsia" w:ascii="楷体" w:hAnsi="楷体" w:eastAsia="楷体" w:cs="楷体"/>
          <w:b w:val="0"/>
          <w:bCs w:val="0"/>
          <w:sz w:val="24"/>
          <w:szCs w:val="24"/>
        </w:rPr>
      </w:pPr>
    </w:p>
    <w:tbl>
      <w:tblPr>
        <w:tblStyle w:val="45"/>
        <w:tblW w:w="51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3"/>
        <w:gridCol w:w="654"/>
        <w:gridCol w:w="654"/>
        <w:gridCol w:w="766"/>
        <w:gridCol w:w="1095"/>
        <w:gridCol w:w="683"/>
        <w:gridCol w:w="1536"/>
        <w:gridCol w:w="642"/>
        <w:gridCol w:w="1000"/>
        <w:gridCol w:w="760"/>
        <w:gridCol w:w="675"/>
        <w:gridCol w:w="607"/>
        <w:gridCol w:w="896"/>
        <w:gridCol w:w="654"/>
        <w:gridCol w:w="938"/>
        <w:gridCol w:w="544"/>
        <w:gridCol w:w="1071"/>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trPr>
        <w:tc>
          <w:tcPr>
            <w:tcW w:w="1523" w:type="pct"/>
            <w:gridSpan w:val="6"/>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坟墓迁移补偿标准表</w:t>
            </w:r>
          </w:p>
        </w:tc>
        <w:tc>
          <w:tcPr>
            <w:tcW w:w="519" w:type="pct"/>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17"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c>
          <w:tcPr>
            <w:tcW w:w="338" w:type="pct"/>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257"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c>
          <w:tcPr>
            <w:tcW w:w="228"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c>
          <w:tcPr>
            <w:tcW w:w="205"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c>
          <w:tcPr>
            <w:tcW w:w="303"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c>
          <w:tcPr>
            <w:tcW w:w="221"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c>
          <w:tcPr>
            <w:tcW w:w="317"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c>
          <w:tcPr>
            <w:tcW w:w="184"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c>
          <w:tcPr>
            <w:tcW w:w="362"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c>
          <w:tcPr>
            <w:tcW w:w="320" w:type="pct"/>
            <w:shd w:val="clear" w:color="auto" w:fill="auto"/>
            <w:noWrap/>
            <w:vAlign w:val="center"/>
          </w:tcPr>
          <w:p>
            <w:pPr>
              <w:spacing w:line="360" w:lineRule="auto"/>
              <w:rPr>
                <w:rFonts w:hint="eastAsia" w:ascii="楷体" w:hAnsi="楷体" w:eastAsia="楷体" w:cs="楷体"/>
                <w:b w:val="0"/>
                <w:bCs w:val="0"/>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4" w:hRule="atLeast"/>
        </w:trPr>
        <w:tc>
          <w:tcPr>
            <w:tcW w:w="221"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序号</w:t>
            </w:r>
          </w:p>
        </w:tc>
        <w:tc>
          <w:tcPr>
            <w:tcW w:w="221"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类型</w:t>
            </w:r>
          </w:p>
        </w:tc>
        <w:tc>
          <w:tcPr>
            <w:tcW w:w="221"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说明</w:t>
            </w:r>
          </w:p>
        </w:tc>
        <w:tc>
          <w:tcPr>
            <w:tcW w:w="259"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单位</w:t>
            </w:r>
          </w:p>
        </w:tc>
        <w:tc>
          <w:tcPr>
            <w:tcW w:w="370"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补偿标准</w:t>
            </w:r>
          </w:p>
        </w:tc>
        <w:tc>
          <w:tcPr>
            <w:tcW w:w="227"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备注</w:t>
            </w:r>
          </w:p>
        </w:tc>
        <w:tc>
          <w:tcPr>
            <w:tcW w:w="519"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前期建造成本</w:t>
            </w:r>
          </w:p>
        </w:tc>
        <w:tc>
          <w:tcPr>
            <w:tcW w:w="217"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迁坟成本</w:t>
            </w:r>
          </w:p>
        </w:tc>
        <w:tc>
          <w:tcPr>
            <w:tcW w:w="338" w:type="pc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墓穴建造人工费</w:t>
            </w:r>
          </w:p>
        </w:tc>
        <w:tc>
          <w:tcPr>
            <w:tcW w:w="257" w:type="pct"/>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沙石材料费、运输费</w:t>
            </w:r>
          </w:p>
        </w:tc>
        <w:tc>
          <w:tcPr>
            <w:tcW w:w="228" w:type="pct"/>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坟墓搬迁工时费</w:t>
            </w:r>
          </w:p>
        </w:tc>
        <w:tc>
          <w:tcPr>
            <w:tcW w:w="205" w:type="pct"/>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坟墓搬迁运输费</w:t>
            </w:r>
          </w:p>
        </w:tc>
        <w:tc>
          <w:tcPr>
            <w:tcW w:w="303" w:type="pct"/>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墓碑材料费、制作安装费</w:t>
            </w:r>
          </w:p>
        </w:tc>
        <w:tc>
          <w:tcPr>
            <w:tcW w:w="221" w:type="pct"/>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骨灰盒</w:t>
            </w:r>
          </w:p>
        </w:tc>
        <w:tc>
          <w:tcPr>
            <w:tcW w:w="317" w:type="pct"/>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花瓶、狮子、香灰炉（三件套）</w:t>
            </w:r>
          </w:p>
        </w:tc>
        <w:tc>
          <w:tcPr>
            <w:tcW w:w="184" w:type="pct"/>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坟墓用地面积费</w:t>
            </w:r>
          </w:p>
        </w:tc>
        <w:tc>
          <w:tcPr>
            <w:tcW w:w="362" w:type="pct"/>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公墓管理费（按20年算、每月300元）</w:t>
            </w:r>
          </w:p>
        </w:tc>
        <w:tc>
          <w:tcPr>
            <w:tcW w:w="320" w:type="pct"/>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补偿标准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trPr>
        <w:tc>
          <w:tcPr>
            <w:tcW w:w="221"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w:t>
            </w:r>
          </w:p>
        </w:tc>
        <w:tc>
          <w:tcPr>
            <w:tcW w:w="221"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坟墓</w:t>
            </w:r>
          </w:p>
        </w:tc>
        <w:tc>
          <w:tcPr>
            <w:tcW w:w="221"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单葬</w:t>
            </w:r>
          </w:p>
        </w:tc>
        <w:tc>
          <w:tcPr>
            <w:tcW w:w="259"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元/冢</w:t>
            </w:r>
          </w:p>
        </w:tc>
        <w:tc>
          <w:tcPr>
            <w:tcW w:w="370"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4500</w:t>
            </w:r>
          </w:p>
        </w:tc>
        <w:tc>
          <w:tcPr>
            <w:tcW w:w="227" w:type="pct"/>
            <w:shd w:val="clear" w:color="auto" w:fill="auto"/>
            <w:noWrap/>
            <w:vAlign w:val="center"/>
          </w:tcPr>
          <w:p>
            <w:pPr>
              <w:spacing w:line="360" w:lineRule="auto"/>
              <w:jc w:val="center"/>
              <w:rPr>
                <w:rFonts w:hint="eastAsia" w:ascii="楷体" w:hAnsi="楷体" w:eastAsia="楷体" w:cs="楷体"/>
                <w:b w:val="0"/>
                <w:bCs w:val="0"/>
                <w:i w:val="0"/>
                <w:iCs w:val="0"/>
                <w:color w:val="auto"/>
                <w:sz w:val="24"/>
                <w:szCs w:val="24"/>
                <w:u w:val="none"/>
              </w:rPr>
            </w:pPr>
          </w:p>
        </w:tc>
        <w:tc>
          <w:tcPr>
            <w:tcW w:w="519"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6000</w:t>
            </w:r>
          </w:p>
        </w:tc>
        <w:tc>
          <w:tcPr>
            <w:tcW w:w="217"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8822</w:t>
            </w:r>
          </w:p>
        </w:tc>
        <w:tc>
          <w:tcPr>
            <w:tcW w:w="338" w:type="pc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900</w:t>
            </w:r>
          </w:p>
        </w:tc>
        <w:tc>
          <w:tcPr>
            <w:tcW w:w="257"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800</w:t>
            </w:r>
          </w:p>
        </w:tc>
        <w:tc>
          <w:tcPr>
            <w:tcW w:w="228"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1000</w:t>
            </w:r>
          </w:p>
        </w:tc>
        <w:tc>
          <w:tcPr>
            <w:tcW w:w="205"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500</w:t>
            </w:r>
          </w:p>
        </w:tc>
        <w:tc>
          <w:tcPr>
            <w:tcW w:w="303"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1670</w:t>
            </w:r>
          </w:p>
        </w:tc>
        <w:tc>
          <w:tcPr>
            <w:tcW w:w="221"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1000</w:t>
            </w:r>
          </w:p>
        </w:tc>
        <w:tc>
          <w:tcPr>
            <w:tcW w:w="317"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900</w:t>
            </w:r>
          </w:p>
        </w:tc>
        <w:tc>
          <w:tcPr>
            <w:tcW w:w="184"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612</w:t>
            </w:r>
          </w:p>
        </w:tc>
        <w:tc>
          <w:tcPr>
            <w:tcW w:w="362"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1440</w:t>
            </w:r>
          </w:p>
        </w:tc>
        <w:tc>
          <w:tcPr>
            <w:tcW w:w="320" w:type="pct"/>
            <w:shd w:val="clear" w:color="auto" w:fill="auto"/>
            <w:noWrap/>
            <w:vAlign w:val="center"/>
          </w:tcPr>
          <w:p>
            <w:pPr>
              <w:keepNext w:val="0"/>
              <w:keepLines w:val="0"/>
              <w:widowControl/>
              <w:suppressLineNumbers w:val="0"/>
              <w:spacing w:line="360" w:lineRule="auto"/>
              <w:jc w:val="right"/>
              <w:textAlignment w:val="center"/>
              <w:rPr>
                <w:rFonts w:hint="eastAsia" w:ascii="楷体" w:hAnsi="楷体" w:eastAsia="楷体" w:cs="楷体"/>
                <w:b w:val="0"/>
                <w:bCs w:val="0"/>
                <w:i w:val="0"/>
                <w:iCs w:val="0"/>
                <w:color w:val="auto"/>
                <w:sz w:val="24"/>
                <w:szCs w:val="24"/>
                <w:u w:val="none"/>
              </w:rPr>
            </w:pPr>
            <w:r>
              <w:rPr>
                <w:rFonts w:hint="eastAsia" w:ascii="楷体" w:hAnsi="楷体" w:eastAsia="楷体" w:cs="楷体"/>
                <w:b w:val="0"/>
                <w:bCs w:val="0"/>
                <w:i w:val="0"/>
                <w:iCs w:val="0"/>
                <w:color w:val="auto"/>
                <w:kern w:val="0"/>
                <w:sz w:val="24"/>
                <w:szCs w:val="24"/>
                <w:u w:val="none"/>
                <w:lang w:val="en-US" w:eastAsia="zh-CN" w:bidi="ar"/>
              </w:rPr>
              <w:t>5072</w:t>
            </w:r>
          </w:p>
        </w:tc>
      </w:tr>
    </w:tbl>
    <w:p>
      <w:pPr>
        <w:spacing w:line="360" w:lineRule="auto"/>
        <w:ind w:firstLine="562" w:firstLineChars="200"/>
        <w:outlineLvl w:val="9"/>
        <w:rPr>
          <w:rFonts w:hint="eastAsia" w:ascii="楷体" w:hAnsi="楷体" w:eastAsia="楷体" w:cs="楷体"/>
          <w:b/>
          <w:bCs/>
          <w:color w:val="auto"/>
          <w:sz w:val="28"/>
          <w:szCs w:val="28"/>
          <w:highlight w:val="none"/>
        </w:rPr>
      </w:pPr>
    </w:p>
    <w:p>
      <w:pPr>
        <w:spacing w:line="360" w:lineRule="auto"/>
        <w:ind w:firstLine="562" w:firstLineChars="200"/>
        <w:outlineLvl w:val="9"/>
        <w:rPr>
          <w:rFonts w:hint="eastAsia" w:ascii="楷体" w:hAnsi="楷体" w:eastAsia="楷体" w:cs="楷体"/>
          <w:b/>
          <w:bCs/>
          <w:color w:val="auto"/>
          <w:sz w:val="28"/>
          <w:szCs w:val="28"/>
          <w:highlight w:val="none"/>
        </w:rPr>
      </w:pPr>
    </w:p>
    <w:p>
      <w:pPr>
        <w:spacing w:line="360" w:lineRule="auto"/>
        <w:ind w:firstLine="562" w:firstLineChars="200"/>
        <w:outlineLvl w:val="9"/>
        <w:rPr>
          <w:rFonts w:hint="eastAsia" w:ascii="楷体" w:hAnsi="楷体" w:eastAsia="楷体" w:cs="楷体"/>
          <w:b/>
          <w:bCs/>
          <w:color w:val="auto"/>
          <w:sz w:val="28"/>
          <w:szCs w:val="28"/>
          <w:highlight w:val="none"/>
        </w:rPr>
      </w:pPr>
    </w:p>
    <w:p>
      <w:pPr>
        <w:spacing w:line="360" w:lineRule="auto"/>
        <w:ind w:firstLine="562" w:firstLineChars="200"/>
        <w:outlineLvl w:val="9"/>
        <w:rPr>
          <w:rFonts w:hint="eastAsia" w:ascii="楷体" w:hAnsi="楷体" w:eastAsia="楷体" w:cs="楷体"/>
          <w:b/>
          <w:bCs/>
          <w:color w:val="auto"/>
          <w:sz w:val="28"/>
          <w:szCs w:val="28"/>
          <w:highlight w:val="none"/>
        </w:rPr>
      </w:pPr>
    </w:p>
    <w:p>
      <w:pPr>
        <w:spacing w:line="360" w:lineRule="auto"/>
        <w:ind w:firstLine="562" w:firstLineChars="200"/>
        <w:outlineLvl w:val="9"/>
        <w:rPr>
          <w:rFonts w:hint="eastAsia" w:ascii="楷体" w:hAnsi="楷体" w:eastAsia="楷体" w:cs="楷体"/>
          <w:b/>
          <w:bCs/>
          <w:color w:val="auto"/>
          <w:sz w:val="28"/>
          <w:szCs w:val="28"/>
          <w:highlight w:val="none"/>
        </w:rPr>
      </w:pPr>
    </w:p>
    <w:p>
      <w:pPr>
        <w:spacing w:line="360" w:lineRule="auto"/>
        <w:outlineLvl w:val="9"/>
        <w:rPr>
          <w:rFonts w:hint="eastAsia" w:ascii="楷体" w:hAnsi="楷体" w:eastAsia="楷体" w:cs="楷体"/>
          <w:b/>
          <w:bCs/>
          <w:color w:val="auto"/>
          <w:sz w:val="28"/>
          <w:szCs w:val="28"/>
          <w:highlight w:val="none"/>
        </w:rPr>
        <w:sectPr>
          <w:footerReference r:id="rId8" w:type="default"/>
          <w:pgSz w:w="16838" w:h="11905" w:orient="landscape"/>
          <w:pgMar w:top="1417" w:right="1247" w:bottom="1417" w:left="1587" w:header="851" w:footer="992" w:gutter="0"/>
          <w:pgNumType w:fmt="decimal"/>
          <w:cols w:space="0" w:num="1"/>
          <w:rtlGutter w:val="0"/>
          <w:docGrid w:type="lines" w:linePitch="312" w:charSpace="0"/>
        </w:sectPr>
      </w:pPr>
    </w:p>
    <w:p>
      <w:pPr>
        <w:spacing w:line="360" w:lineRule="auto"/>
        <w:ind w:firstLine="562" w:firstLineChars="200"/>
        <w:outlineLvl w:val="1"/>
        <w:rPr>
          <w:rFonts w:hint="eastAsia" w:ascii="楷体" w:hAnsi="楷体" w:eastAsia="楷体" w:cs="楷体"/>
          <w:b/>
          <w:bCs/>
          <w:color w:val="auto"/>
          <w:sz w:val="28"/>
          <w:szCs w:val="28"/>
          <w:highlight w:val="none"/>
        </w:rPr>
      </w:pPr>
      <w:bookmarkStart w:id="192" w:name="_Toc10868"/>
      <w:r>
        <w:rPr>
          <w:rFonts w:hint="eastAsia" w:ascii="楷体" w:hAnsi="楷体" w:eastAsia="楷体" w:cs="楷体"/>
          <w:b/>
          <w:bCs/>
          <w:color w:val="auto"/>
          <w:sz w:val="28"/>
          <w:szCs w:val="28"/>
          <w:highlight w:val="none"/>
        </w:rPr>
        <w:t>（五）地上附着物和青苗补偿标准的初步确定</w:t>
      </w:r>
      <w:bookmarkEnd w:id="192"/>
    </w:p>
    <w:p>
      <w:pPr>
        <w:widowControl/>
        <w:spacing w:line="360" w:lineRule="auto"/>
        <w:ind w:firstLine="562" w:firstLineChars="200"/>
        <w:jc w:val="left"/>
        <w:outlineLvl w:val="2"/>
        <w:rPr>
          <w:rFonts w:hint="eastAsia" w:ascii="楷体" w:hAnsi="楷体" w:eastAsia="楷体" w:cs="楷体"/>
          <w:b/>
          <w:bCs/>
          <w:color w:val="auto"/>
          <w:sz w:val="28"/>
          <w:szCs w:val="28"/>
          <w:highlight w:val="none"/>
        </w:rPr>
      </w:pPr>
      <w:bookmarkStart w:id="193" w:name="_Toc7063"/>
      <w:bookmarkStart w:id="194" w:name="_Toc27565"/>
      <w:r>
        <w:rPr>
          <w:rFonts w:hint="eastAsia" w:ascii="楷体" w:hAnsi="楷体" w:eastAsia="楷体" w:cs="楷体"/>
          <w:b/>
          <w:bCs/>
          <w:color w:val="auto"/>
          <w:sz w:val="28"/>
          <w:szCs w:val="28"/>
          <w:highlight w:val="none"/>
          <w:lang w:val="en-US" w:eastAsia="zh-CN"/>
        </w:rPr>
        <w:t>1.</w:t>
      </w:r>
      <w:r>
        <w:rPr>
          <w:rFonts w:hint="eastAsia" w:ascii="楷体" w:hAnsi="楷体" w:eastAsia="楷体" w:cs="楷体"/>
          <w:b/>
          <w:bCs/>
          <w:color w:val="auto"/>
          <w:sz w:val="28"/>
          <w:szCs w:val="28"/>
          <w:highlight w:val="none"/>
        </w:rPr>
        <w:t>地上附着物补偿标准制定初步结果</w:t>
      </w:r>
      <w:bookmarkEnd w:id="193"/>
      <w:bookmarkEnd w:id="194"/>
    </w:p>
    <w:p>
      <w:pPr>
        <w:widowControl/>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表</w:t>
      </w:r>
      <w:r>
        <w:rPr>
          <w:rFonts w:hint="eastAsia" w:ascii="楷体" w:hAnsi="楷体" w:eastAsia="楷体" w:cs="楷体"/>
          <w:b w:val="0"/>
          <w:bCs w:val="0"/>
          <w:color w:val="auto"/>
          <w:sz w:val="24"/>
          <w:szCs w:val="24"/>
          <w:highlight w:val="none"/>
          <w:lang w:val="en-US" w:eastAsia="zh-CN"/>
        </w:rPr>
        <w:t>5-27</w:t>
      </w:r>
      <w:r>
        <w:rPr>
          <w:rFonts w:hint="eastAsia" w:ascii="楷体" w:hAnsi="楷体" w:eastAsia="楷体" w:cs="楷体"/>
          <w:b w:val="0"/>
          <w:bCs w:val="0"/>
          <w:color w:val="auto"/>
          <w:sz w:val="24"/>
          <w:szCs w:val="24"/>
          <w:highlight w:val="none"/>
        </w:rPr>
        <w:t xml:space="preserve">  建筑物补偿标准</w:t>
      </w:r>
    </w:p>
    <w:p>
      <w:pPr>
        <w:widowControl/>
        <w:spacing w:line="360" w:lineRule="auto"/>
        <w:ind w:right="140"/>
        <w:jc w:val="right"/>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单位：元/平方米</w:t>
      </w:r>
    </w:p>
    <w:tbl>
      <w:tblPr>
        <w:tblStyle w:val="45"/>
        <w:tblW w:w="48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196"/>
        <w:gridCol w:w="736"/>
        <w:gridCol w:w="1111"/>
        <w:gridCol w:w="1176"/>
        <w:gridCol w:w="1176"/>
        <w:gridCol w:w="1082"/>
        <w:gridCol w:w="1082"/>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316" w:type="pct"/>
            <w:shd w:val="clear" w:color="auto" w:fill="auto"/>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sz w:val="24"/>
                <w:szCs w:val="24"/>
                <w:highlight w:val="none"/>
              </w:rPr>
              <w:t>序号</w:t>
            </w:r>
          </w:p>
        </w:tc>
        <w:tc>
          <w:tcPr>
            <w:tcW w:w="681"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补偿项目</w:t>
            </w:r>
          </w:p>
        </w:tc>
        <w:tc>
          <w:tcPr>
            <w:tcW w:w="42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说明</w:t>
            </w:r>
          </w:p>
        </w:tc>
        <w:tc>
          <w:tcPr>
            <w:tcW w:w="634"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盘龙区金刀营（房地合一）</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p>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盘政办通【2020】23号（房地合一）</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p>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盘政办通【2019】121号（房地合一）</w:t>
            </w:r>
          </w:p>
        </w:tc>
        <w:tc>
          <w:tcPr>
            <w:tcW w:w="618" w:type="pct"/>
            <w:vAlign w:val="center"/>
          </w:tcPr>
          <w:p>
            <w:pPr>
              <w:spacing w:line="360" w:lineRule="auto"/>
              <w:jc w:val="center"/>
              <w:rPr>
                <w:rFonts w:hint="eastAsia" w:ascii="楷体" w:hAnsi="楷体" w:eastAsia="楷体" w:cs="楷体"/>
                <w:b w:val="0"/>
                <w:bCs w:val="0"/>
                <w:color w:val="auto"/>
                <w:sz w:val="24"/>
                <w:szCs w:val="24"/>
                <w:highlight w:val="none"/>
              </w:rPr>
            </w:pPr>
          </w:p>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平均历史补偿标准</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本轮测算标准</w:t>
            </w:r>
          </w:p>
        </w:tc>
        <w:tc>
          <w:tcPr>
            <w:tcW w:w="46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涨幅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31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w:t>
            </w:r>
          </w:p>
        </w:tc>
        <w:tc>
          <w:tcPr>
            <w:tcW w:w="681"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框架结构</w:t>
            </w:r>
          </w:p>
        </w:tc>
        <w:tc>
          <w:tcPr>
            <w:tcW w:w="42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p>
        </w:tc>
        <w:tc>
          <w:tcPr>
            <w:tcW w:w="634"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4800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4200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4000</w:t>
            </w:r>
          </w:p>
        </w:tc>
        <w:tc>
          <w:tcPr>
            <w:tcW w:w="618" w:type="pct"/>
            <w:vAlign w:val="center"/>
          </w:tcPr>
          <w:p>
            <w:pPr>
              <w:spacing w:line="360" w:lineRule="auto"/>
              <w:jc w:val="center"/>
              <w:rPr>
                <w:rFonts w:hint="eastAsia" w:ascii="楷体" w:hAnsi="楷体" w:eastAsia="楷体" w:cs="楷体"/>
                <w:b w:val="0"/>
                <w:bCs w:val="0"/>
                <w:color w:val="auto"/>
                <w:sz w:val="24"/>
                <w:szCs w:val="24"/>
                <w:highlight w:val="none"/>
              </w:rPr>
            </w:pPr>
          </w:p>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4333</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1820</w:t>
            </w:r>
          </w:p>
        </w:tc>
        <w:tc>
          <w:tcPr>
            <w:tcW w:w="46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31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w:t>
            </w:r>
          </w:p>
        </w:tc>
        <w:tc>
          <w:tcPr>
            <w:tcW w:w="681"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砖混结构</w:t>
            </w:r>
          </w:p>
        </w:tc>
        <w:tc>
          <w:tcPr>
            <w:tcW w:w="42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p>
        </w:tc>
        <w:tc>
          <w:tcPr>
            <w:tcW w:w="634"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4200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4200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3900</w:t>
            </w:r>
          </w:p>
        </w:tc>
        <w:tc>
          <w:tcPr>
            <w:tcW w:w="618" w:type="pct"/>
            <w:vAlign w:val="center"/>
          </w:tcPr>
          <w:p>
            <w:pPr>
              <w:spacing w:line="360" w:lineRule="auto"/>
              <w:jc w:val="center"/>
              <w:rPr>
                <w:rFonts w:hint="eastAsia" w:ascii="楷体" w:hAnsi="楷体" w:eastAsia="楷体" w:cs="楷体"/>
                <w:b w:val="0"/>
                <w:bCs w:val="0"/>
                <w:color w:val="auto"/>
                <w:sz w:val="24"/>
                <w:szCs w:val="24"/>
                <w:highlight w:val="none"/>
              </w:rPr>
            </w:pPr>
          </w:p>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4100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1430</w:t>
            </w:r>
          </w:p>
        </w:tc>
        <w:tc>
          <w:tcPr>
            <w:tcW w:w="46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31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w:t>
            </w:r>
          </w:p>
        </w:tc>
        <w:tc>
          <w:tcPr>
            <w:tcW w:w="681"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砖木结构</w:t>
            </w:r>
          </w:p>
        </w:tc>
        <w:tc>
          <w:tcPr>
            <w:tcW w:w="42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p>
        </w:tc>
        <w:tc>
          <w:tcPr>
            <w:tcW w:w="634"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3600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3000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3900</w:t>
            </w:r>
          </w:p>
        </w:tc>
        <w:tc>
          <w:tcPr>
            <w:tcW w:w="618" w:type="pct"/>
            <w:vAlign w:val="center"/>
          </w:tcPr>
          <w:p>
            <w:pPr>
              <w:spacing w:line="360" w:lineRule="auto"/>
              <w:jc w:val="center"/>
              <w:rPr>
                <w:rFonts w:hint="eastAsia" w:ascii="楷体" w:hAnsi="楷体" w:eastAsia="楷体" w:cs="楷体"/>
                <w:b w:val="0"/>
                <w:bCs w:val="0"/>
                <w:color w:val="auto"/>
                <w:sz w:val="24"/>
                <w:szCs w:val="24"/>
                <w:highlight w:val="none"/>
              </w:rPr>
            </w:pPr>
          </w:p>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3500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1230</w:t>
            </w:r>
          </w:p>
        </w:tc>
        <w:tc>
          <w:tcPr>
            <w:tcW w:w="46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31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w:t>
            </w:r>
          </w:p>
        </w:tc>
        <w:tc>
          <w:tcPr>
            <w:tcW w:w="681"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土木结构</w:t>
            </w:r>
          </w:p>
        </w:tc>
        <w:tc>
          <w:tcPr>
            <w:tcW w:w="42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p>
        </w:tc>
        <w:tc>
          <w:tcPr>
            <w:tcW w:w="634"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3000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2400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3900</w:t>
            </w:r>
          </w:p>
        </w:tc>
        <w:tc>
          <w:tcPr>
            <w:tcW w:w="618" w:type="pct"/>
            <w:vAlign w:val="center"/>
          </w:tcPr>
          <w:p>
            <w:pPr>
              <w:spacing w:line="360" w:lineRule="auto"/>
              <w:jc w:val="center"/>
              <w:rPr>
                <w:rFonts w:hint="eastAsia" w:ascii="楷体" w:hAnsi="楷体" w:eastAsia="楷体" w:cs="楷体"/>
                <w:b w:val="0"/>
                <w:bCs w:val="0"/>
                <w:color w:val="auto"/>
                <w:sz w:val="24"/>
                <w:szCs w:val="24"/>
                <w:highlight w:val="none"/>
              </w:rPr>
            </w:pPr>
          </w:p>
          <w:p>
            <w:pPr>
              <w:spacing w:line="360" w:lineRule="auto"/>
              <w:ind w:firstLine="360" w:firstLineChars="150"/>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3100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310</w:t>
            </w:r>
          </w:p>
        </w:tc>
        <w:tc>
          <w:tcPr>
            <w:tcW w:w="46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31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5</w:t>
            </w:r>
          </w:p>
        </w:tc>
        <w:tc>
          <w:tcPr>
            <w:tcW w:w="681"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简易结构</w:t>
            </w:r>
          </w:p>
        </w:tc>
        <w:tc>
          <w:tcPr>
            <w:tcW w:w="426"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p>
        </w:tc>
        <w:tc>
          <w:tcPr>
            <w:tcW w:w="634"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100</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210</w:t>
            </w:r>
          </w:p>
        </w:tc>
        <w:tc>
          <w:tcPr>
            <w:tcW w:w="618" w:type="pct"/>
            <w:vAlign w:val="center"/>
          </w:tcPr>
          <w:p>
            <w:pPr>
              <w:spacing w:line="360" w:lineRule="auto"/>
              <w:jc w:val="center"/>
              <w:rPr>
                <w:rFonts w:hint="eastAsia" w:ascii="楷体" w:hAnsi="楷体" w:eastAsia="楷体" w:cs="楷体"/>
                <w:b w:val="0"/>
                <w:bCs w:val="0"/>
                <w:color w:val="auto"/>
                <w:sz w:val="24"/>
                <w:szCs w:val="24"/>
                <w:highlight w:val="none"/>
              </w:rPr>
            </w:pPr>
          </w:p>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205</w:t>
            </w:r>
          </w:p>
        </w:tc>
        <w:tc>
          <w:tcPr>
            <w:tcW w:w="61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210</w:t>
            </w:r>
          </w:p>
        </w:tc>
        <w:tc>
          <w:tcPr>
            <w:tcW w:w="468" w:type="pct"/>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000" w:type="pct"/>
            <w:gridSpan w:val="9"/>
            <w:shd w:val="clear" w:color="auto" w:fill="auto"/>
            <w:vAlign w:val="center"/>
          </w:tcPr>
          <w:p>
            <w:pPr>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注：未列入建筑物补偿标准的其它房屋结构在补偿时通过双方按实际商定补偿，商定无果通过评估认定。</w:t>
            </w:r>
          </w:p>
        </w:tc>
      </w:tr>
    </w:tbl>
    <w:p>
      <w:pPr>
        <w:widowControl/>
        <w:spacing w:line="360" w:lineRule="auto"/>
        <w:jc w:val="center"/>
        <w:rPr>
          <w:rFonts w:hint="eastAsia" w:ascii="楷体" w:hAnsi="楷体" w:eastAsia="楷体" w:cs="楷体"/>
          <w:color w:val="auto"/>
          <w:sz w:val="28"/>
          <w:szCs w:val="28"/>
          <w:highlight w:val="none"/>
        </w:rPr>
      </w:pPr>
    </w:p>
    <w:p>
      <w:pPr>
        <w:widowControl/>
        <w:spacing w:line="360" w:lineRule="auto"/>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br w:type="page"/>
      </w:r>
    </w:p>
    <w:p>
      <w:pPr>
        <w:widowControl/>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表</w:t>
      </w:r>
      <w:r>
        <w:rPr>
          <w:rFonts w:hint="eastAsia" w:ascii="楷体" w:hAnsi="楷体" w:eastAsia="楷体" w:cs="楷体"/>
          <w:b w:val="0"/>
          <w:bCs w:val="0"/>
          <w:color w:val="auto"/>
          <w:sz w:val="24"/>
          <w:szCs w:val="24"/>
          <w:highlight w:val="none"/>
          <w:lang w:val="en-US" w:eastAsia="zh-CN"/>
        </w:rPr>
        <w:t>5-28</w:t>
      </w:r>
      <w:r>
        <w:rPr>
          <w:rFonts w:hint="eastAsia" w:ascii="楷体" w:hAnsi="楷体" w:eastAsia="楷体" w:cs="楷体"/>
          <w:b w:val="0"/>
          <w:bCs w:val="0"/>
          <w:color w:val="auto"/>
          <w:sz w:val="24"/>
          <w:szCs w:val="24"/>
          <w:highlight w:val="none"/>
        </w:rPr>
        <w:t xml:space="preserve"> 构筑物及其他附属设施补偿标准</w:t>
      </w:r>
    </w:p>
    <w:p>
      <w:pPr>
        <w:pStyle w:val="2"/>
        <w:spacing w:line="360" w:lineRule="auto"/>
        <w:outlineLvl w:val="9"/>
        <w:rPr>
          <w:rFonts w:hint="eastAsia" w:ascii="楷体" w:hAnsi="楷体" w:eastAsia="楷体" w:cs="楷体"/>
        </w:rPr>
      </w:pPr>
    </w:p>
    <w:tbl>
      <w:tblPr>
        <w:tblStyle w:val="45"/>
        <w:tblW w:w="48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8"/>
        <w:gridCol w:w="1942"/>
        <w:gridCol w:w="1531"/>
        <w:gridCol w:w="606"/>
        <w:gridCol w:w="1016"/>
        <w:gridCol w:w="1896"/>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序号</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补偿项目</w:t>
            </w:r>
          </w:p>
        </w:tc>
        <w:tc>
          <w:tcPr>
            <w:tcW w:w="870"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规格</w:t>
            </w:r>
          </w:p>
        </w:tc>
        <w:tc>
          <w:tcPr>
            <w:tcW w:w="344"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说明</w:t>
            </w: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单位</w:t>
            </w:r>
          </w:p>
        </w:tc>
        <w:tc>
          <w:tcPr>
            <w:tcW w:w="1077" w:type="pct"/>
            <w:shd w:val="clear" w:color="auto" w:fill="auto"/>
            <w:tcMar>
              <w:top w:w="15" w:type="dxa"/>
              <w:left w:w="15" w:type="dxa"/>
              <w:right w:w="15" w:type="dxa"/>
            </w:tcMar>
            <w:vAlign w:val="bottom"/>
          </w:tcPr>
          <w:p>
            <w:pPr>
              <w:widowControl/>
              <w:spacing w:line="360" w:lineRule="auto"/>
              <w:jc w:val="center"/>
              <w:textAlignment w:val="bottom"/>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本轮补偿测算标准</w:t>
            </w:r>
          </w:p>
        </w:tc>
        <w:tc>
          <w:tcPr>
            <w:tcW w:w="628"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砖石围墙</w:t>
            </w:r>
          </w:p>
        </w:tc>
        <w:tc>
          <w:tcPr>
            <w:tcW w:w="870"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标准围墙</w:t>
            </w: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280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土围墙</w:t>
            </w:r>
          </w:p>
        </w:tc>
        <w:tc>
          <w:tcPr>
            <w:tcW w:w="870"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标准围墙</w:t>
            </w: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70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水井水池</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元/个</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500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石挡墙</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立方米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135</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5</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自来水</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元/户</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250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6</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检修槽</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平方米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7</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铁大门</w:t>
            </w:r>
          </w:p>
        </w:tc>
        <w:tc>
          <w:tcPr>
            <w:tcW w:w="870"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特指院坝铁门</w:t>
            </w: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元/道</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1200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8</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有线电视迁改</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元/户</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250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9</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居民电源电线</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元/户</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350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10</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电话移机</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元/户</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110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11</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太阳能</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平方米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12</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钢筋砼化粪池</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立方米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500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13</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砖砌化粪池</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立方米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14</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简易铁棚</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平方米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150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15</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排水沟（有盖板）</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70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16</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排水沟（无盖板）</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17</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砖砌花台</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18</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石灰池</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元/个</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500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19</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水泥地坪</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平方米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45</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20</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简易房</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平方米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21</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灶台</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元/个</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22</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渡槽</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rPr>
              <w:t>元/</w:t>
            </w:r>
            <w:r>
              <w:rPr>
                <w:rFonts w:hint="eastAsia" w:ascii="楷体" w:hAnsi="楷体" w:eastAsia="楷体" w:cs="楷体"/>
                <w:b w:val="0"/>
                <w:bCs w:val="0"/>
                <w:color w:val="auto"/>
                <w:sz w:val="24"/>
                <w:szCs w:val="24"/>
                <w:highlight w:val="none"/>
                <w:lang w:eastAsia="zh-CN"/>
              </w:rPr>
              <w:t>立方米</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39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23</w:t>
            </w:r>
          </w:p>
        </w:tc>
        <w:tc>
          <w:tcPr>
            <w:tcW w:w="1103"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室外厕所</w:t>
            </w:r>
          </w:p>
        </w:tc>
        <w:tc>
          <w:tcPr>
            <w:tcW w:w="870"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344"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c>
          <w:tcPr>
            <w:tcW w:w="5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元/座</w:t>
            </w:r>
          </w:p>
        </w:tc>
        <w:tc>
          <w:tcPr>
            <w:tcW w:w="1077" w:type="pct"/>
            <w:shd w:val="clear" w:color="auto" w:fill="auto"/>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300</w:t>
            </w:r>
          </w:p>
        </w:tc>
        <w:tc>
          <w:tcPr>
            <w:tcW w:w="628" w:type="pct"/>
            <w:shd w:val="clear" w:color="auto" w:fill="auto"/>
            <w:tcMar>
              <w:top w:w="15" w:type="dxa"/>
              <w:left w:w="15" w:type="dxa"/>
              <w:right w:w="15" w:type="dxa"/>
            </w:tcMar>
            <w:vAlign w:val="center"/>
          </w:tcPr>
          <w:p>
            <w:pPr>
              <w:spacing w:line="360" w:lineRule="auto"/>
              <w:jc w:val="center"/>
              <w:rPr>
                <w:rFonts w:hint="eastAsia" w:ascii="楷体" w:hAnsi="楷体" w:eastAsia="楷体" w:cs="楷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blHeader/>
        </w:trPr>
        <w:tc>
          <w:tcPr>
            <w:tcW w:w="5000" w:type="pct"/>
            <w:gridSpan w:val="7"/>
            <w:shd w:val="clear" w:color="auto" w:fill="auto"/>
            <w:tcMar>
              <w:top w:w="15" w:type="dxa"/>
              <w:left w:w="15" w:type="dxa"/>
              <w:right w:w="15" w:type="dxa"/>
            </w:tcMar>
            <w:vAlign w:val="center"/>
          </w:tcPr>
          <w:p>
            <w:pPr>
              <w:spacing w:line="360" w:lineRule="auto"/>
              <w:jc w:val="left"/>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注：未列构筑物按照实际情况协商确定，商定无果按照评估价确定</w:t>
            </w:r>
          </w:p>
        </w:tc>
      </w:tr>
    </w:tbl>
    <w:p>
      <w:pPr>
        <w:widowControl/>
        <w:spacing w:line="360" w:lineRule="auto"/>
        <w:jc w:val="center"/>
        <w:rPr>
          <w:rFonts w:hint="eastAsia" w:ascii="楷体" w:hAnsi="楷体" w:eastAsia="楷体" w:cs="楷体"/>
          <w:b w:val="0"/>
          <w:bCs w:val="0"/>
          <w:color w:val="auto"/>
          <w:sz w:val="24"/>
          <w:szCs w:val="24"/>
          <w:highlight w:val="none"/>
        </w:rPr>
      </w:pPr>
    </w:p>
    <w:p>
      <w:pPr>
        <w:widowControl/>
        <w:spacing w:line="360" w:lineRule="auto"/>
        <w:jc w:val="center"/>
        <w:rPr>
          <w:rFonts w:hint="eastAsia" w:ascii="楷体" w:hAnsi="楷体" w:eastAsia="楷体" w:cs="楷体"/>
          <w:b w:val="0"/>
          <w:bCs w:val="0"/>
          <w:sz w:val="24"/>
          <w:szCs w:val="24"/>
        </w:rPr>
      </w:pPr>
      <w:r>
        <w:rPr>
          <w:rFonts w:hint="eastAsia" w:ascii="楷体" w:hAnsi="楷体" w:eastAsia="楷体" w:cs="楷体"/>
          <w:b w:val="0"/>
          <w:bCs w:val="0"/>
          <w:color w:val="auto"/>
          <w:sz w:val="24"/>
          <w:szCs w:val="24"/>
          <w:highlight w:val="none"/>
        </w:rPr>
        <w:t>表</w:t>
      </w:r>
      <w:r>
        <w:rPr>
          <w:rFonts w:hint="eastAsia" w:ascii="楷体" w:hAnsi="楷体" w:eastAsia="楷体" w:cs="楷体"/>
          <w:b w:val="0"/>
          <w:bCs w:val="0"/>
          <w:color w:val="auto"/>
          <w:sz w:val="24"/>
          <w:szCs w:val="24"/>
          <w:highlight w:val="none"/>
          <w:lang w:val="en-US" w:eastAsia="zh-CN"/>
        </w:rPr>
        <w:t>5-29</w:t>
      </w:r>
      <w:r>
        <w:rPr>
          <w:rFonts w:hint="eastAsia" w:ascii="楷体" w:hAnsi="楷体" w:eastAsia="楷体" w:cs="楷体"/>
          <w:b w:val="0"/>
          <w:bCs w:val="0"/>
          <w:color w:val="auto"/>
          <w:sz w:val="24"/>
          <w:szCs w:val="24"/>
          <w:highlight w:val="none"/>
        </w:rPr>
        <w:t xml:space="preserve"> 成片（零星）林木补偿标准表</w:t>
      </w:r>
    </w:p>
    <w:tbl>
      <w:tblPr>
        <w:tblStyle w:val="45"/>
        <w:tblW w:w="10065" w:type="dxa"/>
        <w:jc w:val="center"/>
        <w:tblLayout w:type="fixed"/>
        <w:tblCellMar>
          <w:top w:w="0" w:type="dxa"/>
          <w:left w:w="0" w:type="dxa"/>
          <w:bottom w:w="0" w:type="dxa"/>
          <w:right w:w="0" w:type="dxa"/>
        </w:tblCellMar>
      </w:tblPr>
      <w:tblGrid>
        <w:gridCol w:w="1017"/>
        <w:gridCol w:w="1044"/>
        <w:gridCol w:w="1739"/>
        <w:gridCol w:w="1204"/>
        <w:gridCol w:w="1992"/>
        <w:gridCol w:w="1320"/>
        <w:gridCol w:w="1749"/>
      </w:tblGrid>
      <w:tr>
        <w:tblPrEx>
          <w:tblCellMar>
            <w:top w:w="0" w:type="dxa"/>
            <w:left w:w="0" w:type="dxa"/>
            <w:bottom w:w="0" w:type="dxa"/>
            <w:right w:w="0" w:type="dxa"/>
          </w:tblCellMar>
        </w:tblPrEx>
        <w:trPr>
          <w:trHeight w:val="818" w:hRule="atLeast"/>
          <w:jc w:val="center"/>
        </w:trPr>
        <w:tc>
          <w:tcPr>
            <w:tcW w:w="1017"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序号</w:t>
            </w:r>
          </w:p>
        </w:tc>
        <w:tc>
          <w:tcPr>
            <w:tcW w:w="104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林木名称</w:t>
            </w:r>
          </w:p>
        </w:tc>
        <w:tc>
          <w:tcPr>
            <w:tcW w:w="1739"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龄组（生长</w:t>
            </w:r>
          </w:p>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发育阶段）</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说明</w:t>
            </w:r>
          </w:p>
        </w:tc>
        <w:tc>
          <w:tcPr>
            <w:tcW w:w="199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补偿标准（元/株）</w:t>
            </w:r>
          </w:p>
        </w:tc>
        <w:tc>
          <w:tcPr>
            <w:tcW w:w="1320"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种植密度</w:t>
            </w:r>
          </w:p>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（株/亩）</w:t>
            </w:r>
          </w:p>
        </w:tc>
        <w:tc>
          <w:tcPr>
            <w:tcW w:w="1749"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本轮补偿标准</w:t>
            </w:r>
          </w:p>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（元/亩）</w:t>
            </w:r>
          </w:p>
        </w:tc>
      </w:tr>
      <w:tr>
        <w:tblPrEx>
          <w:tblCellMar>
            <w:top w:w="0" w:type="dxa"/>
            <w:left w:w="0" w:type="dxa"/>
            <w:bottom w:w="0" w:type="dxa"/>
            <w:right w:w="0" w:type="dxa"/>
          </w:tblCellMar>
        </w:tblPrEx>
        <w:trPr>
          <w:trHeight w:val="270" w:hRule="atLeast"/>
          <w:jc w:val="center"/>
        </w:trPr>
        <w:tc>
          <w:tcPr>
            <w:tcW w:w="1017"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w:t>
            </w:r>
          </w:p>
        </w:tc>
        <w:tc>
          <w:tcPr>
            <w:tcW w:w="1044" w:type="dxa"/>
            <w:vMerge w:val="restart"/>
            <w:tcBorders>
              <w:top w:val="nil"/>
              <w:left w:val="nil"/>
              <w:bottom w:val="single" w:color="000000" w:sz="4" w:space="0"/>
              <w:right w:val="single" w:color="000000" w:sz="4" w:space="0"/>
            </w:tcBorders>
            <w:shd w:val="clear" w:color="auto" w:fill="auto"/>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桉树</w:t>
            </w:r>
          </w:p>
        </w:tc>
        <w:tc>
          <w:tcPr>
            <w:tcW w:w="1739" w:type="dxa"/>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幼龄林</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≤4年</w:t>
            </w:r>
          </w:p>
        </w:tc>
        <w:tc>
          <w:tcPr>
            <w:tcW w:w="199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default"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44</w:t>
            </w:r>
          </w:p>
        </w:tc>
        <w:tc>
          <w:tcPr>
            <w:tcW w:w="1320" w:type="dxa"/>
            <w:vMerge w:val="restart"/>
            <w:tcBorders>
              <w:top w:val="nil"/>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155</w:t>
            </w:r>
          </w:p>
        </w:tc>
        <w:tc>
          <w:tcPr>
            <w:tcW w:w="1749"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6228 </w:t>
            </w:r>
          </w:p>
        </w:tc>
      </w:tr>
      <w:tr>
        <w:tblPrEx>
          <w:tblCellMar>
            <w:top w:w="0" w:type="dxa"/>
            <w:left w:w="0" w:type="dxa"/>
            <w:bottom w:w="0" w:type="dxa"/>
            <w:right w:w="0" w:type="dxa"/>
          </w:tblCellMar>
        </w:tblPrEx>
        <w:trPr>
          <w:trHeight w:val="270" w:hRule="atLeast"/>
          <w:jc w:val="center"/>
        </w:trPr>
        <w:tc>
          <w:tcPr>
            <w:tcW w:w="1017"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044" w:type="dxa"/>
            <w:vMerge w:val="continue"/>
            <w:tcBorders>
              <w:top w:val="nil"/>
              <w:left w:val="nil"/>
              <w:bottom w:val="single" w:color="000000" w:sz="4" w:space="0"/>
              <w:right w:val="single" w:color="000000"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39" w:type="dxa"/>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中龄林（近熟林）</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5-8年</w:t>
            </w:r>
          </w:p>
        </w:tc>
        <w:tc>
          <w:tcPr>
            <w:tcW w:w="199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82</w:t>
            </w:r>
            <w:r>
              <w:rPr>
                <w:rFonts w:hint="eastAsia" w:ascii="楷体" w:hAnsi="楷体" w:eastAsia="楷体" w:cs="楷体"/>
                <w:b w:val="0"/>
                <w:bCs w:val="0"/>
                <w:color w:val="auto"/>
                <w:sz w:val="24"/>
                <w:szCs w:val="24"/>
                <w:highlight w:val="none"/>
              </w:rPr>
              <w:t xml:space="preserve"> </w:t>
            </w:r>
          </w:p>
        </w:tc>
        <w:tc>
          <w:tcPr>
            <w:tcW w:w="1320" w:type="dxa"/>
            <w:vMerge w:val="continue"/>
            <w:tcBorders>
              <w:top w:val="nil"/>
              <w:left w:val="nil"/>
              <w:bottom w:val="single" w:color="000000" w:sz="4" w:space="0"/>
              <w:right w:val="single" w:color="000000" w:sz="4" w:space="0"/>
            </w:tcBorders>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49"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11472 </w:t>
            </w:r>
          </w:p>
        </w:tc>
      </w:tr>
      <w:tr>
        <w:tblPrEx>
          <w:tblCellMar>
            <w:top w:w="0" w:type="dxa"/>
            <w:left w:w="0" w:type="dxa"/>
            <w:bottom w:w="0" w:type="dxa"/>
            <w:right w:w="0" w:type="dxa"/>
          </w:tblCellMar>
        </w:tblPrEx>
        <w:trPr>
          <w:trHeight w:val="270" w:hRule="atLeast"/>
          <w:jc w:val="center"/>
        </w:trPr>
        <w:tc>
          <w:tcPr>
            <w:tcW w:w="1017" w:type="dxa"/>
            <w:vMerge w:val="continue"/>
            <w:tcBorders>
              <w:top w:val="nil"/>
              <w:left w:val="single" w:color="000000" w:sz="4" w:space="0"/>
              <w:bottom w:val="single" w:color="auto" w:sz="4" w:space="0"/>
              <w:right w:val="single" w:color="000000"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044" w:type="dxa"/>
            <w:vMerge w:val="continue"/>
            <w:tcBorders>
              <w:top w:val="nil"/>
              <w:left w:val="nil"/>
              <w:bottom w:val="single" w:color="auto" w:sz="4" w:space="0"/>
              <w:right w:val="single" w:color="000000"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39" w:type="dxa"/>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成熟林（过熟林）</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≥9年</w:t>
            </w:r>
          </w:p>
        </w:tc>
        <w:tc>
          <w:tcPr>
            <w:tcW w:w="199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135</w:t>
            </w:r>
            <w:r>
              <w:rPr>
                <w:rFonts w:hint="eastAsia" w:ascii="楷体" w:hAnsi="楷体" w:eastAsia="楷体" w:cs="楷体"/>
                <w:b w:val="0"/>
                <w:bCs w:val="0"/>
                <w:color w:val="auto"/>
                <w:sz w:val="24"/>
                <w:szCs w:val="24"/>
                <w:highlight w:val="none"/>
              </w:rPr>
              <w:t xml:space="preserve"> </w:t>
            </w:r>
          </w:p>
        </w:tc>
        <w:tc>
          <w:tcPr>
            <w:tcW w:w="1320" w:type="dxa"/>
            <w:vMerge w:val="continue"/>
            <w:tcBorders>
              <w:top w:val="nil"/>
              <w:left w:val="nil"/>
              <w:bottom w:val="single" w:color="auto" w:sz="4" w:space="0"/>
              <w:right w:val="single" w:color="000000" w:sz="4" w:space="0"/>
            </w:tcBorders>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49"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18891 </w:t>
            </w:r>
          </w:p>
        </w:tc>
      </w:tr>
      <w:tr>
        <w:tblPrEx>
          <w:tblCellMar>
            <w:top w:w="0" w:type="dxa"/>
            <w:left w:w="0" w:type="dxa"/>
            <w:bottom w:w="0" w:type="dxa"/>
            <w:right w:w="0" w:type="dxa"/>
          </w:tblCellMar>
        </w:tblPrEx>
        <w:trPr>
          <w:trHeight w:val="270" w:hRule="atLeast"/>
          <w:jc w:val="center"/>
        </w:trPr>
        <w:tc>
          <w:tcPr>
            <w:tcW w:w="1017" w:type="dxa"/>
            <w:vMerge w:val="restart"/>
            <w:tcBorders>
              <w:top w:val="single" w:color="auto" w:sz="4" w:space="0"/>
              <w:left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w:t>
            </w:r>
          </w:p>
        </w:tc>
        <w:tc>
          <w:tcPr>
            <w:tcW w:w="1044" w:type="dxa"/>
            <w:vMerge w:val="restart"/>
            <w:tcBorders>
              <w:top w:val="single" w:color="auto" w:sz="4" w:space="0"/>
              <w:left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lang w:eastAsia="zh-CN"/>
              </w:rPr>
              <w:t>云南松林</w:t>
            </w:r>
          </w:p>
        </w:tc>
        <w:tc>
          <w:tcPr>
            <w:tcW w:w="1739" w:type="dxa"/>
            <w:tcBorders>
              <w:top w:val="single" w:color="000000" w:sz="4" w:space="0"/>
              <w:left w:val="single" w:color="auto"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幼龄林</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≤4年</w:t>
            </w:r>
          </w:p>
        </w:tc>
        <w:tc>
          <w:tcPr>
            <w:tcW w:w="1992"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40 </w:t>
            </w:r>
          </w:p>
        </w:tc>
        <w:tc>
          <w:tcPr>
            <w:tcW w:w="1320" w:type="dxa"/>
            <w:vMerge w:val="restart"/>
            <w:tcBorders>
              <w:top w:val="single" w:color="auto" w:sz="4" w:space="0"/>
              <w:left w:val="single" w:color="auto" w:sz="4" w:space="0"/>
              <w:right w:val="single" w:color="auto" w:sz="4" w:space="0"/>
            </w:tcBorders>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200</w:t>
            </w:r>
          </w:p>
        </w:tc>
        <w:tc>
          <w:tcPr>
            <w:tcW w:w="1749"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7954 </w:t>
            </w:r>
          </w:p>
        </w:tc>
      </w:tr>
      <w:tr>
        <w:tblPrEx>
          <w:tblCellMar>
            <w:top w:w="0" w:type="dxa"/>
            <w:left w:w="0" w:type="dxa"/>
            <w:bottom w:w="0" w:type="dxa"/>
            <w:right w:w="0" w:type="dxa"/>
          </w:tblCellMar>
        </w:tblPrEx>
        <w:trPr>
          <w:trHeight w:val="270" w:hRule="atLeast"/>
          <w:jc w:val="center"/>
        </w:trPr>
        <w:tc>
          <w:tcPr>
            <w:tcW w:w="1017" w:type="dxa"/>
            <w:vMerge w:val="continue"/>
            <w:tcBorders>
              <w:left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044" w:type="dxa"/>
            <w:vMerge w:val="continue"/>
            <w:tcBorders>
              <w:left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39" w:type="dxa"/>
            <w:tcBorders>
              <w:top w:val="single" w:color="000000" w:sz="4" w:space="0"/>
              <w:left w:val="single" w:color="auto"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中龄林（近熟林）</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5-10年</w:t>
            </w:r>
          </w:p>
        </w:tc>
        <w:tc>
          <w:tcPr>
            <w:tcW w:w="1992"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64 </w:t>
            </w:r>
          </w:p>
        </w:tc>
        <w:tc>
          <w:tcPr>
            <w:tcW w:w="1320" w:type="dxa"/>
            <w:vMerge w:val="continue"/>
            <w:tcBorders>
              <w:left w:val="single" w:color="auto" w:sz="4" w:space="0"/>
              <w:right w:val="single" w:color="auto" w:sz="4" w:space="0"/>
            </w:tcBorders>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49"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12843 </w:t>
            </w:r>
          </w:p>
        </w:tc>
      </w:tr>
      <w:tr>
        <w:tblPrEx>
          <w:tblCellMar>
            <w:top w:w="0" w:type="dxa"/>
            <w:left w:w="0" w:type="dxa"/>
            <w:bottom w:w="0" w:type="dxa"/>
            <w:right w:w="0" w:type="dxa"/>
          </w:tblCellMar>
        </w:tblPrEx>
        <w:trPr>
          <w:trHeight w:val="270" w:hRule="atLeast"/>
          <w:jc w:val="center"/>
        </w:trPr>
        <w:tc>
          <w:tcPr>
            <w:tcW w:w="1017" w:type="dxa"/>
            <w:vMerge w:val="continue"/>
            <w:tcBorders>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044" w:type="dxa"/>
            <w:vMerge w:val="continue"/>
            <w:tcBorders>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39" w:type="dxa"/>
            <w:tcBorders>
              <w:top w:val="single" w:color="000000" w:sz="4" w:space="0"/>
              <w:left w:val="single" w:color="auto"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成熟林（过熟林）</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≥11年</w:t>
            </w:r>
          </w:p>
        </w:tc>
        <w:tc>
          <w:tcPr>
            <w:tcW w:w="1992"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130 </w:t>
            </w:r>
          </w:p>
        </w:tc>
        <w:tc>
          <w:tcPr>
            <w:tcW w:w="1320" w:type="dxa"/>
            <w:vMerge w:val="continue"/>
            <w:tcBorders>
              <w:left w:val="single" w:color="auto" w:sz="4" w:space="0"/>
              <w:bottom w:val="single" w:color="auto" w:sz="4" w:space="0"/>
              <w:right w:val="single" w:color="auto" w:sz="4" w:space="0"/>
            </w:tcBorders>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49"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26089 </w:t>
            </w:r>
          </w:p>
        </w:tc>
      </w:tr>
      <w:tr>
        <w:tblPrEx>
          <w:tblCellMar>
            <w:top w:w="0" w:type="dxa"/>
            <w:left w:w="0" w:type="dxa"/>
            <w:bottom w:w="0" w:type="dxa"/>
            <w:right w:w="0" w:type="dxa"/>
          </w:tblCellMar>
        </w:tblPrEx>
        <w:trPr>
          <w:trHeight w:val="270" w:hRule="atLeast"/>
          <w:jc w:val="center"/>
        </w:trPr>
        <w:tc>
          <w:tcPr>
            <w:tcW w:w="1017"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3</w:t>
            </w:r>
          </w:p>
        </w:tc>
        <w:tc>
          <w:tcPr>
            <w:tcW w:w="104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eastAsia="zh-CN"/>
              </w:rPr>
            </w:pPr>
            <w:r>
              <w:rPr>
                <w:rFonts w:hint="eastAsia" w:ascii="楷体" w:hAnsi="楷体" w:eastAsia="楷体" w:cs="楷体"/>
                <w:b w:val="0"/>
                <w:bCs w:val="0"/>
                <w:color w:val="auto"/>
                <w:sz w:val="24"/>
                <w:szCs w:val="24"/>
                <w:highlight w:val="none"/>
                <w:lang w:eastAsia="zh-CN"/>
              </w:rPr>
              <w:t>华山松林</w:t>
            </w:r>
          </w:p>
        </w:tc>
        <w:tc>
          <w:tcPr>
            <w:tcW w:w="1739" w:type="dxa"/>
            <w:tcBorders>
              <w:top w:val="single" w:color="000000" w:sz="4" w:space="0"/>
              <w:left w:val="single" w:color="auto"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幼龄林</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≤4年</w:t>
            </w:r>
          </w:p>
        </w:tc>
        <w:tc>
          <w:tcPr>
            <w:tcW w:w="1992"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42 </w:t>
            </w:r>
          </w:p>
        </w:tc>
        <w:tc>
          <w:tcPr>
            <w:tcW w:w="13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180</w:t>
            </w:r>
          </w:p>
        </w:tc>
        <w:tc>
          <w:tcPr>
            <w:tcW w:w="1749"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7516 </w:t>
            </w:r>
          </w:p>
        </w:tc>
      </w:tr>
      <w:tr>
        <w:tblPrEx>
          <w:tblCellMar>
            <w:top w:w="0" w:type="dxa"/>
            <w:left w:w="0" w:type="dxa"/>
            <w:bottom w:w="0" w:type="dxa"/>
            <w:right w:w="0" w:type="dxa"/>
          </w:tblCellMar>
        </w:tblPrEx>
        <w:trPr>
          <w:trHeight w:val="270" w:hRule="atLeast"/>
          <w:jc w:val="center"/>
        </w:trPr>
        <w:tc>
          <w:tcPr>
            <w:tcW w:w="101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04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39" w:type="dxa"/>
            <w:tcBorders>
              <w:top w:val="single" w:color="000000" w:sz="4" w:space="0"/>
              <w:left w:val="single" w:color="auto"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中龄林（近熟林）</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5-10年</w:t>
            </w:r>
          </w:p>
        </w:tc>
        <w:tc>
          <w:tcPr>
            <w:tcW w:w="1992"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80 </w:t>
            </w:r>
          </w:p>
        </w:tc>
        <w:tc>
          <w:tcPr>
            <w:tcW w:w="13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49"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14483 </w:t>
            </w:r>
          </w:p>
        </w:tc>
      </w:tr>
      <w:tr>
        <w:tblPrEx>
          <w:tblCellMar>
            <w:top w:w="0" w:type="dxa"/>
            <w:left w:w="0" w:type="dxa"/>
            <w:bottom w:w="0" w:type="dxa"/>
            <w:right w:w="0" w:type="dxa"/>
          </w:tblCellMar>
        </w:tblPrEx>
        <w:trPr>
          <w:trHeight w:val="270" w:hRule="atLeast"/>
          <w:jc w:val="center"/>
        </w:trPr>
        <w:tc>
          <w:tcPr>
            <w:tcW w:w="101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04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39" w:type="dxa"/>
            <w:tcBorders>
              <w:top w:val="single" w:color="000000" w:sz="4" w:space="0"/>
              <w:left w:val="single" w:color="auto"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成熟林（过熟林）</w:t>
            </w:r>
          </w:p>
        </w:tc>
        <w:tc>
          <w:tcPr>
            <w:tcW w:w="120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≥11年</w:t>
            </w:r>
          </w:p>
        </w:tc>
        <w:tc>
          <w:tcPr>
            <w:tcW w:w="1992" w:type="dxa"/>
            <w:tcBorders>
              <w:top w:val="single" w:color="000000" w:sz="4" w:space="0"/>
              <w:left w:val="nil"/>
              <w:bottom w:val="single" w:color="000000" w:sz="4" w:space="0"/>
              <w:right w:val="single" w:color="auto"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110 </w:t>
            </w:r>
          </w:p>
        </w:tc>
        <w:tc>
          <w:tcPr>
            <w:tcW w:w="13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p>
        </w:tc>
        <w:tc>
          <w:tcPr>
            <w:tcW w:w="1749" w:type="dxa"/>
            <w:tcBorders>
              <w:top w:val="single" w:color="000000" w:sz="4" w:space="0"/>
              <w:left w:val="single" w:color="auto" w:sz="4" w:space="0"/>
              <w:bottom w:val="single" w:color="000000" w:sz="4" w:space="0"/>
              <w:right w:val="single" w:color="000000" w:sz="4" w:space="0"/>
            </w:tcBorders>
            <w:noWrap/>
            <w:tcMar>
              <w:top w:w="15" w:type="dxa"/>
              <w:left w:w="15" w:type="dxa"/>
              <w:bottom w:w="0" w:type="dxa"/>
              <w:right w:w="15" w:type="dxa"/>
            </w:tcMar>
            <w:vAlign w:val="center"/>
          </w:tcPr>
          <w:p>
            <w:pPr>
              <w:widowControl/>
              <w:spacing w:line="360" w:lineRule="auto"/>
              <w:jc w:val="center"/>
              <w:textAlignment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lang w:val="en-US" w:eastAsia="zh-CN"/>
              </w:rPr>
              <w:t xml:space="preserve">19827 </w:t>
            </w:r>
          </w:p>
        </w:tc>
      </w:tr>
      <w:tr>
        <w:tblPrEx>
          <w:tblCellMar>
            <w:top w:w="0" w:type="dxa"/>
            <w:left w:w="0" w:type="dxa"/>
            <w:bottom w:w="0" w:type="dxa"/>
            <w:right w:w="0" w:type="dxa"/>
          </w:tblCellMar>
        </w:tblPrEx>
        <w:trPr>
          <w:trHeight w:val="270" w:hRule="atLeast"/>
          <w:jc w:val="center"/>
        </w:trPr>
        <w:tc>
          <w:tcPr>
            <w:tcW w:w="10065" w:type="dxa"/>
            <w:gridSpan w:val="7"/>
            <w:tcBorders>
              <w:top w:val="single" w:color="auto" w:sz="4" w:space="0"/>
              <w:left w:val="single" w:color="auto" w:sz="4" w:space="0"/>
              <w:bottom w:val="single" w:color="auto" w:sz="4" w:space="0"/>
              <w:right w:val="single" w:color="000000" w:sz="4" w:space="0"/>
            </w:tcBorders>
            <w:shd w:val="clear" w:color="auto" w:fill="auto"/>
            <w:noWrap w:val="0"/>
            <w:vAlign w:val="center"/>
          </w:tcPr>
          <w:p>
            <w:pPr>
              <w:widowControl/>
              <w:spacing w:line="360" w:lineRule="auto"/>
              <w:jc w:val="left"/>
              <w:rPr>
                <w:rFonts w:hint="eastAsia" w:ascii="楷体" w:hAnsi="楷体" w:eastAsia="楷体" w:cs="楷体"/>
                <w:b w:val="0"/>
                <w:bCs w:val="0"/>
                <w:color w:val="auto"/>
                <w:kern w:val="0"/>
                <w:sz w:val="24"/>
                <w:szCs w:val="24"/>
                <w:highlight w:val="none"/>
                <w:lang w:eastAsia="zh-CN"/>
              </w:rPr>
            </w:pPr>
            <w:r>
              <w:rPr>
                <w:rFonts w:hint="eastAsia" w:ascii="楷体" w:hAnsi="楷体" w:eastAsia="楷体" w:cs="楷体"/>
                <w:b w:val="0"/>
                <w:bCs w:val="0"/>
                <w:color w:val="auto"/>
                <w:kern w:val="0"/>
                <w:sz w:val="24"/>
                <w:szCs w:val="24"/>
                <w:highlight w:val="none"/>
              </w:rPr>
              <w:t>注：1. 成片林木赔偿标准需查询林业</w:t>
            </w:r>
            <w:r>
              <w:rPr>
                <w:rFonts w:hint="eastAsia" w:ascii="楷体" w:hAnsi="楷体" w:eastAsia="楷体" w:cs="楷体"/>
                <w:b w:val="0"/>
                <w:bCs w:val="0"/>
                <w:color w:val="auto"/>
                <w:kern w:val="0"/>
                <w:sz w:val="24"/>
                <w:szCs w:val="24"/>
                <w:highlight w:val="none"/>
                <w:lang w:val="en-US" w:eastAsia="zh-CN"/>
              </w:rPr>
              <w:t>农业</w:t>
            </w:r>
            <w:r>
              <w:rPr>
                <w:rFonts w:hint="eastAsia" w:ascii="楷体" w:hAnsi="楷体" w:eastAsia="楷体" w:cs="楷体"/>
                <w:b w:val="0"/>
                <w:bCs w:val="0"/>
                <w:color w:val="auto"/>
                <w:kern w:val="0"/>
                <w:sz w:val="24"/>
                <w:szCs w:val="24"/>
                <w:highlight w:val="none"/>
              </w:rPr>
              <w:t>种植规范，按照最大种植密度给予补偿</w:t>
            </w:r>
            <w:r>
              <w:rPr>
                <w:rFonts w:hint="eastAsia" w:ascii="楷体" w:hAnsi="楷体" w:eastAsia="楷体" w:cs="楷体"/>
                <w:b w:val="0"/>
                <w:bCs w:val="0"/>
                <w:color w:val="auto"/>
                <w:kern w:val="0"/>
                <w:sz w:val="24"/>
                <w:szCs w:val="24"/>
                <w:highlight w:val="none"/>
                <w:lang w:eastAsia="zh-CN"/>
              </w:rPr>
              <w:t>；</w:t>
            </w:r>
          </w:p>
          <w:p>
            <w:pPr>
              <w:widowControl/>
              <w:spacing w:line="360" w:lineRule="auto"/>
              <w:ind w:firstLine="480" w:firstLineChars="200"/>
              <w:jc w:val="both"/>
              <w:textAlignment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kern w:val="0"/>
                <w:sz w:val="24"/>
                <w:szCs w:val="24"/>
                <w:highlight w:val="none"/>
              </w:rPr>
              <w:t>2. 未列林木按照</w:t>
            </w:r>
            <w:r>
              <w:rPr>
                <w:rFonts w:hint="eastAsia" w:ascii="楷体" w:hAnsi="楷体" w:eastAsia="楷体" w:cs="楷体"/>
                <w:b w:val="0"/>
                <w:bCs w:val="0"/>
                <w:color w:val="auto"/>
                <w:kern w:val="0"/>
                <w:sz w:val="24"/>
                <w:szCs w:val="24"/>
                <w:highlight w:val="none"/>
                <w:lang w:eastAsia="zh-CN"/>
              </w:rPr>
              <w:t>《</w:t>
            </w:r>
            <w:r>
              <w:rPr>
                <w:rFonts w:hint="eastAsia" w:ascii="楷体" w:hAnsi="楷体" w:eastAsia="楷体" w:cs="楷体"/>
                <w:b w:val="0"/>
                <w:bCs w:val="0"/>
                <w:color w:val="auto"/>
                <w:kern w:val="0"/>
                <w:sz w:val="24"/>
                <w:szCs w:val="24"/>
                <w:highlight w:val="none"/>
                <w:lang w:val="en-US" w:eastAsia="zh-CN"/>
              </w:rPr>
              <w:t>中华人民共和国森林法</w:t>
            </w:r>
            <w:r>
              <w:rPr>
                <w:rFonts w:hint="eastAsia" w:ascii="楷体" w:hAnsi="楷体" w:eastAsia="楷体" w:cs="楷体"/>
                <w:b w:val="0"/>
                <w:bCs w:val="0"/>
                <w:color w:val="auto"/>
                <w:kern w:val="0"/>
                <w:sz w:val="24"/>
                <w:szCs w:val="24"/>
                <w:highlight w:val="none"/>
                <w:lang w:eastAsia="zh-CN"/>
              </w:rPr>
              <w:t>》的</w:t>
            </w:r>
            <w:r>
              <w:rPr>
                <w:rFonts w:hint="eastAsia" w:ascii="楷体" w:hAnsi="楷体" w:eastAsia="楷体" w:cs="楷体"/>
                <w:b w:val="0"/>
                <w:bCs w:val="0"/>
                <w:color w:val="auto"/>
                <w:kern w:val="0"/>
                <w:sz w:val="24"/>
                <w:szCs w:val="24"/>
                <w:highlight w:val="none"/>
                <w:lang w:val="en-US" w:eastAsia="zh-CN"/>
              </w:rPr>
              <w:t>相关规定进行补偿。</w:t>
            </w:r>
          </w:p>
        </w:tc>
      </w:tr>
    </w:tbl>
    <w:p>
      <w:pPr>
        <w:widowControl/>
        <w:spacing w:line="360" w:lineRule="auto"/>
        <w:jc w:val="center"/>
        <w:rPr>
          <w:rFonts w:hint="eastAsia" w:ascii="楷体" w:hAnsi="楷体" w:eastAsia="楷体" w:cs="楷体"/>
          <w:b w:val="0"/>
          <w:bCs w:val="0"/>
          <w:color w:val="auto"/>
          <w:sz w:val="24"/>
          <w:szCs w:val="24"/>
          <w:highlight w:val="none"/>
        </w:rPr>
      </w:pPr>
    </w:p>
    <w:p>
      <w:pPr>
        <w:widowControl/>
        <w:spacing w:line="360" w:lineRule="auto"/>
        <w:jc w:val="center"/>
        <w:rPr>
          <w:rFonts w:hint="eastAsia" w:ascii="楷体" w:hAnsi="楷体" w:eastAsia="楷体" w:cs="楷体"/>
          <w:b w:val="0"/>
          <w:bCs w:val="0"/>
          <w:color w:val="auto"/>
          <w:sz w:val="24"/>
          <w:szCs w:val="24"/>
          <w:highlight w:val="none"/>
        </w:rPr>
      </w:pPr>
    </w:p>
    <w:p>
      <w:pPr>
        <w:widowControl/>
        <w:spacing w:line="360" w:lineRule="auto"/>
        <w:jc w:val="center"/>
        <w:rPr>
          <w:rFonts w:hint="eastAsia" w:ascii="楷体" w:hAnsi="楷体" w:eastAsia="楷体" w:cs="楷体"/>
          <w:b w:val="0"/>
          <w:bCs w:val="0"/>
          <w:sz w:val="24"/>
          <w:szCs w:val="24"/>
        </w:rPr>
      </w:pPr>
      <w:r>
        <w:rPr>
          <w:rFonts w:hint="eastAsia" w:ascii="楷体" w:hAnsi="楷体" w:eastAsia="楷体" w:cs="楷体"/>
          <w:b w:val="0"/>
          <w:bCs w:val="0"/>
          <w:color w:val="auto"/>
          <w:sz w:val="24"/>
          <w:szCs w:val="24"/>
          <w:highlight w:val="none"/>
        </w:rPr>
        <w:t>表</w:t>
      </w:r>
      <w:r>
        <w:rPr>
          <w:rFonts w:hint="eastAsia" w:ascii="楷体" w:hAnsi="楷体" w:eastAsia="楷体" w:cs="楷体"/>
          <w:b w:val="0"/>
          <w:bCs w:val="0"/>
          <w:color w:val="auto"/>
          <w:sz w:val="24"/>
          <w:szCs w:val="24"/>
          <w:highlight w:val="none"/>
          <w:lang w:val="en-US" w:eastAsia="zh-CN"/>
        </w:rPr>
        <w:t>5-30</w:t>
      </w:r>
      <w:r>
        <w:rPr>
          <w:rFonts w:hint="eastAsia" w:ascii="楷体" w:hAnsi="楷体" w:eastAsia="楷体" w:cs="楷体"/>
          <w:b w:val="0"/>
          <w:bCs w:val="0"/>
          <w:color w:val="auto"/>
          <w:sz w:val="24"/>
          <w:szCs w:val="24"/>
          <w:highlight w:val="none"/>
        </w:rPr>
        <w:t xml:space="preserve"> </w:t>
      </w:r>
      <w:r>
        <w:rPr>
          <w:rFonts w:hint="eastAsia" w:ascii="楷体" w:hAnsi="楷体" w:eastAsia="楷体" w:cs="楷体"/>
          <w:b w:val="0"/>
          <w:bCs w:val="0"/>
          <w:color w:val="auto"/>
          <w:sz w:val="24"/>
          <w:szCs w:val="24"/>
          <w:highlight w:val="none"/>
          <w:lang w:val="en-US" w:eastAsia="zh-CN"/>
        </w:rPr>
        <w:t>其他</w:t>
      </w:r>
      <w:r>
        <w:rPr>
          <w:rFonts w:hint="eastAsia" w:ascii="楷体" w:hAnsi="楷体" w:eastAsia="楷体" w:cs="楷体"/>
          <w:b w:val="0"/>
          <w:bCs w:val="0"/>
          <w:color w:val="auto"/>
          <w:sz w:val="24"/>
          <w:szCs w:val="24"/>
          <w:highlight w:val="none"/>
        </w:rPr>
        <w:t>成片（零星）林木补偿标准表</w:t>
      </w:r>
    </w:p>
    <w:p>
      <w:pPr>
        <w:spacing w:line="360" w:lineRule="auto"/>
        <w:jc w:val="right"/>
        <w:rPr>
          <w:rFonts w:hint="eastAsia" w:ascii="楷体" w:hAnsi="楷体" w:eastAsia="楷体" w:cs="楷体"/>
          <w:b w:val="0"/>
          <w:bCs w:val="0"/>
          <w:color w:val="auto"/>
          <w:kern w:val="0"/>
          <w:sz w:val="24"/>
          <w:szCs w:val="24"/>
          <w:highlight w:val="none"/>
        </w:rPr>
      </w:pPr>
    </w:p>
    <w:tbl>
      <w:tblPr>
        <w:tblStyle w:val="45"/>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0"/>
        <w:gridCol w:w="1080"/>
        <w:gridCol w:w="1743"/>
        <w:gridCol w:w="1100"/>
        <w:gridCol w:w="1300"/>
        <w:gridCol w:w="1238"/>
        <w:gridCol w:w="1012"/>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63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序号</w:t>
            </w:r>
          </w:p>
        </w:tc>
        <w:tc>
          <w:tcPr>
            <w:tcW w:w="108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林木名称</w:t>
            </w:r>
          </w:p>
        </w:tc>
        <w:tc>
          <w:tcPr>
            <w:tcW w:w="1743"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龄组（生长</w:t>
            </w:r>
          </w:p>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发育阶段）</w:t>
            </w:r>
          </w:p>
        </w:tc>
        <w:tc>
          <w:tcPr>
            <w:tcW w:w="110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说明</w:t>
            </w:r>
          </w:p>
        </w:tc>
        <w:tc>
          <w:tcPr>
            <w:tcW w:w="130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单位</w:t>
            </w:r>
          </w:p>
        </w:tc>
        <w:tc>
          <w:tcPr>
            <w:tcW w:w="1238"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补偿标准</w:t>
            </w:r>
          </w:p>
        </w:tc>
        <w:tc>
          <w:tcPr>
            <w:tcW w:w="1012"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lang w:eastAsia="zh-CN"/>
              </w:rPr>
            </w:pPr>
            <w:r>
              <w:rPr>
                <w:rFonts w:hint="eastAsia" w:ascii="楷体" w:hAnsi="楷体" w:eastAsia="楷体" w:cs="楷体"/>
                <w:b w:val="0"/>
                <w:bCs w:val="0"/>
                <w:color w:val="auto"/>
                <w:kern w:val="0"/>
                <w:sz w:val="24"/>
                <w:szCs w:val="24"/>
                <w:highlight w:val="none"/>
              </w:rPr>
              <w:t>种植密度</w:t>
            </w:r>
            <w:r>
              <w:rPr>
                <w:rFonts w:hint="eastAsia" w:ascii="楷体" w:hAnsi="楷体" w:eastAsia="楷体" w:cs="楷体"/>
                <w:b w:val="0"/>
                <w:bCs w:val="0"/>
                <w:color w:val="auto"/>
                <w:kern w:val="0"/>
                <w:sz w:val="24"/>
                <w:szCs w:val="24"/>
                <w:highlight w:val="none"/>
                <w:lang w:eastAsia="zh-CN"/>
              </w:rPr>
              <w:t>（</w:t>
            </w:r>
            <w:r>
              <w:rPr>
                <w:rFonts w:hint="eastAsia" w:ascii="楷体" w:hAnsi="楷体" w:eastAsia="楷体" w:cs="楷体"/>
                <w:b w:val="0"/>
                <w:bCs w:val="0"/>
                <w:color w:val="auto"/>
                <w:kern w:val="0"/>
                <w:sz w:val="24"/>
                <w:szCs w:val="24"/>
                <w:highlight w:val="none"/>
                <w:lang w:val="en-US" w:eastAsia="zh-CN"/>
              </w:rPr>
              <w:t>株/亩</w:t>
            </w:r>
            <w:r>
              <w:rPr>
                <w:rFonts w:hint="eastAsia" w:ascii="楷体" w:hAnsi="楷体" w:eastAsia="楷体" w:cs="楷体"/>
                <w:b w:val="0"/>
                <w:bCs w:val="0"/>
                <w:color w:val="auto"/>
                <w:kern w:val="0"/>
                <w:sz w:val="24"/>
                <w:szCs w:val="24"/>
                <w:highlight w:val="none"/>
                <w:lang w:eastAsia="zh-CN"/>
              </w:rPr>
              <w:t>）</w:t>
            </w:r>
          </w:p>
        </w:tc>
        <w:tc>
          <w:tcPr>
            <w:tcW w:w="130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补偿标准</w:t>
            </w:r>
          </w:p>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630" w:type="dxa"/>
            <w:vMerge w:val="restart"/>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1</w:t>
            </w:r>
          </w:p>
        </w:tc>
        <w:tc>
          <w:tcPr>
            <w:tcW w:w="1080" w:type="dxa"/>
            <w:vMerge w:val="restart"/>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竹子</w:t>
            </w:r>
          </w:p>
        </w:tc>
        <w:tc>
          <w:tcPr>
            <w:tcW w:w="1743"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幼龄林</w:t>
            </w:r>
          </w:p>
        </w:tc>
        <w:tc>
          <w:tcPr>
            <w:tcW w:w="110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≤3年</w:t>
            </w:r>
          </w:p>
        </w:tc>
        <w:tc>
          <w:tcPr>
            <w:tcW w:w="1300" w:type="dxa"/>
            <w:vMerge w:val="restart"/>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元/株</w:t>
            </w:r>
          </w:p>
        </w:tc>
        <w:tc>
          <w:tcPr>
            <w:tcW w:w="1238"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 xml:space="preserve">16 </w:t>
            </w:r>
          </w:p>
        </w:tc>
        <w:tc>
          <w:tcPr>
            <w:tcW w:w="1012" w:type="dxa"/>
            <w:vMerge w:val="restart"/>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500</w:t>
            </w:r>
          </w:p>
        </w:tc>
        <w:tc>
          <w:tcPr>
            <w:tcW w:w="130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 xml:space="preserve">7886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630" w:type="dxa"/>
            <w:vMerge w:val="continue"/>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p>
        </w:tc>
        <w:tc>
          <w:tcPr>
            <w:tcW w:w="1080" w:type="dxa"/>
            <w:vMerge w:val="continue"/>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p>
        </w:tc>
        <w:tc>
          <w:tcPr>
            <w:tcW w:w="1743"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中龄林（近熟林）</w:t>
            </w:r>
          </w:p>
        </w:tc>
        <w:tc>
          <w:tcPr>
            <w:tcW w:w="110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4-6年</w:t>
            </w:r>
          </w:p>
        </w:tc>
        <w:tc>
          <w:tcPr>
            <w:tcW w:w="1300" w:type="dxa"/>
            <w:vMerge w:val="continue"/>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p>
        </w:tc>
        <w:tc>
          <w:tcPr>
            <w:tcW w:w="1238"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 xml:space="preserve">30 </w:t>
            </w:r>
          </w:p>
        </w:tc>
        <w:tc>
          <w:tcPr>
            <w:tcW w:w="1012" w:type="dxa"/>
            <w:vMerge w:val="continue"/>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p>
        </w:tc>
        <w:tc>
          <w:tcPr>
            <w:tcW w:w="130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 xml:space="preserve">14806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630" w:type="dxa"/>
            <w:vMerge w:val="continue"/>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p>
        </w:tc>
        <w:tc>
          <w:tcPr>
            <w:tcW w:w="1080" w:type="dxa"/>
            <w:vMerge w:val="continue"/>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p>
        </w:tc>
        <w:tc>
          <w:tcPr>
            <w:tcW w:w="1743"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成熟林（过熟林）</w:t>
            </w:r>
          </w:p>
        </w:tc>
        <w:tc>
          <w:tcPr>
            <w:tcW w:w="110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≥7年</w:t>
            </w:r>
          </w:p>
        </w:tc>
        <w:tc>
          <w:tcPr>
            <w:tcW w:w="1300" w:type="dxa"/>
            <w:vMerge w:val="continue"/>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p>
        </w:tc>
        <w:tc>
          <w:tcPr>
            <w:tcW w:w="1238"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 xml:space="preserve">41 </w:t>
            </w:r>
          </w:p>
        </w:tc>
        <w:tc>
          <w:tcPr>
            <w:tcW w:w="1012" w:type="dxa"/>
            <w:vMerge w:val="continue"/>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p>
        </w:tc>
        <w:tc>
          <w:tcPr>
            <w:tcW w:w="1300" w:type="dxa"/>
            <w:shd w:val="clear" w:color="auto" w:fill="auto"/>
            <w:noWrap/>
            <w:tcMar>
              <w:top w:w="15" w:type="dxa"/>
              <w:left w:w="15" w:type="dxa"/>
              <w:right w:w="15" w:type="dxa"/>
            </w:tcMar>
            <w:vAlign w:val="center"/>
          </w:tcPr>
          <w:p>
            <w:pPr>
              <w:widowControl/>
              <w:spacing w:line="360" w:lineRule="auto"/>
              <w:jc w:val="center"/>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rPr>
              <w:t>25772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9403" w:type="dxa"/>
            <w:gridSpan w:val="8"/>
            <w:shd w:val="clear" w:color="auto" w:fill="auto"/>
            <w:noWrap/>
            <w:tcMar>
              <w:top w:w="15" w:type="dxa"/>
              <w:left w:w="15" w:type="dxa"/>
              <w:right w:w="15" w:type="dxa"/>
            </w:tcMar>
            <w:vAlign w:val="center"/>
          </w:tcPr>
          <w:p>
            <w:pPr>
              <w:widowControl/>
              <w:spacing w:line="360" w:lineRule="auto"/>
              <w:jc w:val="left"/>
              <w:rPr>
                <w:rFonts w:hint="eastAsia" w:ascii="楷体" w:hAnsi="楷体" w:eastAsia="楷体" w:cs="楷体"/>
                <w:b w:val="0"/>
                <w:bCs w:val="0"/>
                <w:color w:val="auto"/>
                <w:kern w:val="0"/>
                <w:sz w:val="24"/>
                <w:szCs w:val="24"/>
                <w:highlight w:val="none"/>
                <w:lang w:eastAsia="zh-CN"/>
              </w:rPr>
            </w:pPr>
            <w:r>
              <w:rPr>
                <w:rFonts w:hint="eastAsia" w:ascii="楷体" w:hAnsi="楷体" w:eastAsia="楷体" w:cs="楷体"/>
                <w:b w:val="0"/>
                <w:bCs w:val="0"/>
                <w:color w:val="auto"/>
                <w:kern w:val="0"/>
                <w:sz w:val="24"/>
                <w:szCs w:val="24"/>
                <w:highlight w:val="none"/>
              </w:rPr>
              <w:t>注：1. 成片林木赔偿标准需查询林业</w:t>
            </w:r>
            <w:r>
              <w:rPr>
                <w:rFonts w:hint="eastAsia" w:ascii="楷体" w:hAnsi="楷体" w:eastAsia="楷体" w:cs="楷体"/>
                <w:b w:val="0"/>
                <w:bCs w:val="0"/>
                <w:color w:val="auto"/>
                <w:kern w:val="0"/>
                <w:sz w:val="24"/>
                <w:szCs w:val="24"/>
                <w:highlight w:val="none"/>
                <w:lang w:val="en-US" w:eastAsia="zh-CN"/>
              </w:rPr>
              <w:t>农业</w:t>
            </w:r>
            <w:r>
              <w:rPr>
                <w:rFonts w:hint="eastAsia" w:ascii="楷体" w:hAnsi="楷体" w:eastAsia="楷体" w:cs="楷体"/>
                <w:b w:val="0"/>
                <w:bCs w:val="0"/>
                <w:color w:val="auto"/>
                <w:kern w:val="0"/>
                <w:sz w:val="24"/>
                <w:szCs w:val="24"/>
                <w:highlight w:val="none"/>
              </w:rPr>
              <w:t>种植规范，按照最大种植密度给予补偿</w:t>
            </w:r>
            <w:r>
              <w:rPr>
                <w:rFonts w:hint="eastAsia" w:ascii="楷体" w:hAnsi="楷体" w:eastAsia="楷体" w:cs="楷体"/>
                <w:b w:val="0"/>
                <w:bCs w:val="0"/>
                <w:color w:val="auto"/>
                <w:kern w:val="0"/>
                <w:sz w:val="24"/>
                <w:szCs w:val="24"/>
                <w:highlight w:val="none"/>
                <w:lang w:eastAsia="zh-CN"/>
              </w:rPr>
              <w:t>；</w:t>
            </w:r>
          </w:p>
          <w:p>
            <w:pPr>
              <w:widowControl/>
              <w:spacing w:line="360" w:lineRule="auto"/>
              <w:jc w:val="left"/>
              <w:rPr>
                <w:rFonts w:hint="eastAsia" w:ascii="楷体" w:hAnsi="楷体" w:eastAsia="楷体" w:cs="楷体"/>
                <w:b w:val="0"/>
                <w:bCs w:val="0"/>
                <w:color w:val="auto"/>
                <w:kern w:val="0"/>
                <w:sz w:val="24"/>
                <w:szCs w:val="24"/>
                <w:highlight w:val="none"/>
                <w:lang w:val="en-US" w:eastAsia="zh-CN"/>
              </w:rPr>
            </w:pPr>
            <w:r>
              <w:rPr>
                <w:rFonts w:hint="eastAsia" w:ascii="楷体" w:hAnsi="楷体" w:eastAsia="楷体" w:cs="楷体"/>
                <w:b w:val="0"/>
                <w:bCs w:val="0"/>
                <w:color w:val="auto"/>
                <w:kern w:val="0"/>
                <w:sz w:val="24"/>
                <w:szCs w:val="24"/>
                <w:highlight w:val="none"/>
              </w:rPr>
              <w:t xml:space="preserve">    2. 未列林木按照</w:t>
            </w:r>
            <w:r>
              <w:rPr>
                <w:rFonts w:hint="eastAsia" w:ascii="楷体" w:hAnsi="楷体" w:eastAsia="楷体" w:cs="楷体"/>
                <w:b w:val="0"/>
                <w:bCs w:val="0"/>
                <w:color w:val="auto"/>
                <w:kern w:val="0"/>
                <w:sz w:val="24"/>
                <w:szCs w:val="24"/>
                <w:highlight w:val="none"/>
                <w:lang w:eastAsia="zh-CN"/>
              </w:rPr>
              <w:t>《</w:t>
            </w:r>
            <w:r>
              <w:rPr>
                <w:rFonts w:hint="eastAsia" w:ascii="楷体" w:hAnsi="楷体" w:eastAsia="楷体" w:cs="楷体"/>
                <w:b w:val="0"/>
                <w:bCs w:val="0"/>
                <w:color w:val="auto"/>
                <w:kern w:val="0"/>
                <w:sz w:val="24"/>
                <w:szCs w:val="24"/>
                <w:highlight w:val="none"/>
                <w:lang w:val="en-US" w:eastAsia="zh-CN"/>
              </w:rPr>
              <w:t>中华人民共和国森林法</w:t>
            </w:r>
            <w:r>
              <w:rPr>
                <w:rFonts w:hint="eastAsia" w:ascii="楷体" w:hAnsi="楷体" w:eastAsia="楷体" w:cs="楷体"/>
                <w:b w:val="0"/>
                <w:bCs w:val="0"/>
                <w:color w:val="auto"/>
                <w:kern w:val="0"/>
                <w:sz w:val="24"/>
                <w:szCs w:val="24"/>
                <w:highlight w:val="none"/>
                <w:lang w:eastAsia="zh-CN"/>
              </w:rPr>
              <w:t>》的</w:t>
            </w:r>
            <w:r>
              <w:rPr>
                <w:rFonts w:hint="eastAsia" w:ascii="楷体" w:hAnsi="楷体" w:eastAsia="楷体" w:cs="楷体"/>
                <w:b w:val="0"/>
                <w:bCs w:val="0"/>
                <w:color w:val="auto"/>
                <w:kern w:val="0"/>
                <w:sz w:val="24"/>
                <w:szCs w:val="24"/>
                <w:highlight w:val="none"/>
                <w:lang w:val="en-US" w:eastAsia="zh-CN"/>
              </w:rPr>
              <w:t>相关规定进行补偿。</w:t>
            </w:r>
          </w:p>
        </w:tc>
      </w:tr>
    </w:tbl>
    <w:p>
      <w:pPr>
        <w:widowControl/>
        <w:spacing w:line="360" w:lineRule="auto"/>
        <w:jc w:val="center"/>
        <w:rPr>
          <w:rFonts w:hint="eastAsia" w:ascii="楷体" w:hAnsi="楷体" w:eastAsia="楷体" w:cs="楷体"/>
          <w:b w:val="0"/>
          <w:bCs w:val="0"/>
          <w:color w:val="auto"/>
          <w:kern w:val="0"/>
          <w:sz w:val="24"/>
          <w:szCs w:val="24"/>
          <w:highlight w:val="none"/>
        </w:rPr>
      </w:pPr>
    </w:p>
    <w:p>
      <w:pPr>
        <w:widowControl/>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表</w:t>
      </w:r>
      <w:r>
        <w:rPr>
          <w:rFonts w:hint="eastAsia" w:ascii="楷体" w:hAnsi="楷体" w:eastAsia="楷体" w:cs="楷体"/>
          <w:b w:val="0"/>
          <w:bCs w:val="0"/>
          <w:color w:val="auto"/>
          <w:sz w:val="24"/>
          <w:szCs w:val="24"/>
          <w:highlight w:val="none"/>
          <w:lang w:val="en-US" w:eastAsia="zh-CN"/>
        </w:rPr>
        <w:t>5-31</w:t>
      </w:r>
      <w:r>
        <w:rPr>
          <w:rFonts w:hint="eastAsia" w:ascii="楷体" w:hAnsi="楷体" w:eastAsia="楷体" w:cs="楷体"/>
          <w:b w:val="0"/>
          <w:bCs w:val="0"/>
          <w:color w:val="auto"/>
          <w:sz w:val="24"/>
          <w:szCs w:val="24"/>
          <w:highlight w:val="none"/>
        </w:rPr>
        <w:t xml:space="preserve">  成片（零星）果木补偿标准表</w:t>
      </w:r>
    </w:p>
    <w:p>
      <w:pPr>
        <w:pStyle w:val="2"/>
        <w:spacing w:line="360" w:lineRule="auto"/>
        <w:outlineLvl w:val="9"/>
        <w:rPr>
          <w:rFonts w:hint="eastAsia" w:ascii="楷体" w:hAnsi="楷体" w:eastAsia="楷体" w:cs="楷体"/>
        </w:rPr>
      </w:pPr>
    </w:p>
    <w:tbl>
      <w:tblPr>
        <w:tblStyle w:val="4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1"/>
        <w:gridCol w:w="1377"/>
        <w:gridCol w:w="3369"/>
        <w:gridCol w:w="1377"/>
        <w:gridCol w:w="879"/>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序号</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果木名称</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龄组（生长发育阶段）</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说明</w:t>
            </w:r>
          </w:p>
        </w:tc>
        <w:tc>
          <w:tcPr>
            <w:tcW w:w="483"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单位</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补偿标准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苹果</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7-10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11-30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≥31年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梨</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6-8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9-30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≥31年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桃子</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6-9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10-15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≥16年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4</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柿子</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≤4年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5-10年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11-40年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≥41年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李子</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≤4年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5-6年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7-15年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≥16年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坚果</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7-10年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11-30年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≥31年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7</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核桃</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6-10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11-70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≥71年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板栗</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7-10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11-60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≥61年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9</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花椒</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≤4年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5-10年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11-30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≥31年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10</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松子</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6-10年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11-60年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≥61年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11</w:t>
            </w:r>
          </w:p>
        </w:tc>
        <w:tc>
          <w:tcPr>
            <w:tcW w:w="757"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柑橘</w:t>
            </w: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产前期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≤5年</w:t>
            </w:r>
          </w:p>
        </w:tc>
        <w:tc>
          <w:tcPr>
            <w:tcW w:w="483" w:type="pct"/>
            <w:vMerge w:val="restar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元/株</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初产期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6-8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盛产期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9-30 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391"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衰产期</w:t>
            </w: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≥31年</w:t>
            </w:r>
          </w:p>
        </w:tc>
        <w:tc>
          <w:tcPr>
            <w:tcW w:w="483" w:type="pct"/>
            <w:vMerge w:val="continue"/>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757" w:type="pct"/>
            <w:shd w:val="clear" w:color="auto" w:fill="auto"/>
            <w:noWrap/>
            <w:tcMar>
              <w:top w:w="15" w:type="dxa"/>
              <w:left w:w="15" w:type="dxa"/>
              <w:right w:w="15" w:type="dxa"/>
            </w:tcMar>
            <w:vAlign w:val="center"/>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tblHeader/>
          <w:jc w:val="center"/>
        </w:trPr>
        <w:tc>
          <w:tcPr>
            <w:tcW w:w="5000" w:type="pct"/>
            <w:gridSpan w:val="6"/>
            <w:shd w:val="clear" w:color="auto" w:fill="auto"/>
            <w:noWrap/>
            <w:tcMar>
              <w:top w:w="15" w:type="dxa"/>
              <w:left w:w="15" w:type="dxa"/>
              <w:right w:w="15" w:type="dxa"/>
            </w:tcMar>
            <w:vAlign w:val="center"/>
          </w:tcPr>
          <w:p>
            <w:pPr>
              <w:widowControl/>
              <w:spacing w:line="360" w:lineRule="auto"/>
              <w:jc w:val="left"/>
              <w:rPr>
                <w:rFonts w:hint="eastAsia" w:ascii="楷体" w:hAnsi="楷体" w:eastAsia="楷体" w:cs="楷体"/>
                <w:b w:val="0"/>
                <w:bCs w:val="0"/>
                <w:color w:val="auto"/>
                <w:kern w:val="0"/>
                <w:sz w:val="24"/>
                <w:szCs w:val="24"/>
                <w:highlight w:val="none"/>
                <w:lang w:eastAsia="zh-CN"/>
              </w:rPr>
            </w:pPr>
            <w:r>
              <w:rPr>
                <w:rFonts w:hint="eastAsia" w:ascii="楷体" w:hAnsi="楷体" w:eastAsia="楷体" w:cs="楷体"/>
                <w:b w:val="0"/>
                <w:bCs w:val="0"/>
                <w:color w:val="auto"/>
                <w:kern w:val="0"/>
                <w:sz w:val="24"/>
                <w:szCs w:val="24"/>
                <w:highlight w:val="none"/>
              </w:rPr>
              <w:t>注：1. 林果木赔偿标准需查询林业</w:t>
            </w:r>
            <w:r>
              <w:rPr>
                <w:rFonts w:hint="eastAsia" w:ascii="楷体" w:hAnsi="楷体" w:eastAsia="楷体" w:cs="楷体"/>
                <w:b w:val="0"/>
                <w:bCs w:val="0"/>
                <w:color w:val="auto"/>
                <w:kern w:val="0"/>
                <w:sz w:val="24"/>
                <w:szCs w:val="24"/>
                <w:highlight w:val="none"/>
                <w:lang w:val="en-US" w:eastAsia="zh-CN"/>
              </w:rPr>
              <w:t>农业</w:t>
            </w:r>
            <w:r>
              <w:rPr>
                <w:rFonts w:hint="eastAsia" w:ascii="楷体" w:hAnsi="楷体" w:eastAsia="楷体" w:cs="楷体"/>
                <w:b w:val="0"/>
                <w:bCs w:val="0"/>
                <w:color w:val="auto"/>
                <w:kern w:val="0"/>
                <w:sz w:val="24"/>
                <w:szCs w:val="24"/>
                <w:highlight w:val="none"/>
              </w:rPr>
              <w:t>种植规范，按照最大种植密度给予补偿</w:t>
            </w:r>
            <w:r>
              <w:rPr>
                <w:rFonts w:hint="eastAsia" w:ascii="楷体" w:hAnsi="楷体" w:eastAsia="楷体" w:cs="楷体"/>
                <w:b w:val="0"/>
                <w:bCs w:val="0"/>
                <w:color w:val="auto"/>
                <w:kern w:val="0"/>
                <w:sz w:val="24"/>
                <w:szCs w:val="24"/>
                <w:highlight w:val="none"/>
                <w:lang w:eastAsia="zh-CN"/>
              </w:rPr>
              <w:t>；</w:t>
            </w:r>
          </w:p>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rPr>
              <w:t xml:space="preserve">    2. 未列林</w:t>
            </w:r>
            <w:r>
              <w:rPr>
                <w:rFonts w:hint="eastAsia" w:ascii="楷体" w:hAnsi="楷体" w:eastAsia="楷体" w:cs="楷体"/>
                <w:b w:val="0"/>
                <w:bCs w:val="0"/>
                <w:color w:val="auto"/>
                <w:kern w:val="0"/>
                <w:sz w:val="24"/>
                <w:szCs w:val="24"/>
                <w:highlight w:val="none"/>
                <w:lang w:eastAsia="zh-CN"/>
              </w:rPr>
              <w:t>（</w:t>
            </w:r>
            <w:r>
              <w:rPr>
                <w:rFonts w:hint="eastAsia" w:ascii="楷体" w:hAnsi="楷体" w:eastAsia="楷体" w:cs="楷体"/>
                <w:b w:val="0"/>
                <w:bCs w:val="0"/>
                <w:color w:val="auto"/>
                <w:kern w:val="0"/>
                <w:sz w:val="24"/>
                <w:szCs w:val="24"/>
                <w:highlight w:val="none"/>
                <w:lang w:val="en-US" w:eastAsia="zh-CN"/>
              </w:rPr>
              <w:t>果</w:t>
            </w:r>
            <w:r>
              <w:rPr>
                <w:rFonts w:hint="eastAsia" w:ascii="楷体" w:hAnsi="楷体" w:eastAsia="楷体" w:cs="楷体"/>
                <w:b w:val="0"/>
                <w:bCs w:val="0"/>
                <w:color w:val="auto"/>
                <w:kern w:val="0"/>
                <w:sz w:val="24"/>
                <w:szCs w:val="24"/>
                <w:highlight w:val="none"/>
                <w:lang w:eastAsia="zh-CN"/>
              </w:rPr>
              <w:t>）</w:t>
            </w:r>
            <w:r>
              <w:rPr>
                <w:rFonts w:hint="eastAsia" w:ascii="楷体" w:hAnsi="楷体" w:eastAsia="楷体" w:cs="楷体"/>
                <w:b w:val="0"/>
                <w:bCs w:val="0"/>
                <w:color w:val="auto"/>
                <w:kern w:val="0"/>
                <w:sz w:val="24"/>
                <w:szCs w:val="24"/>
                <w:highlight w:val="none"/>
              </w:rPr>
              <w:t>木按照</w:t>
            </w:r>
            <w:r>
              <w:rPr>
                <w:rFonts w:hint="eastAsia" w:ascii="楷体" w:hAnsi="楷体" w:eastAsia="楷体" w:cs="楷体"/>
                <w:b w:val="0"/>
                <w:bCs w:val="0"/>
                <w:color w:val="auto"/>
                <w:kern w:val="0"/>
                <w:sz w:val="24"/>
                <w:szCs w:val="24"/>
                <w:highlight w:val="none"/>
                <w:lang w:eastAsia="zh-CN"/>
              </w:rPr>
              <w:t>《</w:t>
            </w:r>
            <w:r>
              <w:rPr>
                <w:rFonts w:hint="eastAsia" w:ascii="楷体" w:hAnsi="楷体" w:eastAsia="楷体" w:cs="楷体"/>
                <w:b w:val="0"/>
                <w:bCs w:val="0"/>
                <w:color w:val="auto"/>
                <w:kern w:val="0"/>
                <w:sz w:val="24"/>
                <w:szCs w:val="24"/>
                <w:highlight w:val="none"/>
                <w:lang w:val="en-US" w:eastAsia="zh-CN"/>
              </w:rPr>
              <w:t>中华人民共和国森林法</w:t>
            </w:r>
            <w:r>
              <w:rPr>
                <w:rFonts w:hint="eastAsia" w:ascii="楷体" w:hAnsi="楷体" w:eastAsia="楷体" w:cs="楷体"/>
                <w:b w:val="0"/>
                <w:bCs w:val="0"/>
                <w:color w:val="auto"/>
                <w:kern w:val="0"/>
                <w:sz w:val="24"/>
                <w:szCs w:val="24"/>
                <w:highlight w:val="none"/>
                <w:lang w:eastAsia="zh-CN"/>
              </w:rPr>
              <w:t>》的</w:t>
            </w:r>
            <w:r>
              <w:rPr>
                <w:rFonts w:hint="eastAsia" w:ascii="楷体" w:hAnsi="楷体" w:eastAsia="楷体" w:cs="楷体"/>
                <w:b w:val="0"/>
                <w:bCs w:val="0"/>
                <w:color w:val="auto"/>
                <w:kern w:val="0"/>
                <w:sz w:val="24"/>
                <w:szCs w:val="24"/>
                <w:highlight w:val="none"/>
                <w:lang w:val="en-US" w:eastAsia="zh-CN"/>
              </w:rPr>
              <w:t>相关规定进行补偿。</w:t>
            </w:r>
          </w:p>
        </w:tc>
      </w:tr>
    </w:tbl>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p>
      <w:pPr>
        <w:spacing w:line="360" w:lineRule="auto"/>
        <w:jc w:val="center"/>
        <w:rPr>
          <w:rFonts w:hint="eastAsia" w:ascii="楷体" w:hAnsi="楷体" w:eastAsia="楷体" w:cs="楷体"/>
          <w:b w:val="0"/>
          <w:bCs w:val="0"/>
          <w:color w:val="auto"/>
          <w:sz w:val="24"/>
          <w:szCs w:val="24"/>
          <w:highlight w:val="none"/>
        </w:rPr>
      </w:pPr>
    </w:p>
    <w:p>
      <w:pPr>
        <w:widowControl/>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表</w:t>
      </w:r>
      <w:r>
        <w:rPr>
          <w:rFonts w:hint="eastAsia" w:ascii="楷体" w:hAnsi="楷体" w:eastAsia="楷体" w:cs="楷体"/>
          <w:b w:val="0"/>
          <w:bCs w:val="0"/>
          <w:color w:val="auto"/>
          <w:sz w:val="24"/>
          <w:szCs w:val="24"/>
          <w:highlight w:val="none"/>
          <w:lang w:val="en-US" w:eastAsia="zh-CN"/>
        </w:rPr>
        <w:t>5-32</w:t>
      </w:r>
      <w:r>
        <w:rPr>
          <w:rFonts w:hint="eastAsia" w:ascii="楷体" w:hAnsi="楷体" w:eastAsia="楷体" w:cs="楷体"/>
          <w:b w:val="0"/>
          <w:bCs w:val="0"/>
          <w:color w:val="auto"/>
          <w:sz w:val="24"/>
          <w:szCs w:val="24"/>
          <w:highlight w:val="none"/>
        </w:rPr>
        <w:t>林（果）</w:t>
      </w:r>
      <w:r>
        <w:rPr>
          <w:rFonts w:hint="eastAsia" w:ascii="楷体" w:hAnsi="楷体" w:eastAsia="楷体" w:cs="楷体"/>
          <w:b w:val="0"/>
          <w:bCs w:val="0"/>
          <w:color w:val="auto"/>
          <w:sz w:val="24"/>
          <w:szCs w:val="24"/>
          <w:highlight w:val="none"/>
          <w:lang w:val="en-US" w:eastAsia="zh-CN"/>
        </w:rPr>
        <w:t>树苗</w:t>
      </w:r>
      <w:r>
        <w:rPr>
          <w:rFonts w:hint="eastAsia" w:ascii="楷体" w:hAnsi="楷体" w:eastAsia="楷体" w:cs="楷体"/>
          <w:b w:val="0"/>
          <w:bCs w:val="0"/>
          <w:color w:val="auto"/>
          <w:sz w:val="24"/>
          <w:szCs w:val="24"/>
          <w:highlight w:val="none"/>
        </w:rPr>
        <w:t>补偿结果测算表</w:t>
      </w:r>
    </w:p>
    <w:p>
      <w:pPr>
        <w:spacing w:line="360" w:lineRule="auto"/>
        <w:jc w:val="right"/>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单位：元/亩</w:t>
      </w:r>
    </w:p>
    <w:tbl>
      <w:tblPr>
        <w:tblStyle w:val="46"/>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730"/>
        <w:gridCol w:w="2050"/>
        <w:gridCol w:w="2061"/>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blHeader/>
        </w:trPr>
        <w:tc>
          <w:tcPr>
            <w:tcW w:w="1664" w:type="dxa"/>
            <w:vMerge w:val="restart"/>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果木</w:t>
            </w:r>
          </w:p>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名称</w:t>
            </w:r>
          </w:p>
        </w:tc>
        <w:tc>
          <w:tcPr>
            <w:tcW w:w="1730" w:type="dxa"/>
            <w:vMerge w:val="restart"/>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历史补偿标准</w:t>
            </w:r>
          </w:p>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（元/亩）</w:t>
            </w:r>
          </w:p>
        </w:tc>
        <w:tc>
          <w:tcPr>
            <w:tcW w:w="2050" w:type="dxa"/>
            <w:vMerge w:val="restart"/>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收获现值法</w:t>
            </w:r>
          </w:p>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补偿标准（元/亩）</w:t>
            </w:r>
          </w:p>
        </w:tc>
        <w:tc>
          <w:tcPr>
            <w:tcW w:w="2061" w:type="dxa"/>
            <w:vMerge w:val="restart"/>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价格</w:t>
            </w:r>
          </w:p>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变动指数</w:t>
            </w:r>
          </w:p>
        </w:tc>
        <w:tc>
          <w:tcPr>
            <w:tcW w:w="1852" w:type="dxa"/>
            <w:vMerge w:val="restart"/>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价格指数法</w:t>
            </w:r>
          </w:p>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补偿标准（元/亩）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blHeader/>
        </w:trPr>
        <w:tc>
          <w:tcPr>
            <w:tcW w:w="1664" w:type="dxa"/>
            <w:vMerge w:val="continue"/>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730" w:type="dxa"/>
            <w:vMerge w:val="continue"/>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2050" w:type="dxa"/>
            <w:vMerge w:val="continue"/>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2061" w:type="dxa"/>
            <w:vMerge w:val="continue"/>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c>
          <w:tcPr>
            <w:tcW w:w="1852" w:type="dxa"/>
            <w:vMerge w:val="continue"/>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苹果</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26354</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梨</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26193</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桃子</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26354</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柿子</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26684</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李子</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25949</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坚果</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26328</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核桃</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27495</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板栗</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26430</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花椒</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26150</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松子</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26354</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柑橘</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vAlign w:val="bottom"/>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26354</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1664"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竹子</w:t>
            </w:r>
          </w:p>
        </w:tc>
        <w:tc>
          <w:tcPr>
            <w:tcW w:w="173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25000</w:t>
            </w:r>
          </w:p>
        </w:tc>
        <w:tc>
          <w:tcPr>
            <w:tcW w:w="2050"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25772</w:t>
            </w:r>
          </w:p>
        </w:tc>
        <w:tc>
          <w:tcPr>
            <w:tcW w:w="2061"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8%</w:t>
            </w:r>
          </w:p>
        </w:tc>
        <w:tc>
          <w:tcPr>
            <w:tcW w:w="1852" w:type="dxa"/>
          </w:tcPr>
          <w:p>
            <w:pPr>
              <w:widowControl/>
              <w:spacing w:line="360" w:lineRule="auto"/>
              <w:jc w:val="center"/>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lang w:bidi="ar"/>
              </w:rPr>
              <w:t>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blHeader/>
        </w:trPr>
        <w:tc>
          <w:tcPr>
            <w:tcW w:w="9357" w:type="dxa"/>
            <w:gridSpan w:val="5"/>
          </w:tcPr>
          <w:p>
            <w:pPr>
              <w:widowControl/>
              <w:spacing w:line="360" w:lineRule="auto"/>
              <w:jc w:val="left"/>
              <w:rPr>
                <w:rFonts w:hint="eastAsia" w:ascii="楷体" w:hAnsi="楷体" w:eastAsia="楷体" w:cs="楷体"/>
                <w:b w:val="0"/>
                <w:bCs w:val="0"/>
                <w:color w:val="auto"/>
                <w:kern w:val="0"/>
                <w:sz w:val="24"/>
                <w:szCs w:val="24"/>
                <w:highlight w:val="none"/>
                <w:lang w:eastAsia="zh-CN"/>
              </w:rPr>
            </w:pPr>
            <w:r>
              <w:rPr>
                <w:rFonts w:hint="eastAsia" w:ascii="楷体" w:hAnsi="楷体" w:eastAsia="楷体" w:cs="楷体"/>
                <w:b w:val="0"/>
                <w:bCs w:val="0"/>
                <w:color w:val="auto"/>
                <w:kern w:val="0"/>
                <w:sz w:val="24"/>
                <w:szCs w:val="24"/>
                <w:highlight w:val="none"/>
              </w:rPr>
              <w:t>注：1. 林果木赔偿标准需查询林业</w:t>
            </w:r>
            <w:r>
              <w:rPr>
                <w:rFonts w:hint="eastAsia" w:ascii="楷体" w:hAnsi="楷体" w:eastAsia="楷体" w:cs="楷体"/>
                <w:b w:val="0"/>
                <w:bCs w:val="0"/>
                <w:color w:val="auto"/>
                <w:kern w:val="0"/>
                <w:sz w:val="24"/>
                <w:szCs w:val="24"/>
                <w:highlight w:val="none"/>
                <w:lang w:val="en-US" w:eastAsia="zh-CN"/>
              </w:rPr>
              <w:t>农业</w:t>
            </w:r>
            <w:r>
              <w:rPr>
                <w:rFonts w:hint="eastAsia" w:ascii="楷体" w:hAnsi="楷体" w:eastAsia="楷体" w:cs="楷体"/>
                <w:b w:val="0"/>
                <w:bCs w:val="0"/>
                <w:color w:val="auto"/>
                <w:kern w:val="0"/>
                <w:sz w:val="24"/>
                <w:szCs w:val="24"/>
                <w:highlight w:val="none"/>
              </w:rPr>
              <w:t>种植规范，按照最大种植密度给予补偿</w:t>
            </w:r>
            <w:r>
              <w:rPr>
                <w:rFonts w:hint="eastAsia" w:ascii="楷体" w:hAnsi="楷体" w:eastAsia="楷体" w:cs="楷体"/>
                <w:b w:val="0"/>
                <w:bCs w:val="0"/>
                <w:color w:val="auto"/>
                <w:kern w:val="0"/>
                <w:sz w:val="24"/>
                <w:szCs w:val="24"/>
                <w:highlight w:val="none"/>
                <w:lang w:eastAsia="zh-CN"/>
              </w:rPr>
              <w:t>；</w:t>
            </w:r>
          </w:p>
          <w:p>
            <w:pPr>
              <w:widowControl/>
              <w:spacing w:line="360" w:lineRule="auto"/>
              <w:jc w:val="left"/>
              <w:textAlignment w:val="center"/>
              <w:rPr>
                <w:rFonts w:hint="eastAsia" w:ascii="楷体" w:hAnsi="楷体" w:eastAsia="楷体" w:cs="楷体"/>
                <w:b w:val="0"/>
                <w:bCs w:val="0"/>
                <w:color w:val="auto"/>
                <w:kern w:val="0"/>
                <w:sz w:val="24"/>
                <w:szCs w:val="24"/>
                <w:highlight w:val="none"/>
                <w:lang w:bidi="ar"/>
              </w:rPr>
            </w:pPr>
            <w:r>
              <w:rPr>
                <w:rFonts w:hint="eastAsia" w:ascii="楷体" w:hAnsi="楷体" w:eastAsia="楷体" w:cs="楷体"/>
                <w:b w:val="0"/>
                <w:bCs w:val="0"/>
                <w:color w:val="auto"/>
                <w:kern w:val="0"/>
                <w:sz w:val="24"/>
                <w:szCs w:val="24"/>
                <w:highlight w:val="none"/>
              </w:rPr>
              <w:t xml:space="preserve">    2. 未列林</w:t>
            </w:r>
            <w:r>
              <w:rPr>
                <w:rFonts w:hint="eastAsia" w:ascii="楷体" w:hAnsi="楷体" w:eastAsia="楷体" w:cs="楷体"/>
                <w:b w:val="0"/>
                <w:bCs w:val="0"/>
                <w:color w:val="auto"/>
                <w:kern w:val="0"/>
                <w:sz w:val="24"/>
                <w:szCs w:val="24"/>
                <w:highlight w:val="none"/>
                <w:lang w:eastAsia="zh-CN"/>
              </w:rPr>
              <w:t>（</w:t>
            </w:r>
            <w:r>
              <w:rPr>
                <w:rFonts w:hint="eastAsia" w:ascii="楷体" w:hAnsi="楷体" w:eastAsia="楷体" w:cs="楷体"/>
                <w:b w:val="0"/>
                <w:bCs w:val="0"/>
                <w:color w:val="auto"/>
                <w:kern w:val="0"/>
                <w:sz w:val="24"/>
                <w:szCs w:val="24"/>
                <w:highlight w:val="none"/>
                <w:lang w:val="en-US" w:eastAsia="zh-CN"/>
              </w:rPr>
              <w:t>果</w:t>
            </w:r>
            <w:r>
              <w:rPr>
                <w:rFonts w:hint="eastAsia" w:ascii="楷体" w:hAnsi="楷体" w:eastAsia="楷体" w:cs="楷体"/>
                <w:b w:val="0"/>
                <w:bCs w:val="0"/>
                <w:color w:val="auto"/>
                <w:kern w:val="0"/>
                <w:sz w:val="24"/>
                <w:szCs w:val="24"/>
                <w:highlight w:val="none"/>
                <w:lang w:eastAsia="zh-CN"/>
              </w:rPr>
              <w:t>）</w:t>
            </w:r>
            <w:r>
              <w:rPr>
                <w:rFonts w:hint="eastAsia" w:ascii="楷体" w:hAnsi="楷体" w:eastAsia="楷体" w:cs="楷体"/>
                <w:b w:val="0"/>
                <w:bCs w:val="0"/>
                <w:color w:val="auto"/>
                <w:kern w:val="0"/>
                <w:sz w:val="24"/>
                <w:szCs w:val="24"/>
                <w:highlight w:val="none"/>
              </w:rPr>
              <w:t>木按照</w:t>
            </w:r>
            <w:r>
              <w:rPr>
                <w:rFonts w:hint="eastAsia" w:ascii="楷体" w:hAnsi="楷体" w:eastAsia="楷体" w:cs="楷体"/>
                <w:b w:val="0"/>
                <w:bCs w:val="0"/>
                <w:color w:val="auto"/>
                <w:kern w:val="0"/>
                <w:sz w:val="24"/>
                <w:szCs w:val="24"/>
                <w:highlight w:val="none"/>
                <w:lang w:eastAsia="zh-CN"/>
              </w:rPr>
              <w:t>《</w:t>
            </w:r>
            <w:r>
              <w:rPr>
                <w:rFonts w:hint="eastAsia" w:ascii="楷体" w:hAnsi="楷体" w:eastAsia="楷体" w:cs="楷体"/>
                <w:b w:val="0"/>
                <w:bCs w:val="0"/>
                <w:color w:val="auto"/>
                <w:kern w:val="0"/>
                <w:sz w:val="24"/>
                <w:szCs w:val="24"/>
                <w:highlight w:val="none"/>
                <w:lang w:val="en-US" w:eastAsia="zh-CN"/>
              </w:rPr>
              <w:t>中华人民共和国森林法</w:t>
            </w:r>
            <w:r>
              <w:rPr>
                <w:rFonts w:hint="eastAsia" w:ascii="楷体" w:hAnsi="楷体" w:eastAsia="楷体" w:cs="楷体"/>
                <w:b w:val="0"/>
                <w:bCs w:val="0"/>
                <w:color w:val="auto"/>
                <w:kern w:val="0"/>
                <w:sz w:val="24"/>
                <w:szCs w:val="24"/>
                <w:highlight w:val="none"/>
                <w:lang w:eastAsia="zh-CN"/>
              </w:rPr>
              <w:t>》的</w:t>
            </w:r>
            <w:r>
              <w:rPr>
                <w:rFonts w:hint="eastAsia" w:ascii="楷体" w:hAnsi="楷体" w:eastAsia="楷体" w:cs="楷体"/>
                <w:b w:val="0"/>
                <w:bCs w:val="0"/>
                <w:color w:val="auto"/>
                <w:kern w:val="0"/>
                <w:sz w:val="24"/>
                <w:szCs w:val="24"/>
                <w:highlight w:val="none"/>
                <w:lang w:val="en-US" w:eastAsia="zh-CN"/>
              </w:rPr>
              <w:t>相关规定进行补偿。</w:t>
            </w:r>
          </w:p>
        </w:tc>
      </w:tr>
    </w:tbl>
    <w:p>
      <w:pPr>
        <w:widowControl/>
        <w:spacing w:line="360" w:lineRule="auto"/>
        <w:jc w:val="left"/>
        <w:rPr>
          <w:rFonts w:hint="eastAsia" w:ascii="楷体" w:hAnsi="楷体" w:eastAsia="楷体" w:cs="楷体"/>
          <w:color w:val="auto"/>
          <w:sz w:val="28"/>
          <w:szCs w:val="28"/>
          <w:highlight w:val="none"/>
        </w:rPr>
      </w:pPr>
    </w:p>
    <w:p>
      <w:pPr>
        <w:spacing w:line="360" w:lineRule="auto"/>
        <w:ind w:firstLine="562" w:firstLineChars="200"/>
        <w:outlineLvl w:val="2"/>
        <w:rPr>
          <w:rFonts w:hint="eastAsia" w:ascii="楷体" w:hAnsi="楷体" w:eastAsia="楷体" w:cs="楷体"/>
          <w:b/>
          <w:bCs/>
          <w:color w:val="auto"/>
          <w:kern w:val="0"/>
          <w:sz w:val="28"/>
          <w:szCs w:val="28"/>
          <w:highlight w:val="none"/>
        </w:rPr>
      </w:pPr>
      <w:bookmarkStart w:id="195" w:name="_Toc14101"/>
      <w:bookmarkStart w:id="196" w:name="_Toc6488"/>
      <w:r>
        <w:rPr>
          <w:rFonts w:hint="eastAsia" w:ascii="楷体" w:hAnsi="楷体" w:eastAsia="楷体" w:cs="楷体"/>
          <w:b/>
          <w:bCs/>
          <w:color w:val="auto"/>
          <w:kern w:val="0"/>
          <w:sz w:val="28"/>
          <w:szCs w:val="28"/>
          <w:highlight w:val="none"/>
        </w:rPr>
        <w:t>2.青苗补偿标准制定初步结果</w:t>
      </w:r>
      <w:bookmarkEnd w:id="195"/>
      <w:bookmarkEnd w:id="196"/>
    </w:p>
    <w:p>
      <w:pPr>
        <w:widowControl/>
        <w:spacing w:line="360" w:lineRule="auto"/>
        <w:jc w:val="center"/>
        <w:rPr>
          <w:rFonts w:hint="eastAsia" w:ascii="楷体" w:hAnsi="楷体" w:eastAsia="楷体" w:cs="楷体"/>
          <w:b w:val="0"/>
          <w:bCs w:val="0"/>
          <w:color w:val="auto"/>
          <w:sz w:val="24"/>
          <w:szCs w:val="24"/>
          <w:highlight w:val="none"/>
        </w:rPr>
      </w:pPr>
      <w:r>
        <w:rPr>
          <w:rFonts w:hint="eastAsia" w:ascii="楷体" w:hAnsi="楷体" w:eastAsia="楷体" w:cs="楷体"/>
          <w:b w:val="0"/>
          <w:bCs w:val="0"/>
          <w:color w:val="auto"/>
          <w:sz w:val="24"/>
          <w:szCs w:val="24"/>
          <w:highlight w:val="none"/>
        </w:rPr>
        <w:t>表</w:t>
      </w:r>
      <w:r>
        <w:rPr>
          <w:rFonts w:hint="eastAsia" w:ascii="楷体" w:hAnsi="楷体" w:eastAsia="楷体" w:cs="楷体"/>
          <w:b w:val="0"/>
          <w:bCs w:val="0"/>
          <w:color w:val="auto"/>
          <w:sz w:val="24"/>
          <w:szCs w:val="24"/>
          <w:highlight w:val="none"/>
          <w:lang w:val="en-US" w:eastAsia="zh-CN"/>
        </w:rPr>
        <w:t>5-33</w:t>
      </w:r>
      <w:r>
        <w:rPr>
          <w:rFonts w:hint="eastAsia" w:ascii="楷体" w:hAnsi="楷体" w:eastAsia="楷体" w:cs="楷体"/>
          <w:b w:val="0"/>
          <w:bCs w:val="0"/>
          <w:color w:val="auto"/>
          <w:sz w:val="24"/>
          <w:szCs w:val="24"/>
          <w:highlight w:val="none"/>
        </w:rPr>
        <w:t>青苗作物测算结果表</w:t>
      </w:r>
    </w:p>
    <w:p>
      <w:pPr>
        <w:pStyle w:val="2"/>
        <w:spacing w:line="360" w:lineRule="auto"/>
        <w:jc w:val="right"/>
        <w:rPr>
          <w:rFonts w:hint="eastAsia" w:ascii="楷体" w:hAnsi="楷体" w:eastAsia="楷体" w:cs="楷体"/>
          <w:b w:val="0"/>
          <w:bCs w:val="0"/>
          <w:color w:val="auto"/>
          <w:kern w:val="0"/>
          <w:sz w:val="24"/>
          <w:szCs w:val="24"/>
          <w:highlight w:val="none"/>
          <w:lang w:val="en-US" w:eastAsia="zh-CN" w:bidi="ar-SA"/>
        </w:rPr>
      </w:pPr>
      <w:bookmarkStart w:id="197" w:name="_Toc24163"/>
      <w:bookmarkStart w:id="198" w:name="_Toc24329"/>
      <w:r>
        <w:rPr>
          <w:rFonts w:hint="eastAsia" w:ascii="楷体" w:hAnsi="楷体" w:eastAsia="楷体" w:cs="楷体"/>
          <w:b w:val="0"/>
          <w:bCs w:val="0"/>
          <w:color w:val="auto"/>
          <w:kern w:val="0"/>
          <w:sz w:val="24"/>
          <w:szCs w:val="24"/>
          <w:highlight w:val="none"/>
          <w:lang w:val="en-US" w:eastAsia="zh-CN" w:bidi="ar-SA"/>
        </w:rPr>
        <w:t>单位：元/亩</w:t>
      </w:r>
      <w:bookmarkEnd w:id="197"/>
      <w:bookmarkEnd w:id="198"/>
    </w:p>
    <w:tbl>
      <w:tblPr>
        <w:tblStyle w:val="45"/>
        <w:tblW w:w="520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4"/>
        <w:gridCol w:w="412"/>
        <w:gridCol w:w="1006"/>
        <w:gridCol w:w="1008"/>
        <w:gridCol w:w="611"/>
        <w:gridCol w:w="1008"/>
        <w:gridCol w:w="1403"/>
        <w:gridCol w:w="1008"/>
        <w:gridCol w:w="611"/>
        <w:gridCol w:w="1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青苗等级区</w:t>
            </w:r>
          </w:p>
        </w:tc>
        <w:tc>
          <w:tcPr>
            <w:tcW w:w="2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等级区范围描述</w:t>
            </w:r>
          </w:p>
        </w:tc>
        <w:tc>
          <w:tcPr>
            <w:tcW w:w="10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粮食作物</w:t>
            </w:r>
          </w:p>
        </w:tc>
        <w:tc>
          <w:tcPr>
            <w:tcW w:w="8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经济作物</w:t>
            </w:r>
          </w:p>
        </w:tc>
        <w:tc>
          <w:tcPr>
            <w:tcW w:w="124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蔬菜瓜果类</w:t>
            </w:r>
          </w:p>
        </w:tc>
        <w:tc>
          <w:tcPr>
            <w:tcW w:w="104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其他作物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作物名称</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名称</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名称</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名称</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一级区</w:t>
            </w:r>
          </w:p>
        </w:tc>
        <w:tc>
          <w:tcPr>
            <w:tcW w:w="212"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盘龙区行政区内所有范围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小麦</w:t>
            </w:r>
          </w:p>
        </w:tc>
        <w:tc>
          <w:tcPr>
            <w:tcW w:w="520"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lang w:val="en-US" w:eastAsia="zh-CN"/>
              </w:rPr>
            </w:pPr>
            <w:r>
              <w:rPr>
                <w:rFonts w:hint="eastAsia" w:ascii="楷体" w:hAnsi="楷体" w:eastAsia="楷体" w:cs="楷体"/>
                <w:b w:val="0"/>
                <w:bCs w:val="0"/>
                <w:i w:val="0"/>
                <w:iCs w:val="0"/>
                <w:color w:val="000000"/>
                <w:sz w:val="24"/>
                <w:szCs w:val="24"/>
                <w:u w:val="none"/>
                <w:lang w:val="en-US" w:eastAsia="zh-CN"/>
              </w:rPr>
              <w:t>20000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烤烟</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20000</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块根、块茎类</w:t>
            </w:r>
          </w:p>
        </w:tc>
        <w:tc>
          <w:tcPr>
            <w:tcW w:w="520"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lang w:val="en-US" w:eastAsia="zh-CN"/>
              </w:rPr>
            </w:pPr>
            <w:r>
              <w:rPr>
                <w:rFonts w:hint="eastAsia" w:ascii="楷体" w:hAnsi="楷体" w:eastAsia="楷体" w:cs="楷体"/>
                <w:b w:val="0"/>
                <w:bCs w:val="0"/>
                <w:i w:val="0"/>
                <w:iCs w:val="0"/>
                <w:color w:val="000000"/>
                <w:sz w:val="24"/>
                <w:szCs w:val="24"/>
                <w:u w:val="none"/>
                <w:lang w:val="en-US" w:eastAsia="zh-CN"/>
              </w:rPr>
              <w:t>20000</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玉米</w:t>
            </w:r>
          </w:p>
        </w:tc>
        <w:tc>
          <w:tcPr>
            <w:tcW w:w="52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茄果类</w:t>
            </w:r>
          </w:p>
        </w:tc>
        <w:tc>
          <w:tcPr>
            <w:tcW w:w="52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其他谷物</w:t>
            </w:r>
          </w:p>
        </w:tc>
        <w:tc>
          <w:tcPr>
            <w:tcW w:w="52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叶菜类</w:t>
            </w:r>
          </w:p>
        </w:tc>
        <w:tc>
          <w:tcPr>
            <w:tcW w:w="52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豆类</w:t>
            </w:r>
          </w:p>
        </w:tc>
        <w:tc>
          <w:tcPr>
            <w:tcW w:w="52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甘蓝类</w:t>
            </w:r>
          </w:p>
        </w:tc>
        <w:tc>
          <w:tcPr>
            <w:tcW w:w="52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红薯</w:t>
            </w:r>
          </w:p>
        </w:tc>
        <w:tc>
          <w:tcPr>
            <w:tcW w:w="520"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瓜菜类</w:t>
            </w:r>
          </w:p>
        </w:tc>
        <w:tc>
          <w:tcPr>
            <w:tcW w:w="52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菜用豆</w:t>
            </w:r>
          </w:p>
        </w:tc>
        <w:tc>
          <w:tcPr>
            <w:tcW w:w="52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其他蔬菜</w:t>
            </w:r>
          </w:p>
        </w:tc>
        <w:tc>
          <w:tcPr>
            <w:tcW w:w="520"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212" w:type="pct"/>
            <w:vMerge w:val="continue"/>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eastAsia" w:ascii="楷体" w:hAnsi="楷体" w:eastAsia="楷体" w:cs="楷体"/>
                <w:b w:val="0"/>
                <w:bCs w:val="0"/>
                <w:i w:val="0"/>
                <w:iCs w:val="0"/>
                <w:color w:val="000000"/>
                <w:sz w:val="24"/>
                <w:szCs w:val="24"/>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eastAsia" w:ascii="楷体" w:hAnsi="楷体" w:eastAsia="楷体" w:cs="楷体"/>
                <w:b w:val="0"/>
                <w:bCs w:val="0"/>
                <w:i w:val="0"/>
                <w:iCs w:val="0"/>
                <w:color w:val="000000"/>
                <w:sz w:val="24"/>
                <w:szCs w:val="24"/>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注：盘龙区补偿标准均为指导价</w:t>
            </w:r>
          </w:p>
        </w:tc>
      </w:tr>
    </w:tbl>
    <w:p>
      <w:pPr>
        <w:tabs>
          <w:tab w:val="center" w:pos="4536"/>
        </w:tabs>
        <w:spacing w:line="360" w:lineRule="auto"/>
        <w:jc w:val="center"/>
        <w:rPr>
          <w:rFonts w:hint="eastAsia" w:ascii="楷体" w:hAnsi="楷体" w:eastAsia="楷体" w:cs="楷体"/>
          <w:color w:val="auto"/>
          <w:kern w:val="0"/>
          <w:sz w:val="20"/>
          <w:szCs w:val="20"/>
          <w:highlight w:val="none"/>
        </w:rPr>
      </w:pPr>
    </w:p>
    <w:p>
      <w:pPr>
        <w:spacing w:line="360" w:lineRule="auto"/>
        <w:outlineLvl w:val="0"/>
        <w:rPr>
          <w:rFonts w:hint="eastAsia" w:ascii="楷体" w:hAnsi="楷体" w:eastAsia="楷体" w:cs="楷体"/>
          <w:b/>
          <w:bCs/>
          <w:color w:val="auto"/>
          <w:sz w:val="30"/>
          <w:szCs w:val="30"/>
          <w:highlight w:val="none"/>
          <w:lang w:val="en-US" w:eastAsia="zh-CN"/>
        </w:rPr>
      </w:pPr>
      <w:bookmarkStart w:id="199" w:name="_Toc31182"/>
      <w:bookmarkStart w:id="200" w:name="_Toc26676"/>
      <w:r>
        <w:rPr>
          <w:rFonts w:hint="eastAsia" w:ascii="楷体" w:hAnsi="楷体" w:eastAsia="楷体" w:cs="楷体"/>
          <w:b/>
          <w:bCs/>
          <w:color w:val="auto"/>
          <w:sz w:val="30"/>
          <w:szCs w:val="30"/>
          <w:highlight w:val="none"/>
          <w:lang w:val="en-US" w:eastAsia="zh-CN"/>
        </w:rPr>
        <w:t>六</w:t>
      </w:r>
      <w:r>
        <w:rPr>
          <w:rFonts w:hint="eastAsia" w:ascii="楷体" w:hAnsi="楷体" w:eastAsia="楷体" w:cs="楷体"/>
          <w:b/>
          <w:bCs/>
          <w:color w:val="auto"/>
          <w:sz w:val="30"/>
          <w:szCs w:val="30"/>
          <w:highlight w:val="none"/>
        </w:rPr>
        <w:t>、</w:t>
      </w:r>
      <w:r>
        <w:rPr>
          <w:rFonts w:hint="eastAsia" w:ascii="楷体" w:hAnsi="楷体" w:eastAsia="楷体" w:cs="楷体"/>
          <w:b/>
          <w:bCs/>
          <w:color w:val="auto"/>
          <w:sz w:val="30"/>
          <w:szCs w:val="30"/>
          <w:highlight w:val="none"/>
          <w:lang w:val="en-US" w:eastAsia="zh-CN"/>
        </w:rPr>
        <w:t>测算结果验证分析</w:t>
      </w:r>
      <w:bookmarkEnd w:id="199"/>
      <w:bookmarkEnd w:id="200"/>
    </w:p>
    <w:p>
      <w:pPr>
        <w:keepNext w:val="0"/>
        <w:keepLines w:val="0"/>
        <w:widowControl/>
        <w:suppressLineNumbers w:val="0"/>
        <w:spacing w:line="360" w:lineRule="auto"/>
        <w:ind w:firstLine="562" w:firstLineChars="200"/>
        <w:jc w:val="left"/>
        <w:outlineLvl w:val="1"/>
        <w:rPr>
          <w:rFonts w:hint="eastAsia" w:ascii="楷体" w:hAnsi="楷体" w:eastAsia="楷体" w:cs="楷体"/>
        </w:rPr>
      </w:pPr>
      <w:r>
        <w:rPr>
          <w:rFonts w:hint="eastAsia" w:ascii="楷体" w:hAnsi="楷体" w:eastAsia="楷体" w:cs="楷体"/>
          <w:b/>
          <w:bCs/>
          <w:color w:val="000000"/>
          <w:kern w:val="0"/>
          <w:sz w:val="28"/>
          <w:szCs w:val="28"/>
          <w:lang w:val="en-US" w:eastAsia="zh-CN" w:bidi="ar"/>
        </w:rPr>
        <w:t>（一）.新旧标准的对比分析</w:t>
      </w:r>
    </w:p>
    <w:p>
      <w:pPr>
        <w:spacing w:line="360" w:lineRule="auto"/>
        <w:ind w:firstLine="560" w:firstLineChars="200"/>
        <w:outlineLvl w:val="9"/>
        <w:rPr>
          <w:rFonts w:hint="eastAsia"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涨幅情况对比分析与原补偿标准对比：新的补偿标准总体上比原补偿标准有一定幅度的提高，体现了维护权益原则。本次补偿标准与盘龙区现行的林分林组进行区分，不再统一根据胸径为补偿标准，涨幅在3%补偿标准相比，地上附着物补偿标准（建筑物）涨幅较大，除土木结构涨幅在2％，框架结构、砖木结构和土木结构价格均有上涨。其中砖木上涨幅度最大为13.14%，地上附着物补偿标准（构筑物及附属设施）则按照原补偿标准进行制定；林（果）木补偿标准按照标准4~9%之间浮动。</w:t>
      </w:r>
    </w:p>
    <w:p>
      <w:pPr>
        <w:keepNext w:val="0"/>
        <w:keepLines w:val="0"/>
        <w:widowControl/>
        <w:suppressLineNumbers w:val="0"/>
        <w:spacing w:line="360" w:lineRule="auto"/>
        <w:ind w:firstLine="562" w:firstLineChars="200"/>
        <w:jc w:val="left"/>
        <w:outlineLvl w:val="1"/>
        <w:rPr>
          <w:rFonts w:hint="eastAsia" w:ascii="楷体" w:hAnsi="楷体" w:eastAsia="楷体" w:cs="楷体"/>
          <w:b/>
          <w:bCs/>
          <w:color w:val="000000"/>
          <w:kern w:val="0"/>
          <w:sz w:val="28"/>
          <w:szCs w:val="28"/>
          <w:lang w:val="en-US" w:eastAsia="zh-CN" w:bidi="ar"/>
        </w:rPr>
      </w:pPr>
      <w:r>
        <w:rPr>
          <w:rFonts w:hint="eastAsia" w:ascii="楷体" w:hAnsi="楷体" w:eastAsia="楷体" w:cs="楷体"/>
          <w:b/>
          <w:bCs/>
          <w:color w:val="000000"/>
          <w:kern w:val="0"/>
          <w:sz w:val="28"/>
          <w:szCs w:val="28"/>
          <w:lang w:val="en-US" w:eastAsia="zh-CN" w:bidi="ar"/>
        </w:rPr>
        <w:t>（二）.补偿形式以及补偿内容对比分析</w:t>
      </w:r>
    </w:p>
    <w:p>
      <w:pPr>
        <w:keepNext w:val="0"/>
        <w:keepLines w:val="0"/>
        <w:widowControl/>
        <w:numPr>
          <w:ilvl w:val="0"/>
          <w:numId w:val="0"/>
        </w:numPr>
        <w:suppressLineNumbers w:val="0"/>
        <w:spacing w:line="360" w:lineRule="auto"/>
        <w:ind w:leftChars="0" w:firstLine="560" w:firstLineChars="200"/>
        <w:jc w:val="left"/>
        <w:rPr>
          <w:rFonts w:hint="eastAsia" w:ascii="楷体" w:hAnsi="楷体" w:eastAsia="楷体" w:cs="楷体"/>
          <w:bCs w:val="0"/>
          <w:color w:val="auto"/>
          <w:kern w:val="2"/>
          <w:sz w:val="28"/>
          <w:szCs w:val="28"/>
          <w:lang w:val="en-US" w:eastAsia="zh-CN" w:bidi="ar-SA"/>
        </w:rPr>
      </w:pPr>
      <w:r>
        <w:rPr>
          <w:rFonts w:hint="eastAsia" w:ascii="楷体" w:hAnsi="楷体" w:eastAsia="楷体" w:cs="楷体"/>
          <w:bCs w:val="0"/>
          <w:color w:val="auto"/>
          <w:kern w:val="2"/>
          <w:sz w:val="28"/>
          <w:szCs w:val="28"/>
          <w:lang w:val="en-US" w:eastAsia="zh-CN" w:bidi="ar-SA"/>
        </w:rPr>
        <w:t>一是由于原盘龙区执行标准过程中采用不同的性质，按照本次省级相关要求进行了规范；</w:t>
      </w:r>
    </w:p>
    <w:p>
      <w:pPr>
        <w:keepNext w:val="0"/>
        <w:keepLines w:val="0"/>
        <w:widowControl/>
        <w:numPr>
          <w:ilvl w:val="0"/>
          <w:numId w:val="0"/>
        </w:numPr>
        <w:suppressLineNumbers w:val="0"/>
        <w:spacing w:line="360" w:lineRule="auto"/>
        <w:ind w:leftChars="0" w:firstLine="560" w:firstLineChars="200"/>
        <w:jc w:val="left"/>
        <w:rPr>
          <w:rFonts w:hint="eastAsia" w:ascii="楷体" w:hAnsi="楷体" w:eastAsia="楷体" w:cs="楷体"/>
          <w:bCs w:val="0"/>
          <w:color w:val="auto"/>
          <w:kern w:val="2"/>
          <w:sz w:val="28"/>
          <w:szCs w:val="28"/>
          <w:lang w:val="en-US" w:eastAsia="zh-CN" w:bidi="ar-SA"/>
        </w:rPr>
      </w:pPr>
      <w:r>
        <w:rPr>
          <w:rFonts w:hint="eastAsia" w:ascii="楷体" w:hAnsi="楷体" w:eastAsia="楷体" w:cs="楷体"/>
          <w:bCs w:val="0"/>
          <w:color w:val="auto"/>
          <w:kern w:val="2"/>
          <w:sz w:val="28"/>
          <w:szCs w:val="28"/>
          <w:lang w:val="en-US" w:eastAsia="zh-CN" w:bidi="ar-SA"/>
        </w:rPr>
        <w:t>二是根据省级相关要求和《云南省自然资源厅关于开展地上附着物和青苗补偿标准制定工作的通知》（云自然资审批〔2021〕370号）文件，本次将林（果）木类补偿标准按照标准林分林组进行区分，即将林（果）木具体细分为产前期、初产期、盛产期、衰产期或幼龄林、中龄林（近熟林）、成熟林（过熟林）等，改变了以往按胸径为标准的补偿方式。三是补偿标准中包含部分电力设施补偿标准。</w:t>
      </w:r>
    </w:p>
    <w:p>
      <w:pPr>
        <w:spacing w:line="360" w:lineRule="auto"/>
        <w:ind w:firstLine="560" w:firstLineChars="200"/>
        <w:outlineLvl w:val="9"/>
        <w:rPr>
          <w:rFonts w:hint="eastAsia" w:ascii="楷体" w:hAnsi="楷体" w:eastAsia="楷体" w:cs="楷体"/>
          <w:bCs w:val="0"/>
          <w:color w:val="auto"/>
          <w:kern w:val="2"/>
          <w:sz w:val="28"/>
          <w:szCs w:val="28"/>
          <w:lang w:val="en-US" w:eastAsia="zh-CN" w:bidi="ar-SA"/>
        </w:rPr>
      </w:pPr>
      <w:r>
        <w:rPr>
          <w:rFonts w:hint="eastAsia" w:ascii="楷体" w:hAnsi="楷体" w:eastAsia="楷体" w:cs="楷体"/>
          <w:color w:val="auto"/>
          <w:sz w:val="28"/>
        </w:rPr>
        <w:t>此次补偿标准采取了更加科学的测算。其中地上附着物补偿标准测算主要考虑区域内经济社会发展水平、物价指数、GDP增长等因素；青苗补偿标准测算主要考虑区域内土地资源条件、利用水平和农作物产值变化等因素科学测算。</w:t>
      </w:r>
      <w:r>
        <w:rPr>
          <w:rFonts w:hint="eastAsia" w:ascii="楷体" w:hAnsi="楷体" w:eastAsia="楷体" w:cs="楷体"/>
          <w:bCs w:val="0"/>
          <w:color w:val="auto"/>
          <w:kern w:val="2"/>
          <w:sz w:val="28"/>
          <w:szCs w:val="28"/>
          <w:lang w:val="en-US" w:eastAsia="zh-CN" w:bidi="ar-SA"/>
        </w:rPr>
        <w:t>两轮地上附着物和青苗补偿标准对比祥见下表：</w:t>
      </w:r>
    </w:p>
    <w:p>
      <w:pPr>
        <w:widowControl/>
        <w:spacing w:line="360" w:lineRule="auto"/>
        <w:jc w:val="center"/>
        <w:rPr>
          <w:rFonts w:hint="eastAsia" w:ascii="楷体" w:hAnsi="楷体" w:eastAsia="楷体" w:cs="楷体"/>
          <w:b/>
          <w:bCs/>
          <w:color w:val="auto"/>
          <w:sz w:val="28"/>
          <w:szCs w:val="28"/>
          <w:highlight w:val="none"/>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表5-33建筑物补偿标准对比表</w:t>
      </w:r>
    </w:p>
    <w:p>
      <w:pPr>
        <w:pStyle w:val="2"/>
        <w:spacing w:line="360" w:lineRule="auto"/>
        <w:outlineLvl w:val="9"/>
        <w:rPr>
          <w:rFonts w:hint="eastAsia" w:ascii="楷体" w:hAnsi="楷体" w:eastAsia="楷体" w:cs="楷体"/>
          <w:lang w:val="en-US" w:eastAsia="zh-CN"/>
        </w:rPr>
      </w:pPr>
    </w:p>
    <w:tbl>
      <w:tblPr>
        <w:tblStyle w:val="45"/>
        <w:tblW w:w="560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6"/>
        <w:gridCol w:w="1223"/>
        <w:gridCol w:w="894"/>
        <w:gridCol w:w="3940"/>
        <w:gridCol w:w="1085"/>
        <w:gridCol w:w="1189"/>
        <w:gridCol w:w="1165"/>
        <w:gridCol w:w="4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0" w:hRule="atLeast"/>
          <w:tblHeader/>
          <w:jc w:val="center"/>
        </w:trPr>
        <w:tc>
          <w:tcPr>
            <w:tcW w:w="20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序号</w:t>
            </w:r>
          </w:p>
        </w:tc>
        <w:tc>
          <w:tcPr>
            <w:tcW w:w="58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补偿项目</w:t>
            </w:r>
          </w:p>
        </w:tc>
        <w:tc>
          <w:tcPr>
            <w:tcW w:w="42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单位</w:t>
            </w:r>
          </w:p>
        </w:tc>
        <w:tc>
          <w:tcPr>
            <w:tcW w:w="18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说明</w:t>
            </w:r>
          </w:p>
        </w:tc>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历史补偿标准</w:t>
            </w:r>
          </w:p>
        </w:tc>
        <w:tc>
          <w:tcPr>
            <w:tcW w:w="5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新制定补偿标准</w:t>
            </w:r>
          </w:p>
        </w:tc>
        <w:tc>
          <w:tcPr>
            <w:tcW w:w="55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幅度变化</w:t>
            </w:r>
          </w:p>
        </w:tc>
        <w:tc>
          <w:tcPr>
            <w:tcW w:w="23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575" w:hRule="atLeast"/>
          <w:tblHeader/>
          <w:jc w:val="center"/>
        </w:trPr>
        <w:tc>
          <w:tcPr>
            <w:tcW w:w="20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58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框架结构</w:t>
            </w:r>
          </w:p>
        </w:tc>
        <w:tc>
          <w:tcPr>
            <w:tcW w:w="42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891" w:type="pct"/>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line="360" w:lineRule="auto"/>
              <w:jc w:val="left"/>
              <w:textAlignment w:val="top"/>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钢筋混凝土框架，240 砖墙，铁门或防盗门，铝合金窗，内墙刮腻子粉，吊顶，贴高级地板砖，外贴瓷砖或涂料，厨房、卫生间配套、贴砖，高级木扶手或不锈钢楼梯扶手。</w:t>
            </w:r>
          </w:p>
        </w:tc>
        <w:tc>
          <w:tcPr>
            <w:tcW w:w="52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1700</w:t>
            </w:r>
          </w:p>
        </w:tc>
        <w:tc>
          <w:tcPr>
            <w:tcW w:w="1189"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color w:val="auto"/>
                <w:sz w:val="24"/>
                <w:szCs w:val="24"/>
                <w:highlight w:val="none"/>
                <w:lang w:val="en-US" w:eastAsia="zh-CN"/>
              </w:rPr>
              <w:t>1820</w:t>
            </w:r>
          </w:p>
        </w:tc>
        <w:tc>
          <w:tcPr>
            <w:tcW w:w="55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10.70%</w:t>
            </w:r>
          </w:p>
        </w:tc>
        <w:tc>
          <w:tcPr>
            <w:tcW w:w="237"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507" w:hRule="atLeast"/>
          <w:tblHeader/>
          <w:jc w:val="center"/>
        </w:trPr>
        <w:tc>
          <w:tcPr>
            <w:tcW w:w="20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w:t>
            </w:r>
          </w:p>
        </w:tc>
        <w:tc>
          <w:tcPr>
            <w:tcW w:w="58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砖混结构</w:t>
            </w:r>
          </w:p>
        </w:tc>
        <w:tc>
          <w:tcPr>
            <w:tcW w:w="42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891" w:type="pct"/>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line="360" w:lineRule="auto"/>
              <w:jc w:val="left"/>
              <w:textAlignment w:val="top"/>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钢筋混凝土框架，240 砖墙，铁门或防盗门，铝合金窗，内墙刮腻子粉，吊顶，贴高级地板砖，外贴瓷砖或涂料，厨房、卫生间配套、贴砖，高级木扶手或不锈钢楼梯扶手。</w:t>
            </w:r>
          </w:p>
        </w:tc>
        <w:tc>
          <w:tcPr>
            <w:tcW w:w="52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1100</w:t>
            </w:r>
          </w:p>
        </w:tc>
        <w:tc>
          <w:tcPr>
            <w:tcW w:w="1189"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color w:val="auto"/>
                <w:sz w:val="24"/>
                <w:szCs w:val="24"/>
                <w:highlight w:val="none"/>
                <w:lang w:val="en-US" w:eastAsia="zh-CN"/>
              </w:rPr>
              <w:t>1430</w:t>
            </w:r>
          </w:p>
        </w:tc>
        <w:tc>
          <w:tcPr>
            <w:tcW w:w="55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w:t>
            </w:r>
          </w:p>
        </w:tc>
        <w:tc>
          <w:tcPr>
            <w:tcW w:w="237"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580" w:hRule="atLeast"/>
          <w:tblHeader/>
          <w:jc w:val="center"/>
        </w:trPr>
        <w:tc>
          <w:tcPr>
            <w:tcW w:w="20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w:t>
            </w:r>
          </w:p>
        </w:tc>
        <w:tc>
          <w:tcPr>
            <w:tcW w:w="58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砖木结构</w:t>
            </w:r>
          </w:p>
        </w:tc>
        <w:tc>
          <w:tcPr>
            <w:tcW w:w="42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8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240 砖墙，木屋架，小青瓦或锌铁瓦屋面，内寺天棚刮腻子；外墙批灰，贴地面砖，厨房、卫生间配套贴砖。</w:t>
            </w:r>
          </w:p>
        </w:tc>
        <w:tc>
          <w:tcPr>
            <w:tcW w:w="52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1000</w:t>
            </w:r>
          </w:p>
        </w:tc>
        <w:tc>
          <w:tcPr>
            <w:tcW w:w="1189"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color w:val="auto"/>
                <w:sz w:val="24"/>
                <w:szCs w:val="24"/>
                <w:highlight w:val="none"/>
                <w:lang w:val="en-US" w:eastAsia="zh-CN"/>
              </w:rPr>
              <w:t>1230</w:t>
            </w:r>
          </w:p>
        </w:tc>
        <w:tc>
          <w:tcPr>
            <w:tcW w:w="55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23.00%</w:t>
            </w:r>
          </w:p>
        </w:tc>
        <w:tc>
          <w:tcPr>
            <w:tcW w:w="237"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275" w:hRule="atLeast"/>
          <w:tblHeader/>
          <w:jc w:val="center"/>
        </w:trPr>
        <w:tc>
          <w:tcPr>
            <w:tcW w:w="20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58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土木结构</w:t>
            </w:r>
          </w:p>
        </w:tc>
        <w:tc>
          <w:tcPr>
            <w:tcW w:w="42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8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500 土筑墙，木屋架，小青瓦屋面，木门窗，水泥地面。</w:t>
            </w:r>
          </w:p>
        </w:tc>
        <w:tc>
          <w:tcPr>
            <w:tcW w:w="52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w:t>
            </w:r>
          </w:p>
        </w:tc>
        <w:tc>
          <w:tcPr>
            <w:tcW w:w="1189"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color w:val="auto"/>
                <w:sz w:val="24"/>
                <w:szCs w:val="24"/>
                <w:highlight w:val="none"/>
                <w:lang w:val="en-US" w:eastAsia="zh-CN"/>
              </w:rPr>
              <w:t>310</w:t>
            </w:r>
          </w:p>
        </w:tc>
        <w:tc>
          <w:tcPr>
            <w:tcW w:w="55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3.33%</w:t>
            </w:r>
          </w:p>
        </w:tc>
        <w:tc>
          <w:tcPr>
            <w:tcW w:w="237"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026" w:hRule="atLeast"/>
          <w:tblHeader/>
          <w:jc w:val="center"/>
        </w:trPr>
        <w:tc>
          <w:tcPr>
            <w:tcW w:w="20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w:t>
            </w:r>
          </w:p>
        </w:tc>
        <w:tc>
          <w:tcPr>
            <w:tcW w:w="58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简易结构</w:t>
            </w:r>
          </w:p>
        </w:tc>
        <w:tc>
          <w:tcPr>
            <w:tcW w:w="42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8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180-240 砖墙或水泥砖墙，木屋架，石棉瓦屋顶，木门窗，水泥地面。</w:t>
            </w:r>
          </w:p>
        </w:tc>
        <w:tc>
          <w:tcPr>
            <w:tcW w:w="52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1189"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color w:val="auto"/>
                <w:sz w:val="24"/>
                <w:szCs w:val="24"/>
                <w:highlight w:val="none"/>
              </w:rPr>
              <w:t>210</w:t>
            </w:r>
          </w:p>
        </w:tc>
        <w:tc>
          <w:tcPr>
            <w:tcW w:w="55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110.00%</w:t>
            </w:r>
          </w:p>
        </w:tc>
        <w:tc>
          <w:tcPr>
            <w:tcW w:w="237"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bl>
    <w:p>
      <w:pPr>
        <w:spacing w:line="360" w:lineRule="auto"/>
        <w:rPr>
          <w:rFonts w:hint="eastAsia" w:ascii="楷体" w:hAnsi="楷体" w:eastAsia="楷体" w:cs="楷体"/>
          <w:b w:val="0"/>
          <w:bCs w:val="0"/>
          <w:sz w:val="24"/>
          <w:szCs w:val="24"/>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表5-34</w:t>
      </w:r>
      <w:r>
        <w:rPr>
          <w:rFonts w:hint="eastAsia" w:ascii="楷体" w:hAnsi="楷体" w:eastAsia="楷体" w:cs="楷体"/>
          <w:b w:val="0"/>
          <w:bCs w:val="0"/>
          <w:i w:val="0"/>
          <w:iCs w:val="0"/>
          <w:color w:val="000000"/>
          <w:kern w:val="0"/>
          <w:sz w:val="24"/>
          <w:szCs w:val="24"/>
          <w:u w:val="none"/>
          <w:lang w:val="en-US" w:eastAsia="zh-CN" w:bidi="ar"/>
        </w:rPr>
        <w:t>构筑物及其他附属设施</w:t>
      </w:r>
      <w:r>
        <w:rPr>
          <w:rFonts w:hint="eastAsia" w:ascii="楷体" w:hAnsi="楷体" w:eastAsia="楷体" w:cs="楷体"/>
          <w:b w:val="0"/>
          <w:bCs w:val="0"/>
          <w:color w:val="auto"/>
          <w:sz w:val="24"/>
          <w:szCs w:val="24"/>
          <w:highlight w:val="none"/>
          <w:lang w:val="en-US" w:eastAsia="zh-CN"/>
        </w:rPr>
        <w:t>补偿标准对比表</w:t>
      </w:r>
    </w:p>
    <w:p>
      <w:pPr>
        <w:pStyle w:val="2"/>
        <w:spacing w:line="360" w:lineRule="auto"/>
        <w:outlineLvl w:val="9"/>
        <w:rPr>
          <w:rFonts w:hint="eastAsia" w:ascii="楷体" w:hAnsi="楷体" w:eastAsia="楷体" w:cs="楷体"/>
          <w:lang w:val="en-US" w:eastAsia="zh-CN"/>
        </w:rPr>
      </w:pPr>
    </w:p>
    <w:tbl>
      <w:tblPr>
        <w:tblStyle w:val="45"/>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6"/>
        <w:gridCol w:w="1231"/>
        <w:gridCol w:w="1380"/>
        <w:gridCol w:w="1434"/>
        <w:gridCol w:w="1716"/>
        <w:gridCol w:w="2000"/>
        <w:gridCol w:w="817"/>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00" w:hRule="atLeast"/>
          <w:tblHeader/>
          <w:jc w:val="center"/>
        </w:trPr>
        <w:tc>
          <w:tcPr>
            <w:tcW w:w="6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序号</w:t>
            </w:r>
          </w:p>
        </w:tc>
        <w:tc>
          <w:tcPr>
            <w:tcW w:w="1231"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项目</w:t>
            </w:r>
          </w:p>
        </w:tc>
        <w:tc>
          <w:tcPr>
            <w:tcW w:w="1380"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规格</w:t>
            </w: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单位</w:t>
            </w:r>
          </w:p>
        </w:tc>
        <w:tc>
          <w:tcPr>
            <w:tcW w:w="171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历史补偿标准</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kern w:val="2"/>
                <w:sz w:val="24"/>
                <w:szCs w:val="24"/>
                <w:u w:val="no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新制定补偿标准</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幅度变化</w:t>
            </w:r>
          </w:p>
        </w:tc>
        <w:tc>
          <w:tcPr>
            <w:tcW w:w="921"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砖石围墙</w:t>
            </w:r>
          </w:p>
        </w:tc>
        <w:tc>
          <w:tcPr>
            <w:tcW w:w="13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标准围墙</w:t>
            </w: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280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280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土围墙</w:t>
            </w:r>
          </w:p>
        </w:tc>
        <w:tc>
          <w:tcPr>
            <w:tcW w:w="13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标准围墙</w:t>
            </w: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水井水池</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元/个</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石挡墙</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元/立方米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135</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自来水</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元/户</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检修槽</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铁大门</w:t>
            </w:r>
          </w:p>
        </w:tc>
        <w:tc>
          <w:tcPr>
            <w:tcW w:w="13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特指院坝铁门</w:t>
            </w: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元/道</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有线电视迁改</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元/户</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250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居民电源电线</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元/户</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350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350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电话移机</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元/户</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108</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1.85%</w:t>
            </w:r>
          </w:p>
        </w:tc>
        <w:tc>
          <w:tcPr>
            <w:tcW w:w="921"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太阳能</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钢筋砼化粪池</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元/立方米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砖砌化粪池</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元/立方米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14</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简易铁棚</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15</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排水沟（有盖板）</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65</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7.69%</w:t>
            </w:r>
          </w:p>
        </w:tc>
        <w:tc>
          <w:tcPr>
            <w:tcW w:w="921"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16</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排水沟（无盖板）</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17</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砖砌花台</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18</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石灰池</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元/个</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19</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水泥地坪</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45</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45</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20</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简易房</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元/平方米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21</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灶台</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元/个</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22</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渡槽</w:t>
            </w:r>
          </w:p>
        </w:tc>
        <w:tc>
          <w:tcPr>
            <w:tcW w:w="1380"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元/立方米</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jc w:val="center"/>
        </w:trPr>
        <w:tc>
          <w:tcPr>
            <w:tcW w:w="6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23</w:t>
            </w:r>
          </w:p>
        </w:tc>
        <w:tc>
          <w:tcPr>
            <w:tcW w:w="123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室外厕所</w:t>
            </w:r>
          </w:p>
        </w:tc>
        <w:tc>
          <w:tcPr>
            <w:tcW w:w="1380" w:type="dxa"/>
            <w:shd w:val="clear" w:color="auto" w:fill="auto"/>
            <w:noWrap/>
            <w:vAlign w:val="center"/>
          </w:tcPr>
          <w:p>
            <w:pPr>
              <w:spacing w:line="360" w:lineRule="auto"/>
              <w:rPr>
                <w:rFonts w:hint="eastAsia" w:ascii="楷体" w:hAnsi="楷体" w:eastAsia="楷体" w:cs="楷体"/>
                <w:b w:val="0"/>
                <w:bCs w:val="0"/>
                <w:i w:val="0"/>
                <w:iCs w:val="0"/>
                <w:color w:val="000000"/>
                <w:sz w:val="24"/>
                <w:szCs w:val="24"/>
                <w:u w:val="none"/>
              </w:rPr>
            </w:pPr>
          </w:p>
        </w:tc>
        <w:tc>
          <w:tcPr>
            <w:tcW w:w="143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元/座</w:t>
            </w:r>
          </w:p>
        </w:tc>
        <w:tc>
          <w:tcPr>
            <w:tcW w:w="17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w:t>
            </w:r>
          </w:p>
        </w:tc>
        <w:tc>
          <w:tcPr>
            <w:tcW w:w="20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300</w:t>
            </w:r>
          </w:p>
        </w:tc>
        <w:tc>
          <w:tcPr>
            <w:tcW w:w="817"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0.00%</w:t>
            </w:r>
          </w:p>
        </w:tc>
        <w:tc>
          <w:tcPr>
            <w:tcW w:w="921" w:type="dxa"/>
            <w:shd w:val="clear" w:color="auto" w:fill="auto"/>
            <w:noWrap/>
            <w:vAlign w:val="center"/>
          </w:tcPr>
          <w:p>
            <w:pPr>
              <w:spacing w:line="360" w:lineRule="auto"/>
              <w:jc w:val="center"/>
              <w:rPr>
                <w:rFonts w:hint="eastAsia" w:ascii="楷体" w:hAnsi="楷体" w:eastAsia="楷体" w:cs="楷体"/>
                <w:b w:val="0"/>
                <w:bCs w:val="0"/>
                <w:i w:val="0"/>
                <w:iCs w:val="0"/>
                <w:color w:val="000000"/>
                <w:sz w:val="24"/>
                <w:szCs w:val="24"/>
                <w:u w:val="none"/>
              </w:rPr>
            </w:pPr>
          </w:p>
        </w:tc>
      </w:tr>
    </w:tbl>
    <w:p>
      <w:pPr>
        <w:pStyle w:val="2"/>
        <w:spacing w:line="360" w:lineRule="auto"/>
        <w:outlineLvl w:val="9"/>
        <w:rPr>
          <w:rFonts w:hint="eastAsia" w:ascii="楷体" w:hAnsi="楷体" w:eastAsia="楷体" w:cs="楷体"/>
          <w:b w:val="0"/>
          <w:bCs w:val="0"/>
          <w:sz w:val="24"/>
          <w:szCs w:val="24"/>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表5-35坟墓迁移补偿标准对比表</w:t>
      </w:r>
    </w:p>
    <w:p>
      <w:pPr>
        <w:pStyle w:val="2"/>
        <w:spacing w:line="360" w:lineRule="auto"/>
        <w:outlineLvl w:val="9"/>
        <w:rPr>
          <w:rFonts w:hint="eastAsia" w:ascii="楷体" w:hAnsi="楷体" w:eastAsia="楷体" w:cs="楷体"/>
          <w:lang w:val="en-US" w:eastAsia="zh-CN"/>
        </w:rPr>
      </w:pPr>
    </w:p>
    <w:tbl>
      <w:tblPr>
        <w:tblStyle w:val="45"/>
        <w:tblW w:w="103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9"/>
        <w:gridCol w:w="1079"/>
        <w:gridCol w:w="998"/>
        <w:gridCol w:w="1916"/>
        <w:gridCol w:w="1817"/>
        <w:gridCol w:w="1817"/>
        <w:gridCol w:w="1233"/>
        <w:gridCol w:w="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71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序号</w:t>
            </w:r>
          </w:p>
        </w:tc>
        <w:tc>
          <w:tcPr>
            <w:tcW w:w="107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类型</w:t>
            </w:r>
          </w:p>
        </w:tc>
        <w:tc>
          <w:tcPr>
            <w:tcW w:w="998"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单位</w:t>
            </w:r>
          </w:p>
        </w:tc>
        <w:tc>
          <w:tcPr>
            <w:tcW w:w="191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说明</w:t>
            </w:r>
          </w:p>
        </w:tc>
        <w:tc>
          <w:tcPr>
            <w:tcW w:w="1817" w:type="dxa"/>
            <w:tcBorders>
              <w:top w:val="single" w:color="000000" w:sz="8" w:space="0"/>
              <w:left w:val="single" w:color="000000" w:sz="8" w:space="0"/>
              <w:bottom w:val="single" w:color="000000" w:sz="8" w:space="0"/>
              <w:right w:val="nil"/>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历史补偿标准</w:t>
            </w:r>
          </w:p>
        </w:tc>
        <w:tc>
          <w:tcPr>
            <w:tcW w:w="18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新制定补偿标准</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幅度变化</w:t>
            </w:r>
          </w:p>
        </w:tc>
        <w:tc>
          <w:tcPr>
            <w:tcW w:w="7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jc w:val="center"/>
        </w:trPr>
        <w:tc>
          <w:tcPr>
            <w:tcW w:w="71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坟墓</w:t>
            </w:r>
          </w:p>
        </w:tc>
        <w:tc>
          <w:tcPr>
            <w:tcW w:w="9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元/冢</w:t>
            </w:r>
          </w:p>
        </w:tc>
        <w:tc>
          <w:tcPr>
            <w:tcW w:w="191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合葬按两坟算</w:t>
            </w:r>
          </w:p>
        </w:tc>
        <w:tc>
          <w:tcPr>
            <w:tcW w:w="181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4500</w:t>
            </w:r>
          </w:p>
        </w:tc>
        <w:tc>
          <w:tcPr>
            <w:tcW w:w="181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5080</w:t>
            </w:r>
          </w:p>
        </w:tc>
        <w:tc>
          <w:tcPr>
            <w:tcW w:w="12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12.89%</w:t>
            </w:r>
          </w:p>
        </w:tc>
        <w:tc>
          <w:tcPr>
            <w:tcW w:w="72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bl>
    <w:p>
      <w:pPr>
        <w:spacing w:line="360" w:lineRule="auto"/>
        <w:rPr>
          <w:rFonts w:hint="eastAsia" w:ascii="楷体" w:hAnsi="楷体" w:eastAsia="楷体" w:cs="楷体"/>
          <w:b w:val="0"/>
          <w:bCs w:val="0"/>
          <w:sz w:val="24"/>
          <w:szCs w:val="24"/>
          <w:lang w:val="en-US" w:eastAsia="zh-CN"/>
        </w:rPr>
      </w:pPr>
    </w:p>
    <w:p>
      <w:pPr>
        <w:pStyle w:val="2"/>
        <w:spacing w:line="360" w:lineRule="auto"/>
        <w:outlineLvl w:val="9"/>
        <w:rPr>
          <w:rFonts w:hint="eastAsia" w:ascii="楷体" w:hAnsi="楷体" w:eastAsia="楷体" w:cs="楷体"/>
          <w:b w:val="0"/>
          <w:bCs w:val="0"/>
          <w:sz w:val="24"/>
          <w:szCs w:val="24"/>
          <w:lang w:val="en-US" w:eastAsia="zh-CN"/>
        </w:rPr>
      </w:pPr>
    </w:p>
    <w:p>
      <w:pPr>
        <w:spacing w:line="360" w:lineRule="auto"/>
        <w:rPr>
          <w:rFonts w:hint="eastAsia" w:ascii="楷体" w:hAnsi="楷体" w:eastAsia="楷体" w:cs="楷体"/>
          <w:lang w:val="en-US" w:eastAsia="zh-CN"/>
        </w:rPr>
      </w:pPr>
    </w:p>
    <w:p>
      <w:pPr>
        <w:widowControl/>
        <w:spacing w:line="360" w:lineRule="auto"/>
        <w:jc w:val="center"/>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color w:val="auto"/>
          <w:sz w:val="24"/>
          <w:szCs w:val="24"/>
          <w:highlight w:val="none"/>
          <w:lang w:val="en-US" w:eastAsia="zh-CN"/>
        </w:rPr>
        <w:t>表5-36青苗补偿标准对比表</w:t>
      </w:r>
    </w:p>
    <w:p>
      <w:pPr>
        <w:pStyle w:val="2"/>
        <w:spacing w:line="360" w:lineRule="auto"/>
        <w:outlineLvl w:val="9"/>
        <w:rPr>
          <w:rFonts w:hint="eastAsia" w:ascii="楷体" w:hAnsi="楷体" w:eastAsia="楷体" w:cs="楷体"/>
          <w:lang w:val="en-US" w:eastAsia="zh-CN"/>
        </w:rPr>
      </w:pPr>
    </w:p>
    <w:tbl>
      <w:tblPr>
        <w:tblStyle w:val="45"/>
        <w:tblW w:w="8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80"/>
        <w:gridCol w:w="1648"/>
        <w:gridCol w:w="1016"/>
        <w:gridCol w:w="1817"/>
        <w:gridCol w:w="1883"/>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序号</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项目名称</w:t>
            </w:r>
          </w:p>
        </w:tc>
        <w:tc>
          <w:tcPr>
            <w:tcW w:w="101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单位</w:t>
            </w:r>
          </w:p>
        </w:tc>
        <w:tc>
          <w:tcPr>
            <w:tcW w:w="1817"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历史补偿标准</w:t>
            </w:r>
          </w:p>
        </w:tc>
        <w:tc>
          <w:tcPr>
            <w:tcW w:w="188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新制定补偿标准</w:t>
            </w:r>
          </w:p>
        </w:tc>
        <w:tc>
          <w:tcPr>
            <w:tcW w:w="725"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小麦</w:t>
            </w:r>
          </w:p>
        </w:tc>
        <w:tc>
          <w:tcPr>
            <w:tcW w:w="1016"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元/亩</w:t>
            </w:r>
          </w:p>
        </w:tc>
        <w:tc>
          <w:tcPr>
            <w:tcW w:w="1817"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lang w:val="en-US" w:eastAsia="zh-CN"/>
              </w:rPr>
            </w:pPr>
            <w:r>
              <w:rPr>
                <w:rFonts w:hint="eastAsia" w:ascii="楷体" w:hAnsi="楷体" w:eastAsia="楷体" w:cs="楷体"/>
                <w:b w:val="0"/>
                <w:bCs w:val="0"/>
                <w:i w:val="0"/>
                <w:iCs w:val="0"/>
                <w:color w:val="000000"/>
                <w:sz w:val="24"/>
                <w:szCs w:val="24"/>
                <w:u w:val="none"/>
                <w:lang w:val="en-US" w:eastAsia="zh-CN"/>
              </w:rPr>
              <w:t>20000</w:t>
            </w:r>
          </w:p>
        </w:tc>
        <w:tc>
          <w:tcPr>
            <w:tcW w:w="1883"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lang w:val="en-US" w:eastAsia="zh-CN"/>
              </w:rPr>
            </w:pPr>
            <w:r>
              <w:rPr>
                <w:rFonts w:hint="eastAsia" w:ascii="楷体" w:hAnsi="楷体" w:eastAsia="楷体" w:cs="楷体"/>
                <w:b w:val="0"/>
                <w:bCs w:val="0"/>
                <w:i w:val="0"/>
                <w:iCs w:val="0"/>
                <w:color w:val="000000"/>
                <w:sz w:val="24"/>
                <w:szCs w:val="24"/>
                <w:u w:val="none"/>
                <w:lang w:val="en-US" w:eastAsia="zh-CN"/>
              </w:rPr>
              <w:t>20000</w:t>
            </w: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2</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玉米</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3</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其他谷物</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4</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豆类</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5</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薯类</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6</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烤烟</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7</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块根、块茎类</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8</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茄果类</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9</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叶菜类</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10</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甘蓝类</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11</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瓜菜类</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12</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菜用豆</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13</w:t>
            </w:r>
          </w:p>
        </w:tc>
        <w:tc>
          <w:tcPr>
            <w:tcW w:w="164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r>
              <w:rPr>
                <w:rFonts w:hint="eastAsia" w:ascii="楷体" w:hAnsi="楷体" w:eastAsia="楷体" w:cs="楷体"/>
                <w:b w:val="0"/>
                <w:bCs w:val="0"/>
                <w:i w:val="0"/>
                <w:iCs w:val="0"/>
                <w:color w:val="000000"/>
                <w:kern w:val="0"/>
                <w:sz w:val="24"/>
                <w:szCs w:val="24"/>
                <w:u w:val="none"/>
                <w:lang w:val="en-US" w:eastAsia="zh-CN" w:bidi="ar"/>
              </w:rPr>
              <w:t>其他蔬菜</w:t>
            </w:r>
          </w:p>
        </w:tc>
        <w:tc>
          <w:tcPr>
            <w:tcW w:w="1016" w:type="dxa"/>
            <w:vMerge w:val="continue"/>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c>
          <w:tcPr>
            <w:tcW w:w="1817"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1883" w:type="dxa"/>
            <w:vMerge w:val="continue"/>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4"/>
                <w:szCs w:val="24"/>
                <w:u w:val="none"/>
              </w:rPr>
            </w:pPr>
          </w:p>
        </w:tc>
        <w:tc>
          <w:tcPr>
            <w:tcW w:w="725" w:type="dxa"/>
            <w:shd w:val="clear" w:color="auto" w:fill="auto"/>
            <w:vAlign w:val="center"/>
          </w:tcPr>
          <w:p>
            <w:pPr>
              <w:spacing w:line="360" w:lineRule="auto"/>
              <w:jc w:val="center"/>
              <w:rPr>
                <w:rFonts w:hint="eastAsia" w:ascii="楷体" w:hAnsi="楷体" w:eastAsia="楷体" w:cs="楷体"/>
                <w:b w:val="0"/>
                <w:bCs w:val="0"/>
                <w:i w:val="0"/>
                <w:iCs w:val="0"/>
                <w:color w:val="000000"/>
                <w:sz w:val="24"/>
                <w:szCs w:val="24"/>
                <w:u w:val="none"/>
              </w:rPr>
            </w:pPr>
          </w:p>
        </w:tc>
      </w:tr>
    </w:tbl>
    <w:p>
      <w:pPr>
        <w:spacing w:line="360" w:lineRule="auto"/>
        <w:outlineLvl w:val="9"/>
        <w:rPr>
          <w:rFonts w:hint="eastAsia" w:ascii="楷体" w:hAnsi="楷体" w:eastAsia="楷体" w:cs="楷体"/>
          <w:b/>
          <w:bCs/>
          <w:color w:val="auto"/>
          <w:sz w:val="28"/>
          <w:szCs w:val="28"/>
          <w:highlight w:val="none"/>
        </w:rPr>
      </w:pPr>
      <w:bookmarkStart w:id="201" w:name="_Toc83574437"/>
    </w:p>
    <w:p>
      <w:pPr>
        <w:spacing w:line="360" w:lineRule="auto"/>
        <w:outlineLvl w:val="9"/>
        <w:rPr>
          <w:rFonts w:hint="eastAsia" w:ascii="楷体" w:hAnsi="楷体" w:eastAsia="楷体" w:cs="楷体"/>
          <w:b/>
          <w:bCs/>
          <w:color w:val="auto"/>
          <w:sz w:val="28"/>
          <w:szCs w:val="28"/>
          <w:highlight w:val="none"/>
        </w:rPr>
      </w:pPr>
    </w:p>
    <w:p>
      <w:pPr>
        <w:spacing w:line="360" w:lineRule="auto"/>
        <w:outlineLvl w:val="1"/>
        <w:rPr>
          <w:rFonts w:hint="eastAsia" w:ascii="楷体" w:hAnsi="楷体" w:eastAsia="楷体" w:cs="楷体"/>
          <w:b/>
          <w:bCs/>
          <w:color w:val="auto"/>
          <w:sz w:val="28"/>
          <w:szCs w:val="28"/>
          <w:highlight w:val="none"/>
        </w:rPr>
      </w:pPr>
      <w:bookmarkStart w:id="202" w:name="_Toc11237"/>
      <w:r>
        <w:rPr>
          <w:rFonts w:hint="eastAsia" w:ascii="楷体" w:hAnsi="楷体" w:eastAsia="楷体" w:cs="楷体"/>
          <w:b/>
          <w:bCs/>
          <w:color w:val="auto"/>
          <w:sz w:val="28"/>
          <w:szCs w:val="28"/>
          <w:highlight w:val="none"/>
        </w:rPr>
        <w:t>（</w:t>
      </w:r>
      <w:r>
        <w:rPr>
          <w:rFonts w:hint="eastAsia" w:ascii="楷体" w:hAnsi="楷体" w:eastAsia="楷体" w:cs="楷体"/>
          <w:b/>
          <w:bCs/>
          <w:color w:val="auto"/>
          <w:sz w:val="28"/>
          <w:szCs w:val="28"/>
          <w:highlight w:val="none"/>
          <w:lang w:val="en-US" w:eastAsia="zh-CN"/>
        </w:rPr>
        <w:t>三</w:t>
      </w:r>
      <w:r>
        <w:rPr>
          <w:rFonts w:hint="eastAsia" w:ascii="楷体" w:hAnsi="楷体" w:eastAsia="楷体" w:cs="楷体"/>
          <w:b/>
          <w:bCs/>
          <w:color w:val="auto"/>
          <w:sz w:val="28"/>
          <w:szCs w:val="28"/>
          <w:highlight w:val="none"/>
        </w:rPr>
        <w:t>）新旧标准的衔接性分析</w:t>
      </w:r>
      <w:bookmarkEnd w:id="201"/>
      <w:bookmarkEnd w:id="202"/>
    </w:p>
    <w:p>
      <w:pPr>
        <w:pStyle w:val="72"/>
        <w:spacing w:line="360" w:lineRule="auto"/>
        <w:ind w:firstLine="560"/>
        <w:outlineLvl w:val="2"/>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1.新旧标准内涵的衔接</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（1）地上附着物补偿内涵衔接</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根据</w:t>
      </w:r>
      <w:r>
        <w:rPr>
          <w:rFonts w:hint="eastAsia" w:ascii="楷体" w:hAnsi="楷体" w:eastAsia="楷体" w:cs="楷体"/>
          <w:color w:val="auto"/>
          <w:sz w:val="28"/>
          <w:szCs w:val="28"/>
          <w:highlight w:val="none"/>
        </w:rPr>
        <w:t>昆明市盘龙区人民政府办公室关于印发《盘龙区宝云片区小窑村城中村改造项目集体土地征地拆迁补偿安置方案》的通知（盘政办通〔2019〕121号）、昆明市盘龙区人民政府办公室关于印发《盘龙区长地埂村城中村改造项目集体土地征地拆迁补偿安置方案》的通知（盘政办通〔2020〕23号）、盘龙区人民政府金辰街道办事处关于《盘龙区金刀营村城中村改造项目集体土地上房屋征地拆迁补偿安置方案》的公告、昆明市盘龙区人民政府办公室关于印发《盘龙区青云、龙泉、茨坝、双龙街道等片区建设项目涉及临时用地等补偿实施细则（试行）的通知》（盘政办通〔2018〕129号）、昆明市盘龙区人民政府办公室关于印发《滇中饮水工程盘龙段征地拆迁补偿实施方案的通知》（盘政办通〔2018〕128号）。从盘龙区现有的已实施的补偿方案</w:t>
      </w:r>
      <w:r>
        <w:rPr>
          <w:rFonts w:hint="eastAsia" w:ascii="楷体" w:hAnsi="楷体" w:eastAsia="楷体" w:cs="楷体"/>
          <w:color w:val="auto"/>
          <w:sz w:val="28"/>
          <w:szCs w:val="28"/>
          <w:highlight w:val="none"/>
          <w:lang w:val="en-US" w:eastAsia="zh-CN"/>
        </w:rPr>
        <w:t>案例</w:t>
      </w:r>
      <w:r>
        <w:rPr>
          <w:rFonts w:hint="eastAsia" w:ascii="楷体" w:hAnsi="楷体" w:eastAsia="楷体" w:cs="楷体"/>
          <w:color w:val="auto"/>
          <w:sz w:val="28"/>
          <w:szCs w:val="28"/>
          <w:highlight w:val="none"/>
        </w:rPr>
        <w:t>来看，补偿方案的制定基本上依据《昆明市人民政府办公厅关于印发昆明市集体土地上房屋拆迁补偿安置指导意见的通知》（昆政办〔2015〕103号）、《昆明市人民政府办公厅关于印发昆明市城市更新改造管理办法的通知》（昆政办〔2015〕33号）、《昆明市人民政府办公厅关于印发昆明市城市更新改造土地补偿指导意见的通知》（昆政办〔2015〕34号）、《昆明市人民政府办公厅关于印发昆明市城市更新改造管理办法实施细则的通知》（昆政办〔2015〕37号）</w:t>
      </w:r>
      <w:r>
        <w:rPr>
          <w:rFonts w:hint="eastAsia" w:ascii="楷体" w:hAnsi="楷体" w:eastAsia="楷体" w:cs="楷体"/>
          <w:color w:val="auto"/>
          <w:kern w:val="2"/>
          <w:sz w:val="28"/>
          <w:szCs w:val="28"/>
          <w:highlight w:val="none"/>
          <w:lang w:val="en-US" w:eastAsia="zh-CN" w:bidi="ar-SA"/>
        </w:rPr>
        <w:t>等一系列补偿标准及要求，目前盘龙区城市规划区内房屋及附属设施补偿标准主要为参考价，在具体执行过程中委托具有房地产评估资质的第三方机构评估认定；规划区以外的房屋及附属设施补偿标准主要为执行价，即按照发布的标准执行。</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本次新制定的地上附着物补偿标准进行了统一，即全区采用统一的标准，为与原标准内涵上相衔接，本次地上附着物和青苗补偿标准为参考价，有效的化解原标准中规划区与规划区外之间的差异问题，即在征地拆迁过程中，通过评估手段，结合房屋及附属设施的维护状况、成新率、装修情况等确定实际补偿标准。</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（2）青苗补偿标准内涵衔接</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根据盘龙区原青苗补偿标准为全区统一的执行价，且在执行过程中已被被征地农民所接受，为使新的青苗补偿标准与原标准有效衔接，新制定的青苗补偿标准同样为执行价，不会因内涵的变化为引发新的矛盾，使新的青苗补偿标准与原标准形成前后衔接。</w:t>
      </w:r>
    </w:p>
    <w:p>
      <w:pPr>
        <w:pStyle w:val="72"/>
        <w:spacing w:line="360" w:lineRule="auto"/>
        <w:ind w:firstLine="560"/>
        <w:outlineLvl w:val="2"/>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2.新旧标准补偿形式上的衔接</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（1）地上附着物分类方面衔接</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盘龙区原有地上附着物补偿具体项目分为建筑物、构筑物、林（果）木、部分装修、动力线、灌溉设施等补偿项目，新制定的地上附主要包含建筑物、构筑物、林（果）木、灌溉设施等类别，新制定主要将部分国有资产和房屋装修在补偿标准中进行剔除，主要考虑各类房屋装修的所使用的材料种类繁多、成新率也存在差异等原因，因此在执行过程中建议按照拆迁时点评估认定；部分国有设施，如动力线主要属于电力公司，属于国有资产，按照《中华人民共和国企业</w:t>
      </w:r>
      <w:r>
        <w:rPr>
          <w:rFonts w:hint="eastAsia" w:ascii="楷体" w:hAnsi="楷体" w:eastAsia="楷体" w:cs="楷体"/>
          <w:color w:val="auto"/>
          <w:kern w:val="2"/>
          <w:sz w:val="28"/>
          <w:szCs w:val="28"/>
          <w:highlight w:val="none"/>
          <w:lang w:val="en-US" w:eastAsia="zh-CN" w:bidi="ar-SA"/>
        </w:rPr>
        <w:fldChar w:fldCharType="begin"/>
      </w:r>
      <w:r>
        <w:rPr>
          <w:rFonts w:hint="eastAsia" w:ascii="楷体" w:hAnsi="楷体" w:eastAsia="楷体" w:cs="楷体"/>
          <w:color w:val="auto"/>
          <w:kern w:val="2"/>
          <w:sz w:val="28"/>
          <w:szCs w:val="28"/>
          <w:highlight w:val="none"/>
          <w:lang w:val="en-US" w:eastAsia="zh-CN" w:bidi="ar-SA"/>
        </w:rPr>
        <w:instrText xml:space="preserve"> HYPERLINK "https://baike.baidu.com/item/%E5%9B%BD%E6%9C%89%E8%B5%84%E4%BA%A7" \t "_blank" </w:instrText>
      </w:r>
      <w:r>
        <w:rPr>
          <w:rFonts w:hint="eastAsia" w:ascii="楷体" w:hAnsi="楷体" w:eastAsia="楷体" w:cs="楷体"/>
          <w:color w:val="auto"/>
          <w:kern w:val="2"/>
          <w:sz w:val="28"/>
          <w:szCs w:val="28"/>
          <w:highlight w:val="none"/>
          <w:lang w:val="en-US" w:eastAsia="zh-CN" w:bidi="ar-SA"/>
        </w:rPr>
        <w:fldChar w:fldCharType="separate"/>
      </w:r>
      <w:r>
        <w:rPr>
          <w:rFonts w:hint="eastAsia" w:ascii="楷体" w:hAnsi="楷体" w:eastAsia="楷体" w:cs="楷体"/>
          <w:color w:val="auto"/>
          <w:kern w:val="2"/>
          <w:sz w:val="28"/>
          <w:szCs w:val="28"/>
          <w:highlight w:val="none"/>
          <w:lang w:val="en-US" w:eastAsia="zh-CN" w:bidi="ar-SA"/>
        </w:rPr>
        <w:t>国有资产</w:t>
      </w:r>
      <w:r>
        <w:rPr>
          <w:rFonts w:hint="eastAsia" w:ascii="楷体" w:hAnsi="楷体" w:eastAsia="楷体" w:cs="楷体"/>
          <w:color w:val="auto"/>
          <w:kern w:val="2"/>
          <w:sz w:val="28"/>
          <w:szCs w:val="28"/>
          <w:highlight w:val="none"/>
          <w:lang w:val="en-US" w:eastAsia="zh-CN" w:bidi="ar-SA"/>
        </w:rPr>
        <w:fldChar w:fldCharType="end"/>
      </w:r>
      <w:r>
        <w:rPr>
          <w:rFonts w:hint="eastAsia" w:ascii="楷体" w:hAnsi="楷体" w:eastAsia="楷体" w:cs="楷体"/>
          <w:color w:val="auto"/>
          <w:kern w:val="2"/>
          <w:sz w:val="28"/>
          <w:szCs w:val="28"/>
          <w:highlight w:val="none"/>
          <w:lang w:val="en-US" w:eastAsia="zh-CN" w:bidi="ar-SA"/>
        </w:rPr>
        <w:t>法》《地方行政单位国有资产处置管理暂行办法》等相关规定，国有资产的处置需经过评估认定，因此在本次标准设定过程中未列明电力设施补偿标准。</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补偿分类方面变化较大的主要为经济林木，原标准中将经济林木分为幼树和成树，而新制定过程中按照国家相关行业标准和省级技术指南相关要求，将经济林木细分为产前期、初产期和盛产期。虽然新旧标准补偿分类方面发生了一定变化，但该变化跟符合客观实际和工作需要。</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（2）青苗补偿形式衔接</w:t>
      </w:r>
    </w:p>
    <w:p>
      <w:pPr>
        <w:pStyle w:val="72"/>
        <w:spacing w:line="360" w:lineRule="auto"/>
        <w:ind w:firstLine="56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全区原青苗补偿采用作物形式进行补偿，经过一段时间的执行，该方式已被广大被征收老百姓所接受，为使新旧标准有效衔接，在基础调查阶段征询部区域范围的各征地拆迁指挥部、征地相对频繁的乡镇意见基础之上，采用分作物测算青苗补偿标准。</w:t>
      </w:r>
    </w:p>
    <w:p>
      <w:pPr>
        <w:pStyle w:val="72"/>
        <w:spacing w:line="360" w:lineRule="auto"/>
        <w:ind w:left="0" w:leftChars="0" w:firstLine="0" w:firstLineChars="0"/>
        <w:outlineLvl w:val="2"/>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3.与相邻区域之间的衔接</w:t>
      </w:r>
    </w:p>
    <w:p>
      <w:pPr>
        <w:tabs>
          <w:tab w:val="left" w:pos="7175"/>
        </w:tabs>
        <w:spacing w:line="360" w:lineRule="auto"/>
        <w:ind w:firstLine="560" w:firstLineChars="200"/>
        <w:outlineLvl w:val="9"/>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通过初步了解相邻区补偿标准情况，不论是补偿的具体项目、内容上均差异不大，仅部分林木或者青苗因产出水平的差异而导致补偿标准之间的不同。</w:t>
      </w:r>
    </w:p>
    <w:p>
      <w:pPr>
        <w:pStyle w:val="2"/>
        <w:spacing w:line="360" w:lineRule="auto"/>
        <w:outlineLvl w:val="9"/>
        <w:rPr>
          <w:rFonts w:hint="eastAsia" w:ascii="楷体" w:hAnsi="楷体" w:eastAsia="楷体" w:cs="楷体"/>
          <w:b/>
          <w:bCs/>
          <w:color w:val="auto"/>
          <w:sz w:val="30"/>
          <w:szCs w:val="30"/>
          <w:highlight w:val="none"/>
          <w:lang w:eastAsia="zh-CN"/>
        </w:rPr>
      </w:pPr>
    </w:p>
    <w:p>
      <w:pPr>
        <w:spacing w:line="360" w:lineRule="auto"/>
        <w:rPr>
          <w:rFonts w:hint="eastAsia" w:ascii="楷体" w:hAnsi="楷体" w:eastAsia="楷体" w:cs="楷体"/>
          <w:lang w:eastAsia="zh-CN"/>
        </w:rPr>
      </w:pPr>
    </w:p>
    <w:p>
      <w:pPr>
        <w:tabs>
          <w:tab w:val="left" w:pos="7175"/>
        </w:tabs>
        <w:spacing w:line="360" w:lineRule="auto"/>
        <w:outlineLvl w:val="0"/>
        <w:rPr>
          <w:rFonts w:hint="eastAsia" w:ascii="楷体" w:hAnsi="楷体" w:eastAsia="楷体" w:cs="楷体"/>
          <w:b/>
          <w:bCs/>
          <w:color w:val="auto"/>
          <w:sz w:val="30"/>
          <w:szCs w:val="30"/>
          <w:highlight w:val="none"/>
        </w:rPr>
      </w:pPr>
      <w:bookmarkStart w:id="203" w:name="_Toc31902"/>
      <w:r>
        <w:rPr>
          <w:rFonts w:hint="eastAsia" w:ascii="楷体" w:hAnsi="楷体" w:eastAsia="楷体" w:cs="楷体"/>
          <w:b/>
          <w:bCs/>
          <w:color w:val="auto"/>
          <w:sz w:val="30"/>
          <w:szCs w:val="30"/>
          <w:highlight w:val="none"/>
          <w:lang w:val="en-US" w:eastAsia="zh-CN"/>
        </w:rPr>
        <w:t>七</w:t>
      </w:r>
      <w:r>
        <w:rPr>
          <w:rFonts w:hint="eastAsia" w:ascii="楷体" w:hAnsi="楷体" w:eastAsia="楷体" w:cs="楷体"/>
          <w:b/>
          <w:bCs/>
          <w:color w:val="auto"/>
          <w:sz w:val="30"/>
          <w:szCs w:val="30"/>
          <w:highlight w:val="none"/>
        </w:rPr>
        <w:t>、数据库的建立</w:t>
      </w:r>
      <w:bookmarkEnd w:id="203"/>
    </w:p>
    <w:p>
      <w:pPr>
        <w:spacing w:line="360" w:lineRule="auto"/>
        <w:ind w:firstLine="562" w:firstLineChars="200"/>
        <w:outlineLvl w:val="1"/>
        <w:rPr>
          <w:rFonts w:hint="eastAsia" w:ascii="楷体" w:hAnsi="楷体" w:eastAsia="楷体" w:cs="楷体"/>
          <w:b/>
          <w:bCs/>
          <w:color w:val="auto"/>
          <w:sz w:val="28"/>
          <w:szCs w:val="28"/>
          <w:highlight w:val="none"/>
        </w:rPr>
      </w:pPr>
      <w:bookmarkStart w:id="204" w:name="_Toc22128"/>
      <w:bookmarkStart w:id="205" w:name="_Toc19174"/>
      <w:bookmarkStart w:id="206" w:name="_Toc71613710"/>
      <w:bookmarkStart w:id="207" w:name="_Toc31933"/>
      <w:bookmarkStart w:id="208" w:name="_Toc29823644"/>
      <w:bookmarkStart w:id="209" w:name="_Toc14966"/>
      <w:bookmarkStart w:id="210" w:name="_Toc80815483"/>
      <w:r>
        <w:rPr>
          <w:rFonts w:hint="eastAsia" w:ascii="楷体" w:hAnsi="楷体" w:eastAsia="楷体" w:cs="楷体"/>
          <w:b/>
          <w:bCs/>
          <w:color w:val="auto"/>
          <w:sz w:val="28"/>
          <w:szCs w:val="28"/>
          <w:highlight w:val="none"/>
        </w:rPr>
        <w:t>（一）数据库内容</w:t>
      </w:r>
      <w:bookmarkEnd w:id="204"/>
      <w:bookmarkEnd w:id="205"/>
      <w:bookmarkEnd w:id="206"/>
      <w:bookmarkEnd w:id="207"/>
      <w:bookmarkEnd w:id="208"/>
      <w:bookmarkEnd w:id="209"/>
      <w:bookmarkEnd w:id="210"/>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根据《云南省地上附着物和青苗补偿标准制定数据库标准》进行建设。数据库内容包括：境界与行政区、地上附着物补偿要素、青苗补偿要素。数据结构包括空间数据库属性结构和非空间数据库属性结构。</w:t>
      </w:r>
    </w:p>
    <w:p>
      <w:pPr>
        <w:spacing w:line="360" w:lineRule="auto"/>
        <w:ind w:firstLine="562" w:firstLineChars="200"/>
        <w:outlineLvl w:val="1"/>
        <w:rPr>
          <w:rFonts w:hint="eastAsia" w:ascii="楷体" w:hAnsi="楷体" w:eastAsia="楷体" w:cs="楷体"/>
          <w:b/>
          <w:bCs/>
          <w:color w:val="auto"/>
          <w:sz w:val="28"/>
          <w:szCs w:val="28"/>
          <w:highlight w:val="none"/>
        </w:rPr>
      </w:pPr>
      <w:bookmarkStart w:id="211" w:name="_Toc71613711"/>
      <w:bookmarkStart w:id="212" w:name="_Toc80815484"/>
      <w:bookmarkStart w:id="213" w:name="_Toc32353"/>
      <w:bookmarkStart w:id="214" w:name="_Toc29823645"/>
      <w:r>
        <w:rPr>
          <w:rFonts w:hint="eastAsia" w:ascii="楷体" w:hAnsi="楷体" w:eastAsia="楷体" w:cs="楷体"/>
          <w:b/>
          <w:bCs/>
          <w:color w:val="auto"/>
          <w:sz w:val="28"/>
          <w:szCs w:val="28"/>
          <w:highlight w:val="none"/>
        </w:rPr>
        <w:t>（二）要素分类与编码</w:t>
      </w:r>
      <w:bookmarkEnd w:id="211"/>
      <w:bookmarkEnd w:id="212"/>
      <w:bookmarkEnd w:id="213"/>
      <w:bookmarkEnd w:id="214"/>
    </w:p>
    <w:p>
      <w:pPr>
        <w:pStyle w:val="61"/>
        <w:spacing w:line="360" w:lineRule="auto"/>
        <w:ind w:firstLine="6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地上附着物和青苗补偿标准数据库要素分类大类采用面分类法，小类及以下采用线分类法。根据分类编码通用原则，将数据库数据要素依次按大类、小类、一级类、二级类、三级类和四级类划分，分类代码采用十位数字层次码组成，其结构如下：</w:t>
      </w:r>
    </w:p>
    <w:p>
      <w:pPr>
        <w:widowControl/>
        <w:spacing w:line="360" w:lineRule="auto"/>
        <w:ind w:firstLine="840" w:firstLineChars="30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ＸＸ     ＸＸ     ＸＸ    ＸＸ    Ｘ    Ｘ</w:t>
      </w:r>
    </w:p>
    <w:p>
      <w:pPr>
        <w:pStyle w:val="147"/>
        <w:spacing w:line="360" w:lineRule="auto"/>
        <w:ind w:firstLine="840" w:firstLineChars="30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       ｜      ｜    ｜     ｜</w:t>
      </w:r>
    </w:p>
    <w:p>
      <w:pPr>
        <w:pStyle w:val="147"/>
        <w:spacing w:line="360" w:lineRule="auto"/>
        <w:ind w:firstLine="0" w:firstLineChars="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 xml:space="preserve">      大       小       一      二    三     四</w:t>
      </w:r>
    </w:p>
    <w:p>
      <w:pPr>
        <w:pStyle w:val="147"/>
        <w:spacing w:line="360" w:lineRule="auto"/>
        <w:ind w:firstLine="840" w:firstLineChars="30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类       类       级      级    级     级</w:t>
      </w:r>
    </w:p>
    <w:p>
      <w:pPr>
        <w:pStyle w:val="147"/>
        <w:spacing w:line="360" w:lineRule="auto"/>
        <w:ind w:firstLine="840" w:firstLineChars="30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码       码       类      类    类     类</w:t>
      </w:r>
    </w:p>
    <w:p>
      <w:pPr>
        <w:pStyle w:val="147"/>
        <w:spacing w:line="360" w:lineRule="auto"/>
        <w:ind w:firstLine="3360" w:firstLineChars="120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要      要    要     要</w:t>
      </w:r>
    </w:p>
    <w:p>
      <w:pPr>
        <w:pStyle w:val="147"/>
        <w:spacing w:line="360" w:lineRule="auto"/>
        <w:ind w:firstLine="3360" w:firstLineChars="120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素      素    素     素</w:t>
      </w:r>
    </w:p>
    <w:p>
      <w:pPr>
        <w:pStyle w:val="147"/>
        <w:spacing w:line="360" w:lineRule="auto"/>
        <w:ind w:firstLine="980" w:firstLineChars="35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 xml:space="preserve">                 码      码    码     码</w:t>
      </w:r>
    </w:p>
    <w:p>
      <w:pPr>
        <w:widowControl/>
        <w:spacing w:line="360" w:lineRule="auto"/>
        <w:ind w:left="0" w:leftChars="0" w:firstLine="560" w:firstLineChars="200"/>
        <w:jc w:val="left"/>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其中：</w:t>
      </w:r>
    </w:p>
    <w:p>
      <w:pPr>
        <w:pStyle w:val="61"/>
        <w:spacing w:line="360" w:lineRule="auto"/>
        <w:ind w:firstLine="6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a)  大类码为专业代码，设定为2位数字码，其中：基础地理专业码为10；土地信息专业码为20；其他专业码为30；</w:t>
      </w:r>
    </w:p>
    <w:p>
      <w:pPr>
        <w:pStyle w:val="61"/>
        <w:spacing w:line="360" w:lineRule="auto"/>
        <w:ind w:firstLine="6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b)  小类码为业务代码，设定为2位数字码，不足位以0补齐，土地利用的业务代码为01；地上附着物和青苗补偿标准业务代码为09（与云南省征收农用地区片综合地价保持一致）；</w:t>
      </w:r>
    </w:p>
    <w:p>
      <w:pPr>
        <w:pStyle w:val="61"/>
        <w:spacing w:line="360" w:lineRule="auto"/>
        <w:ind w:firstLine="6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c)  一至四级类码为要素分类代码，不足位以0补齐。其中：一级类码为2位数字码，地上附着物和青苗补偿标准要素代码为02；二级类码为2位数字码，地上附着物补偿标准要素代码为01，青苗补偿标准要素代码为02；三级类码为1位数字码，根据图层要素顺序编号；四级类码为1位数字码；</w:t>
      </w:r>
    </w:p>
    <w:p>
      <w:pPr>
        <w:pStyle w:val="61"/>
        <w:spacing w:line="360" w:lineRule="auto"/>
        <w:ind w:firstLine="6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d)  基础地理要素的一级类码、二级类码、三级类码和四级类码引用GB/T 13923中的基础地理要素代码结构与代码，详见表1。</w:t>
      </w:r>
    </w:p>
    <w:p>
      <w:pPr>
        <w:pStyle w:val="61"/>
        <w:spacing w:line="360" w:lineRule="auto"/>
        <w:ind w:firstLine="0" w:firstLineChars="0"/>
        <w:jc w:val="center"/>
        <w:rPr>
          <w:rFonts w:hint="eastAsia" w:ascii="楷体" w:hAnsi="楷体" w:eastAsia="楷体" w:cs="楷体"/>
          <w:b/>
          <w:bCs w:val="0"/>
          <w:color w:val="auto"/>
          <w:sz w:val="28"/>
          <w:szCs w:val="28"/>
          <w:highlight w:val="none"/>
        </w:rPr>
      </w:pPr>
    </w:p>
    <w:p>
      <w:pPr>
        <w:pStyle w:val="61"/>
        <w:spacing w:line="360" w:lineRule="auto"/>
        <w:ind w:firstLine="0" w:firstLineChars="0"/>
        <w:jc w:val="center"/>
        <w:rPr>
          <w:rFonts w:hint="eastAsia" w:ascii="楷体" w:hAnsi="楷体" w:eastAsia="楷体" w:cs="楷体"/>
          <w:b/>
          <w:bCs w:val="0"/>
          <w:color w:val="auto"/>
          <w:sz w:val="28"/>
          <w:szCs w:val="28"/>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fldChar w:fldCharType="begin"/>
      </w:r>
      <w:r>
        <w:rPr>
          <w:rFonts w:hint="eastAsia" w:ascii="楷体" w:hAnsi="楷体" w:eastAsia="楷体" w:cs="楷体"/>
          <w:b w:val="0"/>
          <w:bCs/>
          <w:color w:val="auto"/>
          <w:sz w:val="24"/>
          <w:szCs w:val="24"/>
          <w:highlight w:val="none"/>
        </w:rPr>
        <w:instrText xml:space="preserve">SEQ 表 \* ARABIC</w:instrText>
      </w:r>
      <w:r>
        <w:rPr>
          <w:rFonts w:hint="eastAsia" w:ascii="楷体" w:hAnsi="楷体" w:eastAsia="楷体" w:cs="楷体"/>
          <w:b w:val="0"/>
          <w:bCs/>
          <w:color w:val="auto"/>
          <w:sz w:val="24"/>
          <w:szCs w:val="24"/>
          <w:highlight w:val="none"/>
        </w:rPr>
        <w:fldChar w:fldCharType="separate"/>
      </w:r>
      <w:r>
        <w:rPr>
          <w:rFonts w:hint="eastAsia" w:ascii="楷体" w:hAnsi="楷体" w:eastAsia="楷体" w:cs="楷体"/>
          <w:b w:val="0"/>
          <w:bCs/>
          <w:color w:val="auto"/>
          <w:sz w:val="24"/>
          <w:szCs w:val="24"/>
          <w:highlight w:val="none"/>
        </w:rPr>
        <w:t>1</w:t>
      </w:r>
      <w:r>
        <w:rPr>
          <w:rFonts w:hint="eastAsia" w:ascii="楷体" w:hAnsi="楷体" w:eastAsia="楷体" w:cs="楷体"/>
          <w:b w:val="0"/>
          <w:bCs/>
          <w:color w:val="auto"/>
          <w:sz w:val="24"/>
          <w:szCs w:val="24"/>
          <w:highlight w:val="none"/>
        </w:rPr>
        <w:fldChar w:fldCharType="end"/>
      </w:r>
      <w:r>
        <w:rPr>
          <w:rFonts w:hint="eastAsia" w:ascii="楷体" w:hAnsi="楷体" w:eastAsia="楷体" w:cs="楷体"/>
          <w:b w:val="0"/>
          <w:bCs/>
          <w:color w:val="auto"/>
          <w:sz w:val="24"/>
          <w:szCs w:val="24"/>
          <w:highlight w:val="none"/>
        </w:rPr>
        <w:t>地上附着着物和青苗补偿标准要素分类与代码表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4495"/>
        <w:gridCol w:w="3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blHeader/>
        </w:trPr>
        <w:tc>
          <w:tcPr>
            <w:tcW w:w="838"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要素代码</w:t>
            </w:r>
          </w:p>
        </w:tc>
        <w:tc>
          <w:tcPr>
            <w:tcW w:w="2420" w:type="pct"/>
            <w:vAlign w:val="center"/>
          </w:tcPr>
          <w:p>
            <w:pPr>
              <w:pStyle w:val="147"/>
              <w:spacing w:line="360" w:lineRule="auto"/>
              <w:ind w:firstLine="36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要素名称</w:t>
            </w:r>
          </w:p>
        </w:tc>
        <w:tc>
          <w:tcPr>
            <w:tcW w:w="1742"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1000000000</w:t>
            </w:r>
          </w:p>
        </w:tc>
        <w:tc>
          <w:tcPr>
            <w:tcW w:w="2420" w:type="pct"/>
            <w:vAlign w:val="center"/>
          </w:tcPr>
          <w:p>
            <w:pPr>
              <w:pStyle w:val="147"/>
              <w:spacing w:line="360" w:lineRule="auto"/>
              <w:ind w:firstLine="19" w:firstLineChars="8"/>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基础地理信息要素</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1000600000</w:t>
            </w:r>
          </w:p>
        </w:tc>
        <w:tc>
          <w:tcPr>
            <w:tcW w:w="2420" w:type="pct"/>
            <w:vAlign w:val="center"/>
          </w:tcPr>
          <w:p>
            <w:pPr>
              <w:pStyle w:val="147"/>
              <w:spacing w:line="360" w:lineRule="auto"/>
              <w:ind w:firstLineChars="1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境界与行政区</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1000600100</w:t>
            </w:r>
          </w:p>
        </w:tc>
        <w:tc>
          <w:tcPr>
            <w:tcW w:w="2420" w:type="pct"/>
            <w:vAlign w:val="center"/>
          </w:tcPr>
          <w:p>
            <w:pPr>
              <w:pStyle w:val="147"/>
              <w:spacing w:line="360" w:lineRule="auto"/>
              <w:ind w:firstLine="506" w:firstLineChars="2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行政区</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GB/T 13923的扩展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1000600200</w:t>
            </w:r>
          </w:p>
        </w:tc>
        <w:tc>
          <w:tcPr>
            <w:tcW w:w="2420" w:type="pct"/>
            <w:vAlign w:val="center"/>
          </w:tcPr>
          <w:p>
            <w:pPr>
              <w:pStyle w:val="147"/>
              <w:spacing w:line="360" w:lineRule="auto"/>
              <w:ind w:firstLine="506" w:firstLineChars="2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行政区界线</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GB/T 13923的扩展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1000609000</w:t>
            </w:r>
          </w:p>
        </w:tc>
        <w:tc>
          <w:tcPr>
            <w:tcW w:w="2420" w:type="pct"/>
            <w:vAlign w:val="center"/>
          </w:tcPr>
          <w:p>
            <w:pPr>
              <w:pStyle w:val="147"/>
              <w:spacing w:line="360" w:lineRule="auto"/>
              <w:ind w:firstLine="506" w:firstLineChars="2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行政区注记</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GB/T 13923的扩展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1000600400</w:t>
            </w:r>
          </w:p>
        </w:tc>
        <w:tc>
          <w:tcPr>
            <w:tcW w:w="2420" w:type="pct"/>
            <w:vAlign w:val="center"/>
          </w:tcPr>
          <w:p>
            <w:pPr>
              <w:spacing w:line="360" w:lineRule="auto"/>
              <w:ind w:firstLine="480" w:firstLineChars="2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村级调查区</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1000600500</w:t>
            </w:r>
          </w:p>
        </w:tc>
        <w:tc>
          <w:tcPr>
            <w:tcW w:w="2420" w:type="pct"/>
            <w:vAlign w:val="center"/>
          </w:tcPr>
          <w:p>
            <w:pPr>
              <w:spacing w:line="360" w:lineRule="auto"/>
              <w:ind w:firstLine="480" w:firstLineChars="2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村级调查区界线</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1000608000</w:t>
            </w:r>
          </w:p>
        </w:tc>
        <w:tc>
          <w:tcPr>
            <w:tcW w:w="2420" w:type="pct"/>
            <w:vAlign w:val="center"/>
          </w:tcPr>
          <w:p>
            <w:pPr>
              <w:spacing w:line="360" w:lineRule="auto"/>
              <w:ind w:firstLine="480" w:firstLineChars="2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村级调查区注记</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2009020100</w:t>
            </w:r>
          </w:p>
        </w:tc>
        <w:tc>
          <w:tcPr>
            <w:tcW w:w="2420" w:type="pct"/>
            <w:vAlign w:val="center"/>
          </w:tcPr>
          <w:p>
            <w:pPr>
              <w:pStyle w:val="147"/>
              <w:spacing w:line="360" w:lineRule="auto"/>
              <w:ind w:firstLine="240" w:firstLineChars="1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地上附着物补偿要素</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2009020110</w:t>
            </w:r>
          </w:p>
        </w:tc>
        <w:tc>
          <w:tcPr>
            <w:tcW w:w="2420" w:type="pct"/>
            <w:vAlign w:val="center"/>
          </w:tcPr>
          <w:p>
            <w:pPr>
              <w:pStyle w:val="147"/>
              <w:spacing w:line="360" w:lineRule="auto"/>
              <w:ind w:firstLine="746" w:firstLineChars="3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建筑物补偿标准</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2009020120</w:t>
            </w:r>
          </w:p>
        </w:tc>
        <w:tc>
          <w:tcPr>
            <w:tcW w:w="2420" w:type="pct"/>
            <w:vAlign w:val="center"/>
          </w:tcPr>
          <w:p>
            <w:pPr>
              <w:pStyle w:val="147"/>
              <w:spacing w:line="360" w:lineRule="auto"/>
              <w:ind w:firstLine="746" w:firstLineChars="3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构筑物及其他附属设施补偿标准</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2009020130</w:t>
            </w:r>
          </w:p>
        </w:tc>
        <w:tc>
          <w:tcPr>
            <w:tcW w:w="2420" w:type="pct"/>
            <w:vAlign w:val="center"/>
          </w:tcPr>
          <w:p>
            <w:pPr>
              <w:pStyle w:val="147"/>
              <w:spacing w:line="360" w:lineRule="auto"/>
              <w:ind w:firstLine="746" w:firstLineChars="3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成片（零星）林木补偿标准</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2009020140</w:t>
            </w:r>
          </w:p>
        </w:tc>
        <w:tc>
          <w:tcPr>
            <w:tcW w:w="2420" w:type="pct"/>
            <w:vAlign w:val="center"/>
          </w:tcPr>
          <w:p>
            <w:pPr>
              <w:pStyle w:val="147"/>
              <w:spacing w:line="360" w:lineRule="auto"/>
              <w:ind w:firstLine="746" w:firstLineChars="3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成片（零星）果木补偿标准</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2009020150</w:t>
            </w:r>
          </w:p>
        </w:tc>
        <w:tc>
          <w:tcPr>
            <w:tcW w:w="2420" w:type="pct"/>
            <w:vAlign w:val="center"/>
          </w:tcPr>
          <w:p>
            <w:pPr>
              <w:pStyle w:val="147"/>
              <w:spacing w:line="360" w:lineRule="auto"/>
              <w:ind w:firstLine="746" w:firstLineChars="3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其他林木（果木）补偿标准</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2009020160</w:t>
            </w:r>
          </w:p>
        </w:tc>
        <w:tc>
          <w:tcPr>
            <w:tcW w:w="2420" w:type="pct"/>
            <w:vAlign w:val="center"/>
          </w:tcPr>
          <w:p>
            <w:pPr>
              <w:pStyle w:val="147"/>
              <w:spacing w:line="360" w:lineRule="auto"/>
              <w:ind w:firstLine="746" w:firstLineChars="3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坟墓迁移补偿标准</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2009020200</w:t>
            </w:r>
          </w:p>
        </w:tc>
        <w:tc>
          <w:tcPr>
            <w:tcW w:w="2420" w:type="pct"/>
            <w:vAlign w:val="center"/>
          </w:tcPr>
          <w:p>
            <w:pPr>
              <w:pStyle w:val="147"/>
              <w:spacing w:line="360" w:lineRule="auto"/>
              <w:ind w:firstLine="240" w:firstLineChars="1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青苗补偿标准要素</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2009020210</w:t>
            </w:r>
          </w:p>
        </w:tc>
        <w:tc>
          <w:tcPr>
            <w:tcW w:w="2420" w:type="pct"/>
            <w:vAlign w:val="center"/>
          </w:tcPr>
          <w:p>
            <w:pPr>
              <w:pStyle w:val="147"/>
              <w:spacing w:line="360" w:lineRule="auto"/>
              <w:ind w:firstLine="720" w:firstLineChars="3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青苗补偿等级区</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2009020220</w:t>
            </w:r>
          </w:p>
        </w:tc>
        <w:tc>
          <w:tcPr>
            <w:tcW w:w="2420" w:type="pct"/>
            <w:vAlign w:val="center"/>
          </w:tcPr>
          <w:p>
            <w:pPr>
              <w:pStyle w:val="147"/>
              <w:spacing w:line="360" w:lineRule="auto"/>
              <w:ind w:firstLine="720" w:firstLineChars="3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青苗补偿等级区注记</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2009020230</w:t>
            </w:r>
          </w:p>
        </w:tc>
        <w:tc>
          <w:tcPr>
            <w:tcW w:w="2420" w:type="pct"/>
            <w:vAlign w:val="center"/>
          </w:tcPr>
          <w:p>
            <w:pPr>
              <w:pStyle w:val="147"/>
              <w:spacing w:line="360" w:lineRule="auto"/>
              <w:ind w:firstLine="746" w:firstLineChars="3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青苗补偿标准(分作物)</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38"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2009020240</w:t>
            </w:r>
          </w:p>
        </w:tc>
        <w:tc>
          <w:tcPr>
            <w:tcW w:w="2420" w:type="pct"/>
            <w:vAlign w:val="center"/>
          </w:tcPr>
          <w:p>
            <w:pPr>
              <w:pStyle w:val="147"/>
              <w:spacing w:line="360" w:lineRule="auto"/>
              <w:ind w:firstLine="746" w:firstLineChars="311"/>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青苗补偿标准(分地类)</w:t>
            </w:r>
          </w:p>
        </w:tc>
        <w:tc>
          <w:tcPr>
            <w:tcW w:w="1742"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7" w:hRule="exact"/>
        </w:trPr>
        <w:tc>
          <w:tcPr>
            <w:tcW w:w="5000" w:type="pct"/>
            <w:gridSpan w:val="3"/>
            <w:vAlign w:val="center"/>
          </w:tcPr>
          <w:p>
            <w:pPr>
              <w:pStyle w:val="164"/>
              <w:tabs>
                <w:tab w:val="left" w:pos="4470"/>
                <w:tab w:val="clear" w:pos="900"/>
              </w:tabs>
              <w:spacing w:line="360" w:lineRule="auto"/>
              <w:ind w:left="0" w:firstLine="480" w:firstLineChars="2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注1：本表的基础地理信息要素第5位至第10位代码参考GB/T 13923。</w:t>
            </w:r>
          </w:p>
          <w:p>
            <w:pPr>
              <w:pStyle w:val="147"/>
              <w:spacing w:line="360" w:lineRule="auto"/>
              <w:ind w:firstLine="36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注2：行政区、行政区界线与行政区注记要素参考GB/T 13923的结构进行扩充，各级行政区的信息使用行政区与行政区界线属性表描述。</w:t>
            </w:r>
          </w:p>
        </w:tc>
      </w:tr>
    </w:tbl>
    <w:p>
      <w:pPr>
        <w:spacing w:line="360" w:lineRule="auto"/>
        <w:ind w:firstLine="562" w:firstLineChars="200"/>
        <w:outlineLvl w:val="9"/>
        <w:rPr>
          <w:rFonts w:hint="eastAsia" w:ascii="楷体" w:hAnsi="楷体" w:eastAsia="楷体" w:cs="楷体"/>
          <w:b/>
          <w:bCs/>
          <w:color w:val="auto"/>
          <w:sz w:val="28"/>
          <w:szCs w:val="28"/>
          <w:highlight w:val="none"/>
        </w:rPr>
      </w:pPr>
      <w:bookmarkStart w:id="215" w:name="_Toc80815485"/>
      <w:bookmarkStart w:id="216" w:name="_Toc71613712"/>
    </w:p>
    <w:p>
      <w:pPr>
        <w:spacing w:line="360" w:lineRule="auto"/>
        <w:ind w:firstLine="562" w:firstLineChars="200"/>
        <w:outlineLvl w:val="9"/>
        <w:rPr>
          <w:rFonts w:hint="eastAsia" w:ascii="楷体" w:hAnsi="楷体" w:eastAsia="楷体" w:cs="楷体"/>
          <w:b/>
          <w:bCs/>
          <w:color w:val="auto"/>
          <w:sz w:val="28"/>
          <w:szCs w:val="28"/>
          <w:highlight w:val="none"/>
        </w:rPr>
      </w:pPr>
    </w:p>
    <w:p>
      <w:pPr>
        <w:spacing w:line="360" w:lineRule="auto"/>
        <w:ind w:firstLine="562" w:firstLineChars="200"/>
        <w:outlineLvl w:val="1"/>
        <w:rPr>
          <w:rFonts w:hint="eastAsia" w:ascii="楷体" w:hAnsi="楷体" w:eastAsia="楷体" w:cs="楷体"/>
          <w:color w:val="auto"/>
          <w:kern w:val="0"/>
          <w:sz w:val="30"/>
          <w:szCs w:val="30"/>
          <w:highlight w:val="none"/>
        </w:rPr>
      </w:pPr>
      <w:bookmarkStart w:id="217" w:name="_Toc10726"/>
      <w:r>
        <w:rPr>
          <w:rFonts w:hint="eastAsia" w:ascii="楷体" w:hAnsi="楷体" w:eastAsia="楷体" w:cs="楷体"/>
          <w:b/>
          <w:bCs/>
          <w:color w:val="auto"/>
          <w:sz w:val="28"/>
          <w:szCs w:val="28"/>
          <w:highlight w:val="none"/>
        </w:rPr>
        <w:t>（三）数据库结构定义</w:t>
      </w:r>
      <w:bookmarkEnd w:id="215"/>
      <w:bookmarkEnd w:id="216"/>
      <w:bookmarkEnd w:id="217"/>
    </w:p>
    <w:p>
      <w:pPr>
        <w:spacing w:line="360" w:lineRule="auto"/>
        <w:ind w:firstLine="560" w:firstLineChars="200"/>
        <w:jc w:val="left"/>
        <w:outlineLvl w:val="2"/>
        <w:rPr>
          <w:rFonts w:hint="eastAsia" w:ascii="楷体" w:hAnsi="楷体" w:eastAsia="楷体" w:cs="楷体"/>
          <w:b w:val="0"/>
          <w:bCs w:val="0"/>
          <w:color w:val="auto"/>
          <w:kern w:val="0"/>
          <w:sz w:val="28"/>
          <w:szCs w:val="28"/>
          <w:highlight w:val="none"/>
        </w:rPr>
      </w:pPr>
      <w:bookmarkStart w:id="218" w:name="_Toc23241"/>
      <w:bookmarkStart w:id="219" w:name="_Toc71613713"/>
      <w:bookmarkStart w:id="220" w:name="_Toc12968"/>
      <w:bookmarkStart w:id="221" w:name="_Toc29823647"/>
      <w:r>
        <w:rPr>
          <w:rFonts w:hint="eastAsia" w:ascii="楷体" w:hAnsi="楷体" w:eastAsia="楷体" w:cs="楷体"/>
          <w:b w:val="0"/>
          <w:bCs w:val="0"/>
          <w:color w:val="auto"/>
          <w:kern w:val="0"/>
          <w:sz w:val="28"/>
          <w:szCs w:val="28"/>
          <w:highlight w:val="none"/>
        </w:rPr>
        <w:t>1.要素类划分</w:t>
      </w:r>
      <w:bookmarkEnd w:id="218"/>
      <w:bookmarkEnd w:id="219"/>
      <w:bookmarkEnd w:id="220"/>
      <w:bookmarkEnd w:id="221"/>
    </w:p>
    <w:p>
      <w:pPr>
        <w:spacing w:line="360" w:lineRule="auto"/>
        <w:ind w:firstLine="560" w:firstLineChars="200"/>
        <w:rPr>
          <w:rFonts w:hint="eastAsia" w:ascii="楷体" w:hAnsi="楷体" w:eastAsia="楷体" w:cs="楷体"/>
          <w:color w:val="auto"/>
          <w:kern w:val="2"/>
          <w:sz w:val="28"/>
          <w:szCs w:val="28"/>
          <w:highlight w:val="none"/>
          <w:lang w:val="en-US" w:eastAsia="zh-CN" w:bidi="ar-SA"/>
        </w:rPr>
      </w:pPr>
      <w:r>
        <w:rPr>
          <w:rFonts w:hint="eastAsia" w:ascii="楷体" w:hAnsi="楷体" w:eastAsia="楷体" w:cs="楷体"/>
          <w:color w:val="auto"/>
          <w:kern w:val="2"/>
          <w:sz w:val="28"/>
          <w:szCs w:val="28"/>
          <w:highlight w:val="none"/>
          <w:lang w:val="en-US" w:eastAsia="zh-CN" w:bidi="ar-SA"/>
        </w:rPr>
        <w:t>要素采用分类的方法进行组织管理，要素类名称及各类要素见表2。</w:t>
      </w: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2地上附着物和青苗补偿标准要素类定义</w:t>
      </w:r>
    </w:p>
    <w:tbl>
      <w:tblPr>
        <w:tblStyle w:val="45"/>
        <w:tblW w:w="52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912"/>
        <w:gridCol w:w="2958"/>
        <w:gridCol w:w="1416"/>
        <w:gridCol w:w="1830"/>
        <w:gridCol w:w="651"/>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exact"/>
          <w:tblHeader/>
          <w:jc w:val="center"/>
        </w:trPr>
        <w:tc>
          <w:tcPr>
            <w:tcW w:w="38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序号</w:t>
            </w:r>
          </w:p>
        </w:tc>
        <w:tc>
          <w:tcPr>
            <w:tcW w:w="4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层名</w:t>
            </w:r>
          </w:p>
        </w:tc>
        <w:tc>
          <w:tcPr>
            <w:tcW w:w="153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层要素</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几何特征</w:t>
            </w:r>
          </w:p>
        </w:tc>
        <w:tc>
          <w:tcPr>
            <w:tcW w:w="95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属性表名</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约束条件</w:t>
            </w:r>
          </w:p>
        </w:tc>
        <w:tc>
          <w:tcPr>
            <w:tcW w:w="672" w:type="pct"/>
            <w:tcBorders>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restart"/>
            <w:vAlign w:val="center"/>
          </w:tcPr>
          <w:p>
            <w:pPr>
              <w:numPr>
                <w:ilvl w:val="0"/>
                <w:numId w:val="10"/>
              </w:numPr>
              <w:adjustRightInd w:val="0"/>
              <w:spacing w:line="360" w:lineRule="auto"/>
              <w:jc w:val="center"/>
              <w:textAlignment w:val="baseline"/>
              <w:rPr>
                <w:rFonts w:hint="eastAsia" w:ascii="楷体" w:hAnsi="楷体" w:eastAsia="楷体" w:cs="楷体"/>
                <w:b w:val="0"/>
                <w:bCs/>
                <w:color w:val="auto"/>
                <w:sz w:val="24"/>
                <w:szCs w:val="24"/>
                <w:highlight w:val="none"/>
              </w:rPr>
            </w:pPr>
          </w:p>
        </w:tc>
        <w:tc>
          <w:tcPr>
            <w:tcW w:w="487" w:type="pct"/>
            <w:vMerge w:val="restar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境界与政区</w:t>
            </w:r>
          </w:p>
        </w:tc>
        <w:tc>
          <w:tcPr>
            <w:tcW w:w="1537"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行政区</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Polygon</w:t>
            </w:r>
          </w:p>
        </w:tc>
        <w:tc>
          <w:tcPr>
            <w:tcW w:w="958"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XZQ</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vMerge w:val="restart"/>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属性结构参照国土调查数据库标准》（试行修订稿）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487"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行政区界线</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Line</w:t>
            </w:r>
          </w:p>
        </w:tc>
        <w:tc>
          <w:tcPr>
            <w:tcW w:w="958"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XZQJX</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487"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行政区注记</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Annotation</w:t>
            </w:r>
          </w:p>
        </w:tc>
        <w:tc>
          <w:tcPr>
            <w:tcW w:w="958"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XZQZJ</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672"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487"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村级调查区</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Polygon</w:t>
            </w:r>
          </w:p>
        </w:tc>
        <w:tc>
          <w:tcPr>
            <w:tcW w:w="958"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CJDCQ</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487"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村级调查区界线</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Line</w:t>
            </w:r>
          </w:p>
        </w:tc>
        <w:tc>
          <w:tcPr>
            <w:tcW w:w="958"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CJDCQJX</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487"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村级调查区注记</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Annotation</w:t>
            </w:r>
          </w:p>
        </w:tc>
        <w:tc>
          <w:tcPr>
            <w:tcW w:w="958"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CJDCQZJ</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672"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restart"/>
            <w:tcBorders>
              <w:left w:val="single" w:color="auto" w:sz="4" w:space="0"/>
              <w:right w:val="single" w:color="auto" w:sz="4" w:space="0"/>
            </w:tcBorders>
            <w:vAlign w:val="center"/>
          </w:tcPr>
          <w:p>
            <w:pPr>
              <w:adjustRightInd w:val="0"/>
              <w:spacing w:line="360" w:lineRule="auto"/>
              <w:jc w:val="center"/>
              <w:textAlignment w:val="baseline"/>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487" w:type="pct"/>
            <w:vMerge w:val="restart"/>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地上附着物补偿标准要素</w:t>
            </w: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建筑物补偿标准</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Dbf</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BCBZ_JZW</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exact"/>
          <w:jc w:val="center"/>
        </w:trPr>
        <w:tc>
          <w:tcPr>
            <w:tcW w:w="381" w:type="pct"/>
            <w:vMerge w:val="continue"/>
            <w:tcBorders>
              <w:left w:val="single" w:color="auto" w:sz="4" w:space="0"/>
              <w:right w:val="single" w:color="auto" w:sz="4" w:space="0"/>
            </w:tcBorders>
            <w:vAlign w:val="center"/>
          </w:tcPr>
          <w:p>
            <w:pPr>
              <w:numPr>
                <w:ilvl w:val="0"/>
                <w:numId w:val="10"/>
              </w:numPr>
              <w:adjustRightInd w:val="0"/>
              <w:spacing w:line="360" w:lineRule="auto"/>
              <w:jc w:val="center"/>
              <w:textAlignment w:val="baseline"/>
              <w:rPr>
                <w:rFonts w:hint="eastAsia" w:ascii="楷体" w:hAnsi="楷体" w:eastAsia="楷体" w:cs="楷体"/>
                <w:b w:val="0"/>
                <w:bCs/>
                <w:color w:val="auto"/>
                <w:sz w:val="24"/>
                <w:szCs w:val="24"/>
                <w:highlight w:val="none"/>
              </w:rPr>
            </w:pPr>
          </w:p>
        </w:tc>
        <w:tc>
          <w:tcPr>
            <w:tcW w:w="487"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构筑物及其他附属设施补偿标准</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Dbf</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BCBZ_GZWFSSS</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tcBorders>
              <w:left w:val="single" w:color="auto" w:sz="4" w:space="0"/>
              <w:right w:val="single" w:color="auto" w:sz="4" w:space="0"/>
            </w:tcBorders>
            <w:vAlign w:val="center"/>
          </w:tcPr>
          <w:p>
            <w:pPr>
              <w:adjustRightInd w:val="0"/>
              <w:spacing w:line="360" w:lineRule="auto"/>
              <w:jc w:val="center"/>
              <w:textAlignment w:val="baseline"/>
              <w:rPr>
                <w:rFonts w:hint="eastAsia" w:ascii="楷体" w:hAnsi="楷体" w:eastAsia="楷体" w:cs="楷体"/>
                <w:b w:val="0"/>
                <w:bCs/>
                <w:color w:val="auto"/>
                <w:sz w:val="24"/>
                <w:szCs w:val="24"/>
                <w:highlight w:val="none"/>
              </w:rPr>
            </w:pPr>
          </w:p>
        </w:tc>
        <w:tc>
          <w:tcPr>
            <w:tcW w:w="487"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成片（零星）林木补偿标准</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Dbf</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BCBZ_LM</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tcBorders>
              <w:top w:val="single" w:color="auto" w:sz="4" w:space="0"/>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tcBorders>
              <w:left w:val="single" w:color="auto" w:sz="4" w:space="0"/>
              <w:right w:val="single" w:color="auto" w:sz="4" w:space="0"/>
            </w:tcBorders>
            <w:vAlign w:val="center"/>
          </w:tcPr>
          <w:p>
            <w:pPr>
              <w:numPr>
                <w:ilvl w:val="0"/>
                <w:numId w:val="10"/>
              </w:numPr>
              <w:adjustRightInd w:val="0"/>
              <w:spacing w:line="360" w:lineRule="auto"/>
              <w:jc w:val="center"/>
              <w:textAlignment w:val="baseline"/>
              <w:rPr>
                <w:rFonts w:hint="eastAsia" w:ascii="楷体" w:hAnsi="楷体" w:eastAsia="楷体" w:cs="楷体"/>
                <w:b w:val="0"/>
                <w:bCs/>
                <w:color w:val="auto"/>
                <w:sz w:val="24"/>
                <w:szCs w:val="24"/>
                <w:highlight w:val="none"/>
              </w:rPr>
            </w:pPr>
          </w:p>
        </w:tc>
        <w:tc>
          <w:tcPr>
            <w:tcW w:w="487"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成片（零星）果木补偿标准</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Dbf</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BCBZ_GM</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tcBorders>
              <w:left w:val="single" w:color="auto" w:sz="4" w:space="0"/>
              <w:right w:val="single" w:color="auto" w:sz="4" w:space="0"/>
            </w:tcBorders>
            <w:vAlign w:val="center"/>
          </w:tcPr>
          <w:p>
            <w:pPr>
              <w:adjustRightInd w:val="0"/>
              <w:spacing w:line="360" w:lineRule="auto"/>
              <w:ind w:left="420"/>
              <w:jc w:val="center"/>
              <w:textAlignment w:val="baseline"/>
              <w:rPr>
                <w:rFonts w:hint="eastAsia" w:ascii="楷体" w:hAnsi="楷体" w:eastAsia="楷体" w:cs="楷体"/>
                <w:b w:val="0"/>
                <w:bCs/>
                <w:color w:val="auto"/>
                <w:sz w:val="24"/>
                <w:szCs w:val="24"/>
                <w:highlight w:val="none"/>
              </w:rPr>
            </w:pPr>
          </w:p>
        </w:tc>
        <w:tc>
          <w:tcPr>
            <w:tcW w:w="487"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其他林木（果木）补偿标准</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Dbf</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BCBZ_QT</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tcBorders>
              <w:left w:val="single" w:color="auto" w:sz="4" w:space="0"/>
              <w:right w:val="single" w:color="auto" w:sz="4" w:space="0"/>
            </w:tcBorders>
            <w:vAlign w:val="center"/>
          </w:tcPr>
          <w:p>
            <w:pPr>
              <w:adjustRightInd w:val="0"/>
              <w:spacing w:line="360" w:lineRule="auto"/>
              <w:ind w:left="420"/>
              <w:jc w:val="center"/>
              <w:textAlignment w:val="baseline"/>
              <w:rPr>
                <w:rFonts w:hint="eastAsia" w:ascii="楷体" w:hAnsi="楷体" w:eastAsia="楷体" w:cs="楷体"/>
                <w:b w:val="0"/>
                <w:bCs/>
                <w:color w:val="auto"/>
                <w:sz w:val="24"/>
                <w:szCs w:val="24"/>
                <w:highlight w:val="none"/>
              </w:rPr>
            </w:pPr>
          </w:p>
        </w:tc>
        <w:tc>
          <w:tcPr>
            <w:tcW w:w="487"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坟墓迁移补偿标准</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Dbf</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BCBZ_FMQY</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restart"/>
            <w:tcBorders>
              <w:left w:val="single" w:color="auto" w:sz="4" w:space="0"/>
              <w:right w:val="single" w:color="auto" w:sz="4" w:space="0"/>
            </w:tcBorders>
            <w:vAlign w:val="center"/>
          </w:tcPr>
          <w:p>
            <w:pPr>
              <w:adjustRightInd w:val="0"/>
              <w:spacing w:line="360" w:lineRule="auto"/>
              <w:jc w:val="center"/>
              <w:textAlignment w:val="baseline"/>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487" w:type="pct"/>
            <w:vMerge w:val="restart"/>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青苗补偿标准要素</w:t>
            </w: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青苗补偿等级区</w:t>
            </w:r>
          </w:p>
        </w:tc>
        <w:tc>
          <w:tcPr>
            <w:tcW w:w="613"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Polygon</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BCBZ_QMDJQ</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tcBorders>
              <w:left w:val="single" w:color="auto" w:sz="4" w:space="0"/>
              <w:right w:val="single" w:color="auto" w:sz="4" w:space="0"/>
            </w:tcBorders>
            <w:vAlign w:val="center"/>
          </w:tcPr>
          <w:p>
            <w:pPr>
              <w:adjustRightInd w:val="0"/>
              <w:spacing w:line="360" w:lineRule="auto"/>
              <w:jc w:val="center"/>
              <w:textAlignment w:val="baseline"/>
              <w:rPr>
                <w:rFonts w:hint="eastAsia" w:ascii="楷体" w:hAnsi="楷体" w:eastAsia="楷体" w:cs="楷体"/>
                <w:b w:val="0"/>
                <w:bCs/>
                <w:color w:val="auto"/>
                <w:sz w:val="24"/>
                <w:szCs w:val="24"/>
                <w:highlight w:val="none"/>
              </w:rPr>
            </w:pPr>
          </w:p>
        </w:tc>
        <w:tc>
          <w:tcPr>
            <w:tcW w:w="487"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青苗补偿等级区注记</w:t>
            </w:r>
          </w:p>
        </w:tc>
        <w:tc>
          <w:tcPr>
            <w:tcW w:w="613"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Annotation</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 QMDJQZJ</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67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tcBorders>
              <w:left w:val="single" w:color="auto" w:sz="4" w:space="0"/>
              <w:right w:val="single" w:color="auto" w:sz="4" w:space="0"/>
            </w:tcBorders>
            <w:vAlign w:val="center"/>
          </w:tcPr>
          <w:p>
            <w:pPr>
              <w:adjustRightInd w:val="0"/>
              <w:spacing w:line="360" w:lineRule="auto"/>
              <w:jc w:val="center"/>
              <w:textAlignment w:val="baseline"/>
              <w:rPr>
                <w:rFonts w:hint="eastAsia" w:ascii="楷体" w:hAnsi="楷体" w:eastAsia="楷体" w:cs="楷体"/>
                <w:b w:val="0"/>
                <w:bCs/>
                <w:color w:val="auto"/>
                <w:sz w:val="24"/>
                <w:szCs w:val="24"/>
                <w:highlight w:val="none"/>
              </w:rPr>
            </w:pPr>
          </w:p>
        </w:tc>
        <w:tc>
          <w:tcPr>
            <w:tcW w:w="487"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青苗补偿标准(分作物)</w:t>
            </w:r>
          </w:p>
        </w:tc>
        <w:tc>
          <w:tcPr>
            <w:tcW w:w="613"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Dbf</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BCBZ_QMZW</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67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381" w:type="pct"/>
            <w:vMerge w:val="continue"/>
            <w:tcBorders>
              <w:left w:val="single" w:color="auto" w:sz="4" w:space="0"/>
              <w:right w:val="single" w:color="auto" w:sz="4" w:space="0"/>
            </w:tcBorders>
            <w:vAlign w:val="center"/>
          </w:tcPr>
          <w:p>
            <w:pPr>
              <w:numPr>
                <w:ilvl w:val="0"/>
                <w:numId w:val="10"/>
              </w:numPr>
              <w:adjustRightInd w:val="0"/>
              <w:spacing w:line="360" w:lineRule="auto"/>
              <w:jc w:val="left"/>
              <w:textAlignment w:val="baseline"/>
              <w:rPr>
                <w:rFonts w:hint="eastAsia" w:ascii="楷体" w:hAnsi="楷体" w:eastAsia="楷体" w:cs="楷体"/>
                <w:b w:val="0"/>
                <w:bCs/>
                <w:color w:val="auto"/>
                <w:sz w:val="24"/>
                <w:szCs w:val="24"/>
                <w:highlight w:val="none"/>
              </w:rPr>
            </w:pPr>
          </w:p>
        </w:tc>
        <w:tc>
          <w:tcPr>
            <w:tcW w:w="487" w:type="pct"/>
            <w:vMerge w:val="continue"/>
            <w:tcBorders>
              <w:left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c>
          <w:tcPr>
            <w:tcW w:w="1537"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青苗补偿标准(分地类)</w:t>
            </w:r>
          </w:p>
        </w:tc>
        <w:tc>
          <w:tcPr>
            <w:tcW w:w="613" w:type="pct"/>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Dbf</w:t>
            </w:r>
          </w:p>
        </w:tc>
        <w:tc>
          <w:tcPr>
            <w:tcW w:w="958" w:type="pct"/>
            <w:tcBorders>
              <w:top w:val="single" w:color="auto" w:sz="4" w:space="0"/>
              <w:left w:val="single" w:color="auto" w:sz="4" w:space="0"/>
              <w:bottom w:val="single" w:color="auto" w:sz="4" w:space="0"/>
              <w:right w:val="single" w:color="auto" w:sz="4" w:space="0"/>
            </w:tcBorders>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BCBZ_QMDL</w:t>
            </w:r>
          </w:p>
        </w:tc>
        <w:tc>
          <w:tcPr>
            <w:tcW w:w="35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67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8" w:hRule="exact"/>
          <w:jc w:val="center"/>
        </w:trPr>
        <w:tc>
          <w:tcPr>
            <w:tcW w:w="5000" w:type="pct"/>
            <w:gridSpan w:val="7"/>
            <w:tcBorders>
              <w:left w:val="single" w:color="auto" w:sz="4" w:space="0"/>
              <w:right w:val="single" w:color="auto" w:sz="4" w:space="0"/>
            </w:tcBorders>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注1：约束条件取值：M（必选）、O（可选）、C（条件可选），下同；</w:t>
            </w:r>
          </w:p>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注2：注记内容为：青苗补偿等级区级别。</w:t>
            </w:r>
          </w:p>
        </w:tc>
      </w:tr>
    </w:tbl>
    <w:p>
      <w:pPr>
        <w:pStyle w:val="61"/>
        <w:spacing w:line="360" w:lineRule="auto"/>
        <w:ind w:firstLine="562"/>
        <w:jc w:val="center"/>
        <w:rPr>
          <w:rFonts w:hint="eastAsia" w:ascii="楷体" w:hAnsi="楷体" w:eastAsia="楷体" w:cs="楷体"/>
          <w:b/>
          <w:color w:val="auto"/>
          <w:sz w:val="28"/>
          <w:highlight w:val="none"/>
        </w:rPr>
      </w:pPr>
    </w:p>
    <w:p>
      <w:pPr>
        <w:spacing w:line="360" w:lineRule="auto"/>
        <w:ind w:firstLine="560" w:firstLineChars="200"/>
        <w:jc w:val="left"/>
        <w:outlineLvl w:val="9"/>
        <w:rPr>
          <w:rFonts w:hint="eastAsia" w:ascii="楷体" w:hAnsi="楷体" w:eastAsia="楷体" w:cs="楷体"/>
          <w:b w:val="0"/>
          <w:bCs w:val="0"/>
          <w:color w:val="auto"/>
          <w:kern w:val="0"/>
          <w:sz w:val="28"/>
          <w:szCs w:val="28"/>
          <w:highlight w:val="none"/>
        </w:rPr>
      </w:pPr>
      <w:bookmarkStart w:id="222" w:name="_Toc71613714"/>
      <w:bookmarkStart w:id="223" w:name="_Toc2691"/>
      <w:bookmarkStart w:id="224" w:name="_Toc16763"/>
      <w:bookmarkStart w:id="225" w:name="_Toc5211"/>
    </w:p>
    <w:p>
      <w:pPr>
        <w:spacing w:line="360" w:lineRule="auto"/>
        <w:ind w:firstLine="560" w:firstLineChars="200"/>
        <w:jc w:val="left"/>
        <w:outlineLvl w:val="9"/>
        <w:rPr>
          <w:rFonts w:hint="eastAsia" w:ascii="楷体" w:hAnsi="楷体" w:eastAsia="楷体" w:cs="楷体"/>
          <w:b w:val="0"/>
          <w:bCs w:val="0"/>
          <w:color w:val="auto"/>
          <w:kern w:val="0"/>
          <w:sz w:val="28"/>
          <w:szCs w:val="28"/>
          <w:highlight w:val="none"/>
        </w:rPr>
      </w:pPr>
    </w:p>
    <w:p>
      <w:pPr>
        <w:spacing w:line="360" w:lineRule="auto"/>
        <w:ind w:firstLine="560" w:firstLineChars="200"/>
        <w:jc w:val="left"/>
        <w:outlineLvl w:val="2"/>
        <w:rPr>
          <w:rFonts w:hint="eastAsia" w:ascii="楷体" w:hAnsi="楷体" w:eastAsia="楷体" w:cs="楷体"/>
          <w:b w:val="0"/>
          <w:bCs w:val="0"/>
          <w:color w:val="auto"/>
          <w:kern w:val="0"/>
          <w:sz w:val="28"/>
          <w:szCs w:val="28"/>
          <w:highlight w:val="none"/>
        </w:rPr>
      </w:pPr>
      <w:bookmarkStart w:id="226" w:name="_Toc15584"/>
      <w:bookmarkStart w:id="227" w:name="_Toc7908"/>
      <w:r>
        <w:rPr>
          <w:rFonts w:hint="eastAsia" w:ascii="楷体" w:hAnsi="楷体" w:eastAsia="楷体" w:cs="楷体"/>
          <w:b w:val="0"/>
          <w:bCs w:val="0"/>
          <w:color w:val="auto"/>
          <w:kern w:val="0"/>
          <w:sz w:val="28"/>
          <w:szCs w:val="28"/>
          <w:highlight w:val="none"/>
        </w:rPr>
        <w:t>2.空间要素属性结构表</w:t>
      </w:r>
      <w:bookmarkEnd w:id="222"/>
      <w:bookmarkEnd w:id="226"/>
      <w:bookmarkEnd w:id="227"/>
    </w:p>
    <w:p>
      <w:pPr>
        <w:pStyle w:val="61"/>
        <w:spacing w:line="360" w:lineRule="auto"/>
        <w:ind w:firstLine="0" w:firstLineChars="0"/>
        <w:jc w:val="center"/>
        <w:rPr>
          <w:rFonts w:hint="eastAsia" w:ascii="楷体" w:hAnsi="楷体" w:eastAsia="楷体" w:cs="楷体"/>
          <w:b/>
          <w:bCs w:val="0"/>
          <w:color w:val="auto"/>
          <w:sz w:val="28"/>
          <w:szCs w:val="28"/>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 xml:space="preserve">表 </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3注记属性结构描述表（ZJ）</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644"/>
        <w:gridCol w:w="1051"/>
        <w:gridCol w:w="1042"/>
        <w:gridCol w:w="641"/>
        <w:gridCol w:w="817"/>
        <w:gridCol w:w="1289"/>
        <w:gridCol w:w="648"/>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trPr>
        <w:tc>
          <w:tcPr>
            <w:tcW w:w="30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序号</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字段名称</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代码</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类型</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长度</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位数</w:t>
            </w: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值域</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条件</w:t>
            </w:r>
          </w:p>
        </w:tc>
        <w:tc>
          <w:tcPr>
            <w:tcW w:w="85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标识码</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BSM</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Int</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440"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p>
        </w:tc>
        <w:tc>
          <w:tcPr>
            <w:tcW w:w="694" w:type="pct"/>
            <w:vAlign w:val="center"/>
          </w:tcPr>
          <w:p>
            <w:pPr>
              <w:pStyle w:val="147"/>
              <w:spacing w:line="360" w:lineRule="auto"/>
              <w:ind w:firstLine="360" w:firstLineChars="15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856" w:type="pct"/>
          </w:tcPr>
          <w:p>
            <w:pPr>
              <w:pStyle w:val="147"/>
              <w:spacing w:line="360" w:lineRule="auto"/>
              <w:ind w:firstLine="360"/>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要素代码</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YSDM</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440"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见本表1</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856" w:type="pct"/>
            <w:vAlign w:val="center"/>
          </w:tcPr>
          <w:p>
            <w:pPr>
              <w:pStyle w:val="147"/>
              <w:spacing w:line="360" w:lineRule="auto"/>
              <w:ind w:firstLine="360"/>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注记内容</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ZJNR</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60</w:t>
            </w:r>
          </w:p>
        </w:tc>
        <w:tc>
          <w:tcPr>
            <w:tcW w:w="440"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非空</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856" w:type="pct"/>
            <w:vAlign w:val="center"/>
          </w:tcPr>
          <w:p>
            <w:pPr>
              <w:pStyle w:val="147"/>
              <w:spacing w:line="360" w:lineRule="auto"/>
              <w:ind w:firstLine="360"/>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字体</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ZT</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440"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非空</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856" w:type="pct"/>
            <w:vAlign w:val="center"/>
          </w:tcPr>
          <w:p>
            <w:pPr>
              <w:pStyle w:val="147"/>
              <w:spacing w:line="360" w:lineRule="auto"/>
              <w:ind w:firstLine="360"/>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颜色</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YS</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12</w:t>
            </w:r>
          </w:p>
        </w:tc>
        <w:tc>
          <w:tcPr>
            <w:tcW w:w="440"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非空</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856" w:type="pct"/>
            <w:vAlign w:val="center"/>
          </w:tcPr>
          <w:p>
            <w:pPr>
              <w:pStyle w:val="147"/>
              <w:spacing w:line="360" w:lineRule="auto"/>
              <w:ind w:firstLine="360"/>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磅数</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BS</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Int</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440"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85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单位：磅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形状</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XZ</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440"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非空</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856" w:type="pct"/>
            <w:vAlign w:val="center"/>
          </w:tcPr>
          <w:p>
            <w:pPr>
              <w:pStyle w:val="147"/>
              <w:spacing w:line="360" w:lineRule="auto"/>
              <w:ind w:firstLine="360"/>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下划线</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XHX</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440"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非空</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856" w:type="pct"/>
            <w:vAlign w:val="center"/>
          </w:tcPr>
          <w:p>
            <w:pPr>
              <w:pStyle w:val="147"/>
              <w:spacing w:line="360" w:lineRule="auto"/>
              <w:ind w:firstLine="360"/>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宽度</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KD</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15</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856" w:type="pct"/>
            <w:vAlign w:val="center"/>
          </w:tcPr>
          <w:p>
            <w:pPr>
              <w:pStyle w:val="147"/>
              <w:spacing w:line="360" w:lineRule="auto"/>
              <w:ind w:firstLine="360"/>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高度</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GD</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15</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85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11</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注记点X坐标</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ZJDXZB</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15</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85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12</w:t>
            </w:r>
          </w:p>
        </w:tc>
        <w:tc>
          <w:tcPr>
            <w:tcW w:w="88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注记点Y坐标</w:t>
            </w:r>
          </w:p>
        </w:tc>
        <w:tc>
          <w:tcPr>
            <w:tcW w:w="56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ZJDYZB</w:t>
            </w:r>
          </w:p>
        </w:tc>
        <w:tc>
          <w:tcPr>
            <w:tcW w:w="56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345"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15</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85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304" w:type="pct"/>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13</w:t>
            </w:r>
          </w:p>
        </w:tc>
        <w:tc>
          <w:tcPr>
            <w:tcW w:w="885"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注记方向</w:t>
            </w:r>
          </w:p>
        </w:tc>
        <w:tc>
          <w:tcPr>
            <w:tcW w:w="566"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ZJFX</w:t>
            </w:r>
          </w:p>
        </w:tc>
        <w:tc>
          <w:tcPr>
            <w:tcW w:w="561"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345"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440" w:type="pct"/>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69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[0,2П）</w:t>
            </w:r>
          </w:p>
        </w:tc>
        <w:tc>
          <w:tcPr>
            <w:tcW w:w="349"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856"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单位：弧度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exact"/>
        </w:trPr>
        <w:tc>
          <w:tcPr>
            <w:tcW w:w="5000" w:type="pct"/>
            <w:gridSpan w:val="9"/>
          </w:tcPr>
          <w:p>
            <w:pPr>
              <w:pStyle w:val="147"/>
              <w:spacing w:line="360" w:lineRule="auto"/>
              <w:ind w:firstLine="36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注：本标准属性结构描述中的字段类型，Int表示整型数据，Char表示字符型数据，Float表示浮点型数据，Varbin表示二进制型数据，以下相同。所有注记层均采用表3的属性结构描述。</w:t>
            </w:r>
          </w:p>
          <w:p>
            <w:pPr>
              <w:pStyle w:val="147"/>
              <w:spacing w:line="360" w:lineRule="auto"/>
              <w:ind w:firstLine="0" w:firstLineChars="0"/>
              <w:rPr>
                <w:rFonts w:hint="eastAsia" w:ascii="楷体" w:hAnsi="楷体" w:eastAsia="楷体" w:cs="楷体"/>
                <w:b w:val="0"/>
                <w:bCs/>
                <w:color w:val="auto"/>
                <w:sz w:val="24"/>
                <w:szCs w:val="24"/>
                <w:highlight w:val="none"/>
              </w:rPr>
            </w:pPr>
          </w:p>
        </w:tc>
      </w:tr>
      <w:bookmarkEnd w:id="223"/>
      <w:bookmarkEnd w:id="224"/>
      <w:bookmarkEnd w:id="225"/>
    </w:tbl>
    <w:p>
      <w:pPr>
        <w:pStyle w:val="172"/>
        <w:spacing w:line="360" w:lineRule="auto"/>
        <w:ind w:left="0"/>
        <w:rPr>
          <w:rFonts w:hint="eastAsia" w:ascii="楷体" w:hAnsi="楷体" w:eastAsia="楷体" w:cs="楷体"/>
          <w:b w:val="0"/>
          <w:bCs/>
          <w:color w:val="auto"/>
          <w:sz w:val="24"/>
          <w:szCs w:val="24"/>
          <w:highlight w:val="none"/>
        </w:rPr>
      </w:pPr>
      <w:bookmarkStart w:id="228" w:name="_Toc174503146"/>
      <w:bookmarkStart w:id="229" w:name="_Toc153598637"/>
      <w:bookmarkStart w:id="230" w:name="_Toc153787410"/>
      <w:bookmarkStart w:id="231" w:name="_Toc153781736"/>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color w:val="auto"/>
          <w:highlight w:val="none"/>
        </w:rPr>
        <w:br w:type="page"/>
      </w: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4 行政区属性结构描述表（属性表名：XZQ）</w:t>
      </w:r>
      <w:bookmarkEnd w:id="228"/>
      <w:bookmarkEnd w:id="229"/>
      <w:bookmarkEnd w:id="230"/>
      <w:bookmarkEnd w:id="231"/>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644"/>
        <w:gridCol w:w="901"/>
        <w:gridCol w:w="1056"/>
        <w:gridCol w:w="686"/>
        <w:gridCol w:w="810"/>
        <w:gridCol w:w="1407"/>
        <w:gridCol w:w="692"/>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序号</w:t>
            </w:r>
          </w:p>
        </w:tc>
        <w:tc>
          <w:tcPr>
            <w:tcW w:w="8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字段名称</w:t>
            </w:r>
          </w:p>
        </w:tc>
        <w:tc>
          <w:tcPr>
            <w:tcW w:w="4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字段代码</w:t>
            </w:r>
          </w:p>
        </w:tc>
        <w:tc>
          <w:tcPr>
            <w:tcW w:w="53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w:t>
            </w:r>
          </w:p>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类型</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字段长度</w:t>
            </w: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小数位数</w:t>
            </w:r>
          </w:p>
        </w:tc>
        <w:tc>
          <w:tcPr>
            <w:tcW w:w="762"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值域</w:t>
            </w: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约束条件</w:t>
            </w:r>
          </w:p>
        </w:tc>
        <w:tc>
          <w:tcPr>
            <w:tcW w:w="745"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8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标识码</w:t>
            </w:r>
          </w:p>
        </w:tc>
        <w:tc>
          <w:tcPr>
            <w:tcW w:w="4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BSM</w:t>
            </w:r>
          </w:p>
        </w:tc>
        <w:tc>
          <w:tcPr>
            <w:tcW w:w="531"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Int</w:t>
            </w:r>
          </w:p>
        </w:tc>
        <w:tc>
          <w:tcPr>
            <w:tcW w:w="374"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p>
        </w:tc>
        <w:tc>
          <w:tcPr>
            <w:tcW w:w="762" w:type="pct"/>
            <w:vAlign w:val="center"/>
          </w:tcPr>
          <w:p>
            <w:pPr>
              <w:spacing w:line="360" w:lineRule="auto"/>
              <w:rPr>
                <w:rFonts w:hint="eastAsia" w:ascii="楷体" w:hAnsi="楷体" w:eastAsia="楷体" w:cs="楷体"/>
                <w:b w:val="0"/>
                <w:bCs/>
                <w:color w:val="auto"/>
                <w:sz w:val="24"/>
                <w:szCs w:val="24"/>
                <w:highlight w:val="none"/>
              </w:rPr>
            </w:pP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45" w:type="pct"/>
            <w:vAlign w:val="center"/>
          </w:tcPr>
          <w:p>
            <w:pPr>
              <w:spacing w:line="360" w:lineRule="auto"/>
              <w:jc w:val="left"/>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8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要素代码</w:t>
            </w:r>
          </w:p>
        </w:tc>
        <w:tc>
          <w:tcPr>
            <w:tcW w:w="4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YSDM</w:t>
            </w:r>
          </w:p>
        </w:tc>
        <w:tc>
          <w:tcPr>
            <w:tcW w:w="53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p>
        </w:tc>
        <w:tc>
          <w:tcPr>
            <w:tcW w:w="762"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见表1</w:t>
            </w: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45" w:type="pct"/>
            <w:vAlign w:val="center"/>
          </w:tcPr>
          <w:p>
            <w:pPr>
              <w:spacing w:line="360" w:lineRule="auto"/>
              <w:jc w:val="left"/>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8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行政区代码</w:t>
            </w:r>
          </w:p>
        </w:tc>
        <w:tc>
          <w:tcPr>
            <w:tcW w:w="4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XZQDM</w:t>
            </w:r>
          </w:p>
        </w:tc>
        <w:tc>
          <w:tcPr>
            <w:tcW w:w="53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p>
        </w:tc>
        <w:tc>
          <w:tcPr>
            <w:tcW w:w="762"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见GB/T2260</w:t>
            </w: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45" w:type="pct"/>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8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行政区名称</w:t>
            </w:r>
          </w:p>
        </w:tc>
        <w:tc>
          <w:tcPr>
            <w:tcW w:w="4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XZQMC</w:t>
            </w:r>
          </w:p>
        </w:tc>
        <w:tc>
          <w:tcPr>
            <w:tcW w:w="53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w:t>
            </w: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p>
        </w:tc>
        <w:tc>
          <w:tcPr>
            <w:tcW w:w="762"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见GB/T2260</w:t>
            </w: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45" w:type="pct"/>
            <w:vAlign w:val="center"/>
          </w:tcPr>
          <w:p>
            <w:pPr>
              <w:spacing w:line="360" w:lineRule="auto"/>
              <w:jc w:val="left"/>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8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调查面积</w:t>
            </w:r>
          </w:p>
        </w:tc>
        <w:tc>
          <w:tcPr>
            <w:tcW w:w="4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DCMJ</w:t>
            </w:r>
          </w:p>
        </w:tc>
        <w:tc>
          <w:tcPr>
            <w:tcW w:w="53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15</w:t>
            </w: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762"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45" w:type="pct"/>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单位：m</w:t>
            </w:r>
            <w:r>
              <w:rPr>
                <w:rFonts w:hint="eastAsia" w:ascii="楷体" w:hAnsi="楷体" w:eastAsia="楷体" w:cs="楷体"/>
                <w:b w:val="0"/>
                <w:bCs/>
                <w:color w:val="auto"/>
                <w:sz w:val="24"/>
                <w:szCs w:val="24"/>
                <w:highlight w:val="none"/>
                <w:vertAlign w:val="superscript"/>
              </w:rPr>
              <w:t>2</w:t>
            </w:r>
          </w:p>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8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计算面积</w:t>
            </w:r>
          </w:p>
        </w:tc>
        <w:tc>
          <w:tcPr>
            <w:tcW w:w="4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JSMJ</w:t>
            </w:r>
          </w:p>
        </w:tc>
        <w:tc>
          <w:tcPr>
            <w:tcW w:w="53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15</w:t>
            </w: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762"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w:t>
            </w:r>
          </w:p>
        </w:tc>
        <w:tc>
          <w:tcPr>
            <w:tcW w:w="745" w:type="pct"/>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单位：m</w:t>
            </w:r>
            <w:r>
              <w:rPr>
                <w:rFonts w:hint="eastAsia" w:ascii="楷体" w:hAnsi="楷体" w:eastAsia="楷体" w:cs="楷体"/>
                <w:b w:val="0"/>
                <w:bCs/>
                <w:color w:val="auto"/>
                <w:sz w:val="24"/>
                <w:szCs w:val="24"/>
                <w:highlight w:val="none"/>
                <w:vertAlign w:val="superscript"/>
              </w:rPr>
              <w:t>2</w:t>
            </w:r>
          </w:p>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8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描述说明</w:t>
            </w:r>
          </w:p>
        </w:tc>
        <w:tc>
          <w:tcPr>
            <w:tcW w:w="4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MSSM</w:t>
            </w:r>
          </w:p>
        </w:tc>
        <w:tc>
          <w:tcPr>
            <w:tcW w:w="53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p>
        </w:tc>
        <w:tc>
          <w:tcPr>
            <w:tcW w:w="762" w:type="pct"/>
            <w:vAlign w:val="center"/>
          </w:tcPr>
          <w:p>
            <w:pPr>
              <w:spacing w:line="360" w:lineRule="auto"/>
              <w:rPr>
                <w:rFonts w:hint="eastAsia" w:ascii="楷体" w:hAnsi="楷体" w:eastAsia="楷体" w:cs="楷体"/>
                <w:b w:val="0"/>
                <w:bCs/>
                <w:color w:val="auto"/>
                <w:sz w:val="24"/>
                <w:szCs w:val="24"/>
                <w:highlight w:val="none"/>
              </w:rPr>
            </w:pP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45" w:type="pct"/>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本表注4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8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海岛名称</w:t>
            </w:r>
          </w:p>
        </w:tc>
        <w:tc>
          <w:tcPr>
            <w:tcW w:w="4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HDMC</w:t>
            </w:r>
          </w:p>
        </w:tc>
        <w:tc>
          <w:tcPr>
            <w:tcW w:w="53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w:t>
            </w: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p>
        </w:tc>
        <w:tc>
          <w:tcPr>
            <w:tcW w:w="762" w:type="pct"/>
            <w:vAlign w:val="center"/>
          </w:tcPr>
          <w:p>
            <w:pPr>
              <w:spacing w:line="360" w:lineRule="auto"/>
              <w:rPr>
                <w:rFonts w:hint="eastAsia" w:ascii="楷体" w:hAnsi="楷体" w:eastAsia="楷体" w:cs="楷体"/>
                <w:b w:val="0"/>
                <w:bCs/>
                <w:color w:val="auto"/>
                <w:sz w:val="24"/>
                <w:szCs w:val="24"/>
                <w:highlight w:val="none"/>
              </w:rPr>
            </w:pP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w:t>
            </w:r>
          </w:p>
        </w:tc>
        <w:tc>
          <w:tcPr>
            <w:tcW w:w="745" w:type="pct"/>
            <w:vAlign w:val="center"/>
          </w:tcPr>
          <w:p>
            <w:pPr>
              <w:spacing w:line="360" w:lineRule="auto"/>
              <w:jc w:val="left"/>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39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8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49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BZ</w:t>
            </w:r>
          </w:p>
        </w:tc>
        <w:tc>
          <w:tcPr>
            <w:tcW w:w="53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VarChar</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p>
        </w:tc>
        <w:tc>
          <w:tcPr>
            <w:tcW w:w="441" w:type="pct"/>
            <w:vAlign w:val="center"/>
          </w:tcPr>
          <w:p>
            <w:pPr>
              <w:spacing w:line="360" w:lineRule="auto"/>
              <w:jc w:val="center"/>
              <w:rPr>
                <w:rFonts w:hint="eastAsia" w:ascii="楷体" w:hAnsi="楷体" w:eastAsia="楷体" w:cs="楷体"/>
                <w:b w:val="0"/>
                <w:bCs/>
                <w:color w:val="auto"/>
                <w:sz w:val="24"/>
                <w:szCs w:val="24"/>
                <w:highlight w:val="none"/>
              </w:rPr>
            </w:pPr>
          </w:p>
        </w:tc>
        <w:tc>
          <w:tcPr>
            <w:tcW w:w="762" w:type="pct"/>
            <w:vAlign w:val="center"/>
          </w:tcPr>
          <w:p>
            <w:pPr>
              <w:spacing w:line="360" w:lineRule="auto"/>
              <w:rPr>
                <w:rFonts w:hint="eastAsia" w:ascii="楷体" w:hAnsi="楷体" w:eastAsia="楷体" w:cs="楷体"/>
                <w:b w:val="0"/>
                <w:bCs/>
                <w:color w:val="auto"/>
                <w:sz w:val="24"/>
                <w:szCs w:val="24"/>
                <w:highlight w:val="none"/>
              </w:rPr>
            </w:pPr>
          </w:p>
        </w:tc>
        <w:tc>
          <w:tcPr>
            <w:tcW w:w="37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745" w:type="pct"/>
            <w:vAlign w:val="center"/>
          </w:tcPr>
          <w:p>
            <w:pPr>
              <w:spacing w:line="360" w:lineRule="auto"/>
              <w:jc w:val="left"/>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000" w:type="pct"/>
            <w:gridSpan w:val="9"/>
          </w:tcPr>
          <w:p>
            <w:pPr>
              <w:pStyle w:val="164"/>
              <w:spacing w:line="360" w:lineRule="auto"/>
              <w:ind w:left="0" w:firstLine="480" w:firstLineChars="20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注1：行政区代码在现有行政区划代码的基础上详细到乡（镇、街道），即：县及县级以上行政区划代码+乡（镇、街道）代码，县及县级以上行政区划代码采用GB/T 2260中的6位数字码，乡（镇、街道）代码为3位数字码。以下行政区代码同。</w:t>
            </w:r>
          </w:p>
          <w:p>
            <w:pPr>
              <w:pStyle w:val="164"/>
              <w:spacing w:line="360" w:lineRule="auto"/>
              <w:ind w:left="0" w:firstLine="480" w:firstLineChars="20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注2：行政区代码相同的行政区要素填写其所属行政区的调查面积；行政区范围未发生变化，该行政区调查面积保持不变；县级行政区划内，所有乡级行政区调查面积之和应等于该县级行政区调查面积。</w:t>
            </w:r>
          </w:p>
          <w:p>
            <w:pPr>
              <w:pStyle w:val="164"/>
              <w:spacing w:line="360" w:lineRule="auto"/>
              <w:ind w:left="0" w:firstLine="480" w:firstLineChars="20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sz w:val="24"/>
                <w:szCs w:val="24"/>
                <w:highlight w:val="none"/>
              </w:rPr>
              <w:t>注3</w:t>
            </w:r>
            <w:r>
              <w:rPr>
                <w:rFonts w:hint="eastAsia" w:ascii="楷体" w:hAnsi="楷体" w:eastAsia="楷体" w:cs="楷体"/>
                <w:b w:val="0"/>
                <w:bCs/>
                <w:color w:val="auto"/>
                <w:kern w:val="2"/>
                <w:sz w:val="24"/>
                <w:szCs w:val="24"/>
                <w:highlight w:val="none"/>
              </w:rPr>
              <w:t>：指行政区界线坐标计算的椭球面积。本标准中所有面积字段如无特别说明，均指椭球面积。</w:t>
            </w:r>
          </w:p>
          <w:p>
            <w:pPr>
              <w:pStyle w:val="164"/>
              <w:spacing w:line="360" w:lineRule="auto"/>
              <w:ind w:left="0" w:firstLine="480" w:firstLineChars="20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注4：海岛区域填写代码01，非海岛区域填写00。</w:t>
            </w:r>
          </w:p>
        </w:tc>
      </w:tr>
    </w:tbl>
    <w:p>
      <w:pPr>
        <w:pStyle w:val="61"/>
        <w:spacing w:line="360" w:lineRule="auto"/>
        <w:ind w:firstLine="0" w:firstLineChars="0"/>
        <w:jc w:val="center"/>
        <w:rPr>
          <w:rFonts w:hint="eastAsia" w:ascii="楷体" w:hAnsi="楷体" w:eastAsia="楷体" w:cs="楷体"/>
          <w:b w:val="0"/>
          <w:bCs/>
          <w:color w:val="auto"/>
          <w:sz w:val="24"/>
          <w:szCs w:val="24"/>
          <w:highlight w:val="none"/>
        </w:rPr>
      </w:pPr>
      <w:bookmarkStart w:id="232" w:name="_Toc174503147"/>
      <w:bookmarkStart w:id="233" w:name="_Toc153598638"/>
      <w:bookmarkStart w:id="234" w:name="_Toc153781737"/>
      <w:bookmarkStart w:id="235" w:name="_Toc153787411"/>
    </w:p>
    <w:p>
      <w:pPr>
        <w:pStyle w:val="61"/>
        <w:spacing w:line="360" w:lineRule="auto"/>
        <w:ind w:firstLine="0" w:firstLineChars="0"/>
        <w:jc w:val="center"/>
        <w:rPr>
          <w:rFonts w:hint="eastAsia" w:ascii="楷体" w:hAnsi="楷体" w:eastAsia="楷体" w:cs="楷体"/>
          <w:b w:val="0"/>
          <w:bCs/>
          <w:color w:val="auto"/>
          <w:sz w:val="24"/>
          <w:szCs w:val="24"/>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5 行政区界线属性结构描述表（属性表名：XZQJX）</w:t>
      </w:r>
      <w:bookmarkEnd w:id="232"/>
      <w:bookmarkEnd w:id="233"/>
      <w:bookmarkEnd w:id="234"/>
      <w:bookmarkEnd w:id="235"/>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504"/>
        <w:gridCol w:w="804"/>
        <w:gridCol w:w="1116"/>
        <w:gridCol w:w="745"/>
        <w:gridCol w:w="834"/>
        <w:gridCol w:w="1425"/>
        <w:gridCol w:w="719"/>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序号</w:t>
            </w:r>
          </w:p>
        </w:tc>
        <w:tc>
          <w:tcPr>
            <w:tcW w:w="81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字段名称</w:t>
            </w:r>
          </w:p>
        </w:tc>
        <w:tc>
          <w:tcPr>
            <w:tcW w:w="433"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字段代码</w:t>
            </w:r>
          </w:p>
        </w:tc>
        <w:tc>
          <w:tcPr>
            <w:tcW w:w="6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字段类型</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字段长度</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小数位数</w:t>
            </w:r>
          </w:p>
        </w:tc>
        <w:tc>
          <w:tcPr>
            <w:tcW w:w="76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值域</w:t>
            </w: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约束条件</w:t>
            </w:r>
          </w:p>
        </w:tc>
        <w:tc>
          <w:tcPr>
            <w:tcW w:w="585"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568" w:type="pct"/>
            <w:vAlign w:val="center"/>
          </w:tcPr>
          <w:p>
            <w:pPr>
              <w:spacing w:line="360" w:lineRule="auto"/>
              <w:ind w:left="-61" w:leftChars="-29"/>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标识码</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BSM</w:t>
            </w:r>
          </w:p>
        </w:tc>
        <w:tc>
          <w:tcPr>
            <w:tcW w:w="601"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Int</w:t>
            </w:r>
          </w:p>
        </w:tc>
        <w:tc>
          <w:tcPr>
            <w:tcW w:w="40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585"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要素代码</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YSDM</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见表1</w:t>
            </w: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585"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界线类型</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JXLX</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585"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界线性质</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JXXZ</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585"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界线说明</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JXSM</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585"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BZ</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VarChar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585" w:type="pct"/>
            <w:vAlign w:val="center"/>
          </w:tcPr>
          <w:p>
            <w:pPr>
              <w:spacing w:line="360" w:lineRule="auto"/>
              <w:jc w:val="center"/>
              <w:rPr>
                <w:rFonts w:hint="eastAsia" w:ascii="楷体" w:hAnsi="楷体" w:eastAsia="楷体" w:cs="楷体"/>
                <w:b w:val="0"/>
                <w:bCs/>
                <w:color w:val="auto"/>
                <w:sz w:val="24"/>
                <w:szCs w:val="24"/>
                <w:highlight w:val="none"/>
              </w:rPr>
            </w:pPr>
          </w:p>
        </w:tc>
      </w:tr>
    </w:tbl>
    <w:p>
      <w:pPr>
        <w:pStyle w:val="147"/>
        <w:spacing w:line="360" w:lineRule="auto"/>
        <w:ind w:firstLine="420"/>
        <w:rPr>
          <w:rFonts w:hint="eastAsia" w:ascii="楷体" w:hAnsi="楷体" w:eastAsia="楷体" w:cs="楷体"/>
          <w:b w:val="0"/>
          <w:bCs/>
          <w:color w:val="auto"/>
          <w:sz w:val="24"/>
          <w:szCs w:val="24"/>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br w:type="page"/>
      </w: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6 村级调查区属性结构描述表（属性表名：CJDCQ）</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483"/>
        <w:gridCol w:w="1082"/>
        <w:gridCol w:w="1056"/>
        <w:gridCol w:w="679"/>
        <w:gridCol w:w="800"/>
        <w:gridCol w:w="1381"/>
        <w:gridCol w:w="68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blHeader/>
          <w:jc w:val="center"/>
        </w:trPr>
        <w:tc>
          <w:tcPr>
            <w:tcW w:w="42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序号</w:t>
            </w:r>
          </w:p>
        </w:tc>
        <w:tc>
          <w:tcPr>
            <w:tcW w:w="80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字段名称</w:t>
            </w:r>
          </w:p>
        </w:tc>
        <w:tc>
          <w:tcPr>
            <w:tcW w:w="58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字段代码</w:t>
            </w:r>
          </w:p>
        </w:tc>
        <w:tc>
          <w:tcPr>
            <w:tcW w:w="525"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w:t>
            </w:r>
          </w:p>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类型</w:t>
            </w:r>
          </w:p>
        </w:tc>
        <w:tc>
          <w:tcPr>
            <w:tcW w:w="37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字段长度</w:t>
            </w: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小数位数</w:t>
            </w:r>
          </w:p>
        </w:tc>
        <w:tc>
          <w:tcPr>
            <w:tcW w:w="749"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值域</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约束条件</w:t>
            </w:r>
          </w:p>
        </w:tc>
        <w:tc>
          <w:tcPr>
            <w:tcW w:w="732"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1" w:type="pct"/>
            <w:vAlign w:val="center"/>
          </w:tcPr>
          <w:p>
            <w:pPr>
              <w:pStyle w:val="72"/>
              <w:numPr>
                <w:ilvl w:val="0"/>
                <w:numId w:val="11"/>
              </w:numPr>
              <w:adjustRightInd w:val="0"/>
              <w:spacing w:line="360" w:lineRule="auto"/>
              <w:ind w:left="306" w:hanging="408" w:hangingChars="170"/>
              <w:jc w:val="center"/>
              <w:textAlignment w:val="baseline"/>
              <w:rPr>
                <w:rFonts w:hint="eastAsia" w:ascii="楷体" w:hAnsi="楷体" w:eastAsia="楷体" w:cs="楷体"/>
                <w:b w:val="0"/>
                <w:bCs/>
                <w:color w:val="auto"/>
                <w:sz w:val="24"/>
                <w:szCs w:val="24"/>
                <w:highlight w:val="none"/>
              </w:rPr>
            </w:pPr>
          </w:p>
        </w:tc>
        <w:tc>
          <w:tcPr>
            <w:tcW w:w="804"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标识码</w:t>
            </w:r>
          </w:p>
        </w:tc>
        <w:tc>
          <w:tcPr>
            <w:tcW w:w="58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BSM</w:t>
            </w:r>
          </w:p>
        </w:tc>
        <w:tc>
          <w:tcPr>
            <w:tcW w:w="525"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Int</w:t>
            </w:r>
          </w:p>
        </w:tc>
        <w:tc>
          <w:tcPr>
            <w:tcW w:w="37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p>
        </w:tc>
        <w:tc>
          <w:tcPr>
            <w:tcW w:w="749" w:type="pct"/>
            <w:vAlign w:val="center"/>
          </w:tcPr>
          <w:p>
            <w:pPr>
              <w:spacing w:line="360" w:lineRule="auto"/>
              <w:rPr>
                <w:rFonts w:hint="eastAsia" w:ascii="楷体" w:hAnsi="楷体" w:eastAsia="楷体" w:cs="楷体"/>
                <w:b w:val="0"/>
                <w:bCs/>
                <w:color w:val="auto"/>
                <w:sz w:val="24"/>
                <w:szCs w:val="24"/>
                <w:highlight w:val="none"/>
              </w:rPr>
            </w:pP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32"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1" w:type="pct"/>
            <w:vAlign w:val="center"/>
          </w:tcPr>
          <w:p>
            <w:pPr>
              <w:pStyle w:val="72"/>
              <w:numPr>
                <w:ilvl w:val="0"/>
                <w:numId w:val="11"/>
              </w:numPr>
              <w:adjustRightInd w:val="0"/>
              <w:spacing w:line="360" w:lineRule="auto"/>
              <w:ind w:left="306" w:hanging="408" w:hangingChars="170"/>
              <w:jc w:val="center"/>
              <w:textAlignment w:val="baseline"/>
              <w:rPr>
                <w:rFonts w:hint="eastAsia" w:ascii="楷体" w:hAnsi="楷体" w:eastAsia="楷体" w:cs="楷体"/>
                <w:b w:val="0"/>
                <w:bCs/>
                <w:color w:val="auto"/>
                <w:sz w:val="24"/>
                <w:szCs w:val="24"/>
                <w:highlight w:val="none"/>
              </w:rPr>
            </w:pPr>
          </w:p>
        </w:tc>
        <w:tc>
          <w:tcPr>
            <w:tcW w:w="804"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要素代码</w:t>
            </w:r>
          </w:p>
        </w:tc>
        <w:tc>
          <w:tcPr>
            <w:tcW w:w="58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YSDM</w:t>
            </w:r>
          </w:p>
        </w:tc>
        <w:tc>
          <w:tcPr>
            <w:tcW w:w="525"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p>
        </w:tc>
        <w:tc>
          <w:tcPr>
            <w:tcW w:w="749"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见表1</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32"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1" w:type="pct"/>
            <w:vAlign w:val="center"/>
          </w:tcPr>
          <w:p>
            <w:pPr>
              <w:pStyle w:val="72"/>
              <w:numPr>
                <w:ilvl w:val="0"/>
                <w:numId w:val="11"/>
              </w:numPr>
              <w:adjustRightInd w:val="0"/>
              <w:spacing w:line="360" w:lineRule="auto"/>
              <w:ind w:left="306" w:hanging="408" w:hangingChars="170"/>
              <w:jc w:val="center"/>
              <w:textAlignment w:val="baseline"/>
              <w:rPr>
                <w:rFonts w:hint="eastAsia" w:ascii="楷体" w:hAnsi="楷体" w:eastAsia="楷体" w:cs="楷体"/>
                <w:b w:val="0"/>
                <w:bCs/>
                <w:color w:val="auto"/>
                <w:sz w:val="24"/>
                <w:szCs w:val="24"/>
                <w:highlight w:val="none"/>
              </w:rPr>
            </w:pPr>
          </w:p>
        </w:tc>
        <w:tc>
          <w:tcPr>
            <w:tcW w:w="804"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坐落单位代码</w:t>
            </w:r>
          </w:p>
        </w:tc>
        <w:tc>
          <w:tcPr>
            <w:tcW w:w="58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ZLDWDM</w:t>
            </w:r>
          </w:p>
        </w:tc>
        <w:tc>
          <w:tcPr>
            <w:tcW w:w="525"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19</w:t>
            </w: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p>
        </w:tc>
        <w:tc>
          <w:tcPr>
            <w:tcW w:w="749"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32" w:type="pct"/>
            <w:vAlign w:val="center"/>
          </w:tcPr>
          <w:p>
            <w:pPr>
              <w:spacing w:line="360" w:lineRule="auto"/>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1" w:type="pct"/>
            <w:vAlign w:val="center"/>
          </w:tcPr>
          <w:p>
            <w:pPr>
              <w:pStyle w:val="72"/>
              <w:numPr>
                <w:ilvl w:val="0"/>
                <w:numId w:val="11"/>
              </w:numPr>
              <w:adjustRightInd w:val="0"/>
              <w:spacing w:line="360" w:lineRule="auto"/>
              <w:ind w:left="306" w:hanging="408" w:hangingChars="170"/>
              <w:jc w:val="center"/>
              <w:textAlignment w:val="baseline"/>
              <w:rPr>
                <w:rFonts w:hint="eastAsia" w:ascii="楷体" w:hAnsi="楷体" w:eastAsia="楷体" w:cs="楷体"/>
                <w:b w:val="0"/>
                <w:bCs/>
                <w:color w:val="auto"/>
                <w:sz w:val="24"/>
                <w:szCs w:val="24"/>
                <w:highlight w:val="none"/>
              </w:rPr>
            </w:pPr>
          </w:p>
        </w:tc>
        <w:tc>
          <w:tcPr>
            <w:tcW w:w="804"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坐落单位名称</w:t>
            </w:r>
          </w:p>
        </w:tc>
        <w:tc>
          <w:tcPr>
            <w:tcW w:w="58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ZLDWMC</w:t>
            </w:r>
          </w:p>
        </w:tc>
        <w:tc>
          <w:tcPr>
            <w:tcW w:w="525"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60</w:t>
            </w: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p>
        </w:tc>
        <w:tc>
          <w:tcPr>
            <w:tcW w:w="749"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32" w:type="pct"/>
            <w:vAlign w:val="center"/>
          </w:tcPr>
          <w:p>
            <w:pPr>
              <w:spacing w:line="360" w:lineRule="auto"/>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1" w:type="pct"/>
            <w:vAlign w:val="center"/>
          </w:tcPr>
          <w:p>
            <w:pPr>
              <w:pStyle w:val="72"/>
              <w:numPr>
                <w:ilvl w:val="0"/>
                <w:numId w:val="11"/>
              </w:numPr>
              <w:adjustRightInd w:val="0"/>
              <w:spacing w:line="360" w:lineRule="auto"/>
              <w:ind w:left="306" w:hanging="408" w:hangingChars="170"/>
              <w:jc w:val="center"/>
              <w:textAlignment w:val="baseline"/>
              <w:rPr>
                <w:rFonts w:hint="eastAsia" w:ascii="楷体" w:hAnsi="楷体" w:eastAsia="楷体" w:cs="楷体"/>
                <w:b w:val="0"/>
                <w:bCs/>
                <w:color w:val="auto"/>
                <w:sz w:val="24"/>
                <w:szCs w:val="24"/>
                <w:highlight w:val="none"/>
              </w:rPr>
            </w:pPr>
          </w:p>
        </w:tc>
        <w:tc>
          <w:tcPr>
            <w:tcW w:w="804"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调查面积</w:t>
            </w:r>
          </w:p>
        </w:tc>
        <w:tc>
          <w:tcPr>
            <w:tcW w:w="58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DCMJ</w:t>
            </w:r>
          </w:p>
        </w:tc>
        <w:tc>
          <w:tcPr>
            <w:tcW w:w="525"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37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15</w:t>
            </w: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749"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32" w:type="pct"/>
            <w:vAlign w:val="center"/>
          </w:tcPr>
          <w:p>
            <w:pPr>
              <w:spacing w:line="360" w:lineRule="auto"/>
              <w:jc w:val="center"/>
              <w:rPr>
                <w:rFonts w:hint="eastAsia" w:ascii="楷体" w:hAnsi="楷体" w:eastAsia="楷体" w:cs="楷体"/>
                <w:b w:val="0"/>
                <w:bCs/>
                <w:color w:val="auto"/>
                <w:sz w:val="24"/>
                <w:szCs w:val="24"/>
                <w:highlight w:val="none"/>
                <w:vertAlign w:val="superscript"/>
              </w:rPr>
            </w:pPr>
            <w:r>
              <w:rPr>
                <w:rFonts w:hint="eastAsia" w:ascii="楷体" w:hAnsi="楷体" w:eastAsia="楷体" w:cs="楷体"/>
                <w:b w:val="0"/>
                <w:bCs/>
                <w:color w:val="auto"/>
                <w:sz w:val="24"/>
                <w:szCs w:val="24"/>
                <w:highlight w:val="none"/>
              </w:rPr>
              <w:t>单位：m</w:t>
            </w:r>
            <w:r>
              <w:rPr>
                <w:rFonts w:hint="eastAsia" w:ascii="楷体" w:hAnsi="楷体" w:eastAsia="楷体" w:cs="楷体"/>
                <w:b w:val="0"/>
                <w:bCs/>
                <w:color w:val="auto"/>
                <w:sz w:val="24"/>
                <w:szCs w:val="24"/>
                <w:highlight w:val="none"/>
                <w:vertAlign w:val="superscript"/>
              </w:rPr>
              <w:t>2</w:t>
            </w:r>
          </w:p>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1" w:type="pct"/>
            <w:vAlign w:val="center"/>
          </w:tcPr>
          <w:p>
            <w:pPr>
              <w:pStyle w:val="72"/>
              <w:numPr>
                <w:ilvl w:val="0"/>
                <w:numId w:val="11"/>
              </w:numPr>
              <w:adjustRightInd w:val="0"/>
              <w:spacing w:line="360" w:lineRule="auto"/>
              <w:ind w:left="306" w:hanging="408" w:hangingChars="170"/>
              <w:jc w:val="center"/>
              <w:textAlignment w:val="baseline"/>
              <w:rPr>
                <w:rFonts w:hint="eastAsia" w:ascii="楷体" w:hAnsi="楷体" w:eastAsia="楷体" w:cs="楷体"/>
                <w:b w:val="0"/>
                <w:bCs/>
                <w:color w:val="auto"/>
                <w:sz w:val="24"/>
                <w:szCs w:val="24"/>
                <w:highlight w:val="none"/>
              </w:rPr>
            </w:pPr>
          </w:p>
        </w:tc>
        <w:tc>
          <w:tcPr>
            <w:tcW w:w="804"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计算面积</w:t>
            </w:r>
          </w:p>
        </w:tc>
        <w:tc>
          <w:tcPr>
            <w:tcW w:w="58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JSMJ</w:t>
            </w:r>
          </w:p>
        </w:tc>
        <w:tc>
          <w:tcPr>
            <w:tcW w:w="525"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37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15</w:t>
            </w: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749"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＞0</w:t>
            </w: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w:t>
            </w:r>
          </w:p>
        </w:tc>
        <w:tc>
          <w:tcPr>
            <w:tcW w:w="732"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单位：m</w:t>
            </w:r>
            <w:r>
              <w:rPr>
                <w:rFonts w:hint="eastAsia" w:ascii="楷体" w:hAnsi="楷体" w:eastAsia="楷体" w:cs="楷体"/>
                <w:b w:val="0"/>
                <w:bCs/>
                <w:color w:val="auto"/>
                <w:sz w:val="24"/>
                <w:szCs w:val="24"/>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1" w:type="pct"/>
            <w:vAlign w:val="center"/>
          </w:tcPr>
          <w:p>
            <w:pPr>
              <w:pStyle w:val="72"/>
              <w:numPr>
                <w:ilvl w:val="0"/>
                <w:numId w:val="11"/>
              </w:numPr>
              <w:adjustRightInd w:val="0"/>
              <w:spacing w:line="360" w:lineRule="auto"/>
              <w:ind w:left="306" w:hanging="408" w:hangingChars="170"/>
              <w:jc w:val="center"/>
              <w:textAlignment w:val="baseline"/>
              <w:rPr>
                <w:rFonts w:hint="eastAsia" w:ascii="楷体" w:hAnsi="楷体" w:eastAsia="楷体" w:cs="楷体"/>
                <w:b w:val="0"/>
                <w:bCs/>
                <w:color w:val="auto"/>
                <w:sz w:val="24"/>
                <w:szCs w:val="24"/>
                <w:highlight w:val="none"/>
              </w:rPr>
            </w:pPr>
          </w:p>
        </w:tc>
        <w:tc>
          <w:tcPr>
            <w:tcW w:w="804"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描述说明</w:t>
            </w:r>
          </w:p>
        </w:tc>
        <w:tc>
          <w:tcPr>
            <w:tcW w:w="58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MSSM</w:t>
            </w:r>
          </w:p>
        </w:tc>
        <w:tc>
          <w:tcPr>
            <w:tcW w:w="525"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p>
        </w:tc>
        <w:tc>
          <w:tcPr>
            <w:tcW w:w="749" w:type="pct"/>
            <w:vAlign w:val="center"/>
          </w:tcPr>
          <w:p>
            <w:pPr>
              <w:spacing w:line="360" w:lineRule="auto"/>
              <w:rPr>
                <w:rFonts w:hint="eastAsia" w:ascii="楷体" w:hAnsi="楷体" w:eastAsia="楷体" w:cs="楷体"/>
                <w:b w:val="0"/>
                <w:bCs/>
                <w:color w:val="auto"/>
                <w:sz w:val="24"/>
                <w:szCs w:val="24"/>
                <w:highlight w:val="none"/>
              </w:rPr>
            </w:pP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732"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1" w:type="pct"/>
            <w:vAlign w:val="center"/>
          </w:tcPr>
          <w:p>
            <w:pPr>
              <w:pStyle w:val="72"/>
              <w:numPr>
                <w:ilvl w:val="0"/>
                <w:numId w:val="11"/>
              </w:numPr>
              <w:adjustRightInd w:val="0"/>
              <w:spacing w:line="360" w:lineRule="auto"/>
              <w:ind w:left="306" w:hanging="408" w:hangingChars="170"/>
              <w:jc w:val="center"/>
              <w:textAlignment w:val="baseline"/>
              <w:rPr>
                <w:rFonts w:hint="eastAsia" w:ascii="楷体" w:hAnsi="楷体" w:eastAsia="楷体" w:cs="楷体"/>
                <w:b w:val="0"/>
                <w:bCs/>
                <w:color w:val="auto"/>
                <w:sz w:val="24"/>
                <w:szCs w:val="24"/>
                <w:highlight w:val="none"/>
              </w:rPr>
            </w:pPr>
          </w:p>
        </w:tc>
        <w:tc>
          <w:tcPr>
            <w:tcW w:w="804"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海岛名称</w:t>
            </w:r>
          </w:p>
        </w:tc>
        <w:tc>
          <w:tcPr>
            <w:tcW w:w="58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HDMC</w:t>
            </w:r>
          </w:p>
        </w:tc>
        <w:tc>
          <w:tcPr>
            <w:tcW w:w="525"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37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w:t>
            </w: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p>
        </w:tc>
        <w:tc>
          <w:tcPr>
            <w:tcW w:w="749" w:type="pct"/>
            <w:vAlign w:val="center"/>
          </w:tcPr>
          <w:p>
            <w:pPr>
              <w:spacing w:line="360" w:lineRule="auto"/>
              <w:rPr>
                <w:rFonts w:hint="eastAsia" w:ascii="楷体" w:hAnsi="楷体" w:eastAsia="楷体" w:cs="楷体"/>
                <w:b w:val="0"/>
                <w:bCs/>
                <w:color w:val="auto"/>
                <w:sz w:val="24"/>
                <w:szCs w:val="24"/>
                <w:highlight w:val="none"/>
              </w:rPr>
            </w:pP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w:t>
            </w:r>
          </w:p>
        </w:tc>
        <w:tc>
          <w:tcPr>
            <w:tcW w:w="732"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21" w:type="pct"/>
            <w:vAlign w:val="center"/>
          </w:tcPr>
          <w:p>
            <w:pPr>
              <w:pStyle w:val="72"/>
              <w:numPr>
                <w:ilvl w:val="0"/>
                <w:numId w:val="11"/>
              </w:numPr>
              <w:adjustRightInd w:val="0"/>
              <w:spacing w:line="360" w:lineRule="auto"/>
              <w:ind w:left="306" w:hanging="408" w:hangingChars="170"/>
              <w:jc w:val="center"/>
              <w:textAlignment w:val="baseline"/>
              <w:rPr>
                <w:rFonts w:hint="eastAsia" w:ascii="楷体" w:hAnsi="楷体" w:eastAsia="楷体" w:cs="楷体"/>
                <w:b w:val="0"/>
                <w:bCs/>
                <w:color w:val="auto"/>
                <w:sz w:val="24"/>
                <w:szCs w:val="24"/>
                <w:highlight w:val="none"/>
              </w:rPr>
            </w:pPr>
          </w:p>
        </w:tc>
        <w:tc>
          <w:tcPr>
            <w:tcW w:w="804"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58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BZ</w:t>
            </w:r>
          </w:p>
        </w:tc>
        <w:tc>
          <w:tcPr>
            <w:tcW w:w="525"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VarChar</w:t>
            </w:r>
          </w:p>
        </w:tc>
        <w:tc>
          <w:tcPr>
            <w:tcW w:w="371" w:type="pct"/>
            <w:vAlign w:val="center"/>
          </w:tcPr>
          <w:p>
            <w:pPr>
              <w:spacing w:line="360" w:lineRule="auto"/>
              <w:jc w:val="center"/>
              <w:rPr>
                <w:rFonts w:hint="eastAsia" w:ascii="楷体" w:hAnsi="楷体" w:eastAsia="楷体" w:cs="楷体"/>
                <w:b w:val="0"/>
                <w:bCs/>
                <w:color w:val="auto"/>
                <w:sz w:val="24"/>
                <w:szCs w:val="24"/>
                <w:highlight w:val="none"/>
              </w:rPr>
            </w:pPr>
          </w:p>
        </w:tc>
        <w:tc>
          <w:tcPr>
            <w:tcW w:w="436" w:type="pct"/>
            <w:vAlign w:val="center"/>
          </w:tcPr>
          <w:p>
            <w:pPr>
              <w:spacing w:line="360" w:lineRule="auto"/>
              <w:jc w:val="center"/>
              <w:rPr>
                <w:rFonts w:hint="eastAsia" w:ascii="楷体" w:hAnsi="楷体" w:eastAsia="楷体" w:cs="楷体"/>
                <w:b w:val="0"/>
                <w:bCs/>
                <w:color w:val="auto"/>
                <w:sz w:val="24"/>
                <w:szCs w:val="24"/>
                <w:highlight w:val="none"/>
              </w:rPr>
            </w:pPr>
          </w:p>
        </w:tc>
        <w:tc>
          <w:tcPr>
            <w:tcW w:w="749" w:type="pct"/>
            <w:vAlign w:val="center"/>
          </w:tcPr>
          <w:p>
            <w:pPr>
              <w:spacing w:line="360" w:lineRule="auto"/>
              <w:rPr>
                <w:rFonts w:hint="eastAsia" w:ascii="楷体" w:hAnsi="楷体" w:eastAsia="楷体" w:cs="楷体"/>
                <w:b w:val="0"/>
                <w:bCs/>
                <w:color w:val="auto"/>
                <w:sz w:val="24"/>
                <w:szCs w:val="24"/>
                <w:highlight w:val="none"/>
              </w:rPr>
            </w:pPr>
          </w:p>
        </w:tc>
        <w:tc>
          <w:tcPr>
            <w:tcW w:w="37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732"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8" w:hRule="atLeast"/>
          <w:tblHeader/>
          <w:jc w:val="center"/>
        </w:trPr>
        <w:tc>
          <w:tcPr>
            <w:tcW w:w="5000" w:type="pct"/>
            <w:gridSpan w:val="9"/>
          </w:tcPr>
          <w:p>
            <w:pPr>
              <w:pStyle w:val="164"/>
              <w:spacing w:line="360" w:lineRule="auto"/>
              <w:ind w:left="0" w:firstLine="480" w:firstLineChars="20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sz w:val="24"/>
                <w:szCs w:val="24"/>
                <w:highlight w:val="none"/>
              </w:rPr>
              <w:t>注1：①坐落单位代码填写至村级调查区，代码填写为行政村（社居委）代码+“0000000”，坐落单位名称填写村级调查区名称；</w:t>
            </w:r>
          </w:p>
          <w:p>
            <w:pPr>
              <w:pStyle w:val="164"/>
              <w:spacing w:line="360" w:lineRule="auto"/>
              <w:ind w:left="0" w:firstLine="480" w:firstLineChars="2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②乡（镇、街道）界线内，村级调查区未覆盖的区域，代码填写为乡（镇、街道）行政区代码+“9990000000”，坐落单位名称填写乡（镇、街道）行政区名称+“直属”；</w:t>
            </w:r>
          </w:p>
          <w:p>
            <w:pPr>
              <w:pStyle w:val="164"/>
              <w:spacing w:line="360" w:lineRule="auto"/>
              <w:ind w:left="0" w:firstLine="480" w:firstLineChars="2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2：坐落单位代码相同的多个村级调查区要素填写该村级调查区的总调查面积；村级调查区范围未发生变化，该村级调查区调查面积保持不变；乡级行政区划内，不同坐落单位代码对应的村级调查区调查面积之和应等于该乡级行政区调查面积。</w:t>
            </w:r>
          </w:p>
          <w:p>
            <w:pPr>
              <w:pStyle w:val="164"/>
              <w:spacing w:line="360" w:lineRule="auto"/>
              <w:ind w:left="0" w:firstLine="480" w:firstLineChars="20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注3：对于拥有多个村级调查区的海岛，海岛名称通过海岛名称+2位顺序号区分。</w:t>
            </w:r>
          </w:p>
        </w:tc>
      </w:tr>
    </w:tbl>
    <w:p>
      <w:pP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br w:type="page"/>
      </w: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7 村级调查区界线属性结构描述表（属性表名：CJDCQJX）</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504"/>
        <w:gridCol w:w="804"/>
        <w:gridCol w:w="1116"/>
        <w:gridCol w:w="745"/>
        <w:gridCol w:w="834"/>
        <w:gridCol w:w="1425"/>
        <w:gridCol w:w="719"/>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序号</w:t>
            </w:r>
          </w:p>
        </w:tc>
        <w:tc>
          <w:tcPr>
            <w:tcW w:w="810"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字段名称</w:t>
            </w:r>
          </w:p>
        </w:tc>
        <w:tc>
          <w:tcPr>
            <w:tcW w:w="433"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字段代码</w:t>
            </w:r>
          </w:p>
        </w:tc>
        <w:tc>
          <w:tcPr>
            <w:tcW w:w="6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字段类型</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字段长度</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小数位数</w:t>
            </w:r>
          </w:p>
        </w:tc>
        <w:tc>
          <w:tcPr>
            <w:tcW w:w="76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值域</w:t>
            </w: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约束条件</w:t>
            </w:r>
          </w:p>
        </w:tc>
        <w:tc>
          <w:tcPr>
            <w:tcW w:w="58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568" w:type="pct"/>
            <w:vAlign w:val="center"/>
          </w:tcPr>
          <w:p>
            <w:pPr>
              <w:spacing w:line="360" w:lineRule="auto"/>
              <w:ind w:left="-61" w:leftChars="-29"/>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标识码</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BSM</w:t>
            </w:r>
          </w:p>
        </w:tc>
        <w:tc>
          <w:tcPr>
            <w:tcW w:w="601"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Int</w:t>
            </w:r>
          </w:p>
        </w:tc>
        <w:tc>
          <w:tcPr>
            <w:tcW w:w="401" w:type="pct"/>
            <w:vAlign w:val="center"/>
          </w:tcPr>
          <w:p>
            <w:pPr>
              <w:pStyle w:val="147"/>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584"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要素代码</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YSDM</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见表1</w:t>
            </w: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584"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界线类型</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JXLX</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584"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界线性质</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JXXZ</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M</w:t>
            </w:r>
          </w:p>
        </w:tc>
        <w:tc>
          <w:tcPr>
            <w:tcW w:w="584"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界线说明</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JXSM</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100</w:t>
            </w: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584" w:type="pct"/>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56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810"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433"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BZ</w:t>
            </w:r>
          </w:p>
        </w:tc>
        <w:tc>
          <w:tcPr>
            <w:tcW w:w="601"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VarChar</w:t>
            </w:r>
          </w:p>
        </w:tc>
        <w:tc>
          <w:tcPr>
            <w:tcW w:w="401" w:type="pct"/>
            <w:vAlign w:val="center"/>
          </w:tcPr>
          <w:p>
            <w:pPr>
              <w:spacing w:line="360" w:lineRule="auto"/>
              <w:jc w:val="center"/>
              <w:rPr>
                <w:rFonts w:hint="eastAsia" w:ascii="楷体" w:hAnsi="楷体" w:eastAsia="楷体" w:cs="楷体"/>
                <w:b w:val="0"/>
                <w:bCs/>
                <w:color w:val="auto"/>
                <w:sz w:val="24"/>
                <w:szCs w:val="24"/>
                <w:highlight w:val="none"/>
              </w:rPr>
            </w:pPr>
          </w:p>
        </w:tc>
        <w:tc>
          <w:tcPr>
            <w:tcW w:w="449" w:type="pct"/>
            <w:vAlign w:val="center"/>
          </w:tcPr>
          <w:p>
            <w:pPr>
              <w:spacing w:line="360" w:lineRule="auto"/>
              <w:jc w:val="center"/>
              <w:rPr>
                <w:rFonts w:hint="eastAsia" w:ascii="楷体" w:hAnsi="楷体" w:eastAsia="楷体" w:cs="楷体"/>
                <w:b w:val="0"/>
                <w:bCs/>
                <w:color w:val="auto"/>
                <w:sz w:val="24"/>
                <w:szCs w:val="24"/>
                <w:highlight w:val="none"/>
              </w:rPr>
            </w:pPr>
          </w:p>
        </w:tc>
        <w:tc>
          <w:tcPr>
            <w:tcW w:w="767" w:type="pct"/>
            <w:vAlign w:val="center"/>
          </w:tcPr>
          <w:p>
            <w:pPr>
              <w:spacing w:line="360" w:lineRule="auto"/>
              <w:rPr>
                <w:rFonts w:hint="eastAsia" w:ascii="楷体" w:hAnsi="楷体" w:eastAsia="楷体" w:cs="楷体"/>
                <w:b w:val="0"/>
                <w:bCs/>
                <w:color w:val="auto"/>
                <w:sz w:val="24"/>
                <w:szCs w:val="24"/>
                <w:highlight w:val="none"/>
              </w:rPr>
            </w:pPr>
          </w:p>
        </w:tc>
        <w:tc>
          <w:tcPr>
            <w:tcW w:w="387"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O</w:t>
            </w:r>
          </w:p>
        </w:tc>
        <w:tc>
          <w:tcPr>
            <w:tcW w:w="584" w:type="pct"/>
            <w:vAlign w:val="center"/>
          </w:tcPr>
          <w:p>
            <w:pPr>
              <w:spacing w:line="360" w:lineRule="auto"/>
              <w:jc w:val="center"/>
              <w:rPr>
                <w:rFonts w:hint="eastAsia" w:ascii="楷体" w:hAnsi="楷体" w:eastAsia="楷体" w:cs="楷体"/>
                <w:b w:val="0"/>
                <w:bCs/>
                <w:color w:val="auto"/>
                <w:sz w:val="24"/>
                <w:szCs w:val="24"/>
                <w:highlight w:val="none"/>
              </w:rPr>
            </w:pPr>
          </w:p>
        </w:tc>
      </w:tr>
    </w:tbl>
    <w:p>
      <w:pPr>
        <w:pStyle w:val="172"/>
        <w:spacing w:line="360" w:lineRule="auto"/>
        <w:ind w:left="0"/>
        <w:rPr>
          <w:rFonts w:hint="eastAsia" w:ascii="楷体" w:hAnsi="楷体" w:eastAsia="楷体" w:cs="楷体"/>
          <w:b w:val="0"/>
          <w:bCs/>
          <w:color w:val="auto"/>
          <w:sz w:val="24"/>
          <w:szCs w:val="24"/>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br w:type="page"/>
      </w: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8青苗补偿等级区属性结构描述表（属性表名：BCBZ_QMDJQ）</w:t>
      </w:r>
    </w:p>
    <w:tbl>
      <w:tblPr>
        <w:tblStyle w:val="45"/>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969"/>
        <w:gridCol w:w="1619"/>
        <w:gridCol w:w="869"/>
        <w:gridCol w:w="846"/>
        <w:gridCol w:w="736"/>
        <w:gridCol w:w="728"/>
        <w:gridCol w:w="106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26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10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字段名称</w:t>
            </w:r>
          </w:p>
        </w:tc>
        <w:tc>
          <w:tcPr>
            <w:tcW w:w="84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代码</w:t>
            </w:r>
          </w:p>
        </w:tc>
        <w:tc>
          <w:tcPr>
            <w:tcW w:w="4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长度</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位数</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值域</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条件</w:t>
            </w:r>
          </w:p>
        </w:tc>
        <w:tc>
          <w:tcPr>
            <w:tcW w:w="6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标识码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BSM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sz w:val="24"/>
                <w:szCs w:val="24"/>
                <w:highlight w:val="none"/>
              </w:rPr>
              <w:t>Int</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sz w:val="24"/>
                <w:szCs w:val="24"/>
                <w:highlight w:val="none"/>
              </w:rPr>
              <w:t>9</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要素代码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YSDM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见表1</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restar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XZQMC</w:t>
            </w:r>
          </w:p>
        </w:tc>
        <w:tc>
          <w:tcPr>
            <w:tcW w:w="456"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青苗等级</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QMDJ</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范围描述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FWMS</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1033" w:type="pct"/>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849"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w:t>
            </w:r>
          </w:p>
        </w:tc>
        <w:tc>
          <w:tcPr>
            <w:tcW w:w="45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2" w:type="pct"/>
            <w:vAlign w:val="center"/>
          </w:tcPr>
          <w:p>
            <w:pPr>
              <w:spacing w:line="360" w:lineRule="auto"/>
              <w:jc w:val="left"/>
              <w:rPr>
                <w:rFonts w:hint="eastAsia" w:ascii="楷体" w:hAnsi="楷体" w:eastAsia="楷体" w:cs="楷体"/>
                <w:b w:val="0"/>
                <w:bCs/>
                <w:color w:val="auto"/>
                <w:kern w:val="0"/>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5000" w:type="pct"/>
            <w:gridSpan w:val="9"/>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注1：行政区代码和行政区名称填写县级名称和代码；</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注2：按照补偿标准由高到低，分别为一级区、二级区、…级区；</w:t>
            </w:r>
          </w:p>
          <w:p>
            <w:pPr>
              <w:pStyle w:val="164"/>
              <w:spacing w:line="360" w:lineRule="auto"/>
              <w:ind w:left="0" w:firstLine="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注3：描述青苗等级区域范围，如XX乡（镇）：XX村、XX村；</w:t>
            </w:r>
          </w:p>
          <w:p>
            <w:pPr>
              <w:pStyle w:val="164"/>
              <w:spacing w:line="360" w:lineRule="auto"/>
              <w:ind w:left="0" w:firstLine="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注4：以行政村为基本单元，将青苗等级一致的行政村进行合并。</w:t>
            </w:r>
          </w:p>
        </w:tc>
      </w:tr>
    </w:tbl>
    <w:p>
      <w:pPr>
        <w:spacing w:line="360" w:lineRule="auto"/>
        <w:ind w:firstLine="480" w:firstLineChars="200"/>
        <w:jc w:val="left"/>
        <w:outlineLvl w:val="9"/>
        <w:rPr>
          <w:rFonts w:hint="eastAsia" w:ascii="楷体" w:hAnsi="楷体" w:eastAsia="楷体" w:cs="楷体"/>
          <w:b w:val="0"/>
          <w:bCs/>
          <w:color w:val="auto"/>
          <w:kern w:val="0"/>
          <w:sz w:val="24"/>
          <w:szCs w:val="24"/>
          <w:highlight w:val="none"/>
        </w:rPr>
      </w:pPr>
      <w:bookmarkStart w:id="236" w:name="_Toc22055"/>
      <w:bookmarkStart w:id="237" w:name="_Toc71613715"/>
    </w:p>
    <w:p>
      <w:pPr>
        <w:spacing w:line="360" w:lineRule="auto"/>
        <w:ind w:left="0" w:leftChars="0" w:firstLine="560" w:firstLineChars="200"/>
        <w:jc w:val="left"/>
        <w:outlineLvl w:val="2"/>
        <w:rPr>
          <w:rFonts w:hint="eastAsia" w:ascii="楷体" w:hAnsi="楷体" w:eastAsia="楷体" w:cs="楷体"/>
          <w:b w:val="0"/>
          <w:bCs/>
          <w:color w:val="auto"/>
          <w:kern w:val="0"/>
          <w:sz w:val="28"/>
          <w:szCs w:val="28"/>
          <w:highlight w:val="none"/>
        </w:rPr>
      </w:pPr>
      <w:bookmarkStart w:id="238" w:name="_Toc3418"/>
      <w:r>
        <w:rPr>
          <w:rFonts w:hint="eastAsia" w:ascii="楷体" w:hAnsi="楷体" w:eastAsia="楷体" w:cs="楷体"/>
          <w:b w:val="0"/>
          <w:bCs/>
          <w:color w:val="auto"/>
          <w:kern w:val="0"/>
          <w:sz w:val="28"/>
          <w:szCs w:val="28"/>
          <w:highlight w:val="none"/>
        </w:rPr>
        <w:t>3.非空间要素属性结构表</w:t>
      </w:r>
      <w:bookmarkEnd w:id="236"/>
      <w:bookmarkEnd w:id="237"/>
      <w:bookmarkEnd w:id="238"/>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9建筑物补偿标准属性结构描述表（属性表名：BCBZ_JZW）</w:t>
      </w:r>
    </w:p>
    <w:tbl>
      <w:tblPr>
        <w:tblStyle w:val="45"/>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968"/>
        <w:gridCol w:w="1618"/>
        <w:gridCol w:w="869"/>
        <w:gridCol w:w="846"/>
        <w:gridCol w:w="734"/>
        <w:gridCol w:w="728"/>
        <w:gridCol w:w="1059"/>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58"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102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字段名称</w:t>
            </w:r>
          </w:p>
        </w:tc>
        <w:tc>
          <w:tcPr>
            <w:tcW w:w="84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代码</w:t>
            </w:r>
          </w:p>
        </w:tc>
        <w:tc>
          <w:tcPr>
            <w:tcW w:w="45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长度</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位数</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值域</w:t>
            </w: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条件</w:t>
            </w:r>
          </w:p>
        </w:tc>
        <w:tc>
          <w:tcPr>
            <w:tcW w:w="67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要素代码</w:t>
            </w:r>
          </w:p>
        </w:tc>
        <w:tc>
          <w:tcPr>
            <w:tcW w:w="84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YSDM</w:t>
            </w:r>
          </w:p>
        </w:tc>
        <w:tc>
          <w:tcPr>
            <w:tcW w:w="45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见表1</w:t>
            </w: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7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行政区代码</w:t>
            </w:r>
          </w:p>
        </w:tc>
        <w:tc>
          <w:tcPr>
            <w:tcW w:w="84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XZQDM</w:t>
            </w:r>
          </w:p>
        </w:tc>
        <w:tc>
          <w:tcPr>
            <w:tcW w:w="45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72" w:type="pct"/>
            <w:vMerge w:val="restar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行政区名称</w:t>
            </w:r>
          </w:p>
        </w:tc>
        <w:tc>
          <w:tcPr>
            <w:tcW w:w="84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XZQMC</w:t>
            </w:r>
          </w:p>
        </w:tc>
        <w:tc>
          <w:tcPr>
            <w:tcW w:w="452"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60</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72"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84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XH</w:t>
            </w:r>
          </w:p>
        </w:tc>
        <w:tc>
          <w:tcPr>
            <w:tcW w:w="45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3</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7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补偿项目</w:t>
            </w:r>
          </w:p>
        </w:tc>
        <w:tc>
          <w:tcPr>
            <w:tcW w:w="84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BCXM</w:t>
            </w:r>
          </w:p>
        </w:tc>
        <w:tc>
          <w:tcPr>
            <w:tcW w:w="45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50</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7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说明</w:t>
            </w:r>
          </w:p>
        </w:tc>
        <w:tc>
          <w:tcPr>
            <w:tcW w:w="84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SM</w:t>
            </w:r>
          </w:p>
        </w:tc>
        <w:tc>
          <w:tcPr>
            <w:tcW w:w="45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7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单位</w:t>
            </w:r>
          </w:p>
        </w:tc>
        <w:tc>
          <w:tcPr>
            <w:tcW w:w="84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DW</w:t>
            </w:r>
          </w:p>
        </w:tc>
        <w:tc>
          <w:tcPr>
            <w:tcW w:w="45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7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补偿标准</w:t>
            </w:r>
          </w:p>
        </w:tc>
        <w:tc>
          <w:tcPr>
            <w:tcW w:w="84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BCBZ</w:t>
            </w:r>
          </w:p>
        </w:tc>
        <w:tc>
          <w:tcPr>
            <w:tcW w:w="45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Float</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7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7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1024" w:type="pct"/>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84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w:t>
            </w:r>
          </w:p>
        </w:tc>
        <w:tc>
          <w:tcPr>
            <w:tcW w:w="45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0"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79" w:type="pct"/>
            <w:vAlign w:val="center"/>
          </w:tcPr>
          <w:p>
            <w:pPr>
              <w:spacing w:line="360" w:lineRule="auto"/>
              <w:jc w:val="left"/>
              <w:rPr>
                <w:rFonts w:hint="eastAsia" w:ascii="楷体" w:hAnsi="楷体" w:eastAsia="楷体" w:cs="楷体"/>
                <w:b w:val="0"/>
                <w:bCs/>
                <w:color w:val="auto"/>
                <w:kern w:val="0"/>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7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标准公布时间</w:t>
            </w:r>
          </w:p>
        </w:tc>
        <w:tc>
          <w:tcPr>
            <w:tcW w:w="84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BZGBSJ</w:t>
            </w:r>
          </w:p>
        </w:tc>
        <w:tc>
          <w:tcPr>
            <w:tcW w:w="452" w:type="pct"/>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Date</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7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8"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11</w:t>
            </w:r>
          </w:p>
        </w:tc>
        <w:tc>
          <w:tcPr>
            <w:tcW w:w="102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标准实施时间</w:t>
            </w:r>
          </w:p>
        </w:tc>
        <w:tc>
          <w:tcPr>
            <w:tcW w:w="842"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BZSSSJ</w:t>
            </w:r>
          </w:p>
        </w:tc>
        <w:tc>
          <w:tcPr>
            <w:tcW w:w="452" w:type="pct"/>
            <w:vAlign w:val="center"/>
          </w:tcPr>
          <w:p>
            <w:pPr>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Date</w:t>
            </w:r>
          </w:p>
        </w:tc>
        <w:tc>
          <w:tcPr>
            <w:tcW w:w="440"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55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72" w:type="pct"/>
            <w:vAlign w:val="center"/>
          </w:tcPr>
          <w:p>
            <w:pPr>
              <w:pStyle w:val="147"/>
              <w:spacing w:line="360" w:lineRule="auto"/>
              <w:ind w:firstLine="36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9"/>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注1：行政区代码和行政区名称填写县级名称和代码；</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注2：按照补偿涉及项目顺序编写流水号；</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kern w:val="2"/>
                <w:sz w:val="24"/>
                <w:szCs w:val="24"/>
                <w:highlight w:val="none"/>
              </w:rPr>
              <w:t>注3：</w:t>
            </w:r>
            <w:r>
              <w:rPr>
                <w:rFonts w:hint="eastAsia" w:ascii="楷体" w:hAnsi="楷体" w:eastAsia="楷体" w:cs="楷体"/>
                <w:b w:val="0"/>
                <w:bCs/>
                <w:color w:val="auto"/>
                <w:sz w:val="24"/>
                <w:szCs w:val="24"/>
                <w:highlight w:val="none"/>
              </w:rPr>
              <w:t>根据实际情况填写建筑物结构名称；</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注4：对建筑物结构名称需要加以说明的内容</w:t>
            </w:r>
            <w:r>
              <w:rPr>
                <w:rFonts w:hint="eastAsia" w:ascii="楷体" w:hAnsi="楷体" w:eastAsia="楷体" w:cs="楷体"/>
                <w:b w:val="0"/>
                <w:bCs/>
                <w:color w:val="auto"/>
                <w:kern w:val="2"/>
                <w:sz w:val="24"/>
                <w:szCs w:val="24"/>
                <w:highlight w:val="none"/>
              </w:rPr>
              <w:t>；</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注5：根据测算的补偿标准填写对应单位名称，如：元/平方米；</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注6：本表为非空间矢量数据表，各地结合实际情况，每一个补偿项目对应一个序号，具体需要增加的补偿项目，参照本表数据格式填写。</w:t>
            </w:r>
          </w:p>
        </w:tc>
      </w:tr>
    </w:tbl>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br w:type="page"/>
      </w:r>
    </w:p>
    <w:p>
      <w:pPr>
        <w:pStyle w:val="61"/>
        <w:spacing w:line="360" w:lineRule="auto"/>
        <w:ind w:firstLine="0" w:firstLineChars="0"/>
        <w:jc w:val="center"/>
        <w:rPr>
          <w:rFonts w:hint="eastAsia" w:ascii="楷体" w:hAnsi="楷体" w:eastAsia="楷体" w:cs="楷体"/>
          <w:b w:val="0"/>
          <w:bCs/>
          <w:color w:val="auto"/>
          <w:sz w:val="24"/>
          <w:szCs w:val="24"/>
          <w:highlight w:val="none"/>
        </w:rPr>
      </w:pPr>
    </w:p>
    <w:p>
      <w:pPr>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10构筑物及其他附属设施补偿标准属性结构描述表（属性表名：BCBZ_GZWFSSS）</w:t>
      </w:r>
    </w:p>
    <w:tbl>
      <w:tblPr>
        <w:tblStyle w:val="45"/>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969"/>
        <w:gridCol w:w="1619"/>
        <w:gridCol w:w="869"/>
        <w:gridCol w:w="846"/>
        <w:gridCol w:w="736"/>
        <w:gridCol w:w="728"/>
        <w:gridCol w:w="106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10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字段名称</w:t>
            </w:r>
          </w:p>
        </w:tc>
        <w:tc>
          <w:tcPr>
            <w:tcW w:w="84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代码</w:t>
            </w:r>
          </w:p>
        </w:tc>
        <w:tc>
          <w:tcPr>
            <w:tcW w:w="4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长度</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位数</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值域</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条件</w:t>
            </w:r>
          </w:p>
        </w:tc>
        <w:tc>
          <w:tcPr>
            <w:tcW w:w="6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要素代码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YSDM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见表1</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restar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XZQMC</w:t>
            </w:r>
          </w:p>
        </w:tc>
        <w:tc>
          <w:tcPr>
            <w:tcW w:w="456"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XH</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3</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补偿项目</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BCXM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50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规格</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GG</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说明</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SM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单位</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DW</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补偿标准</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BCBZ</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Float</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1033" w:type="pct"/>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849"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w:t>
            </w:r>
          </w:p>
        </w:tc>
        <w:tc>
          <w:tcPr>
            <w:tcW w:w="45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2" w:type="pct"/>
            <w:vAlign w:val="center"/>
          </w:tcPr>
          <w:p>
            <w:pPr>
              <w:spacing w:line="360" w:lineRule="auto"/>
              <w:jc w:val="left"/>
              <w:rPr>
                <w:rFonts w:hint="eastAsia" w:ascii="楷体" w:hAnsi="楷体" w:eastAsia="楷体" w:cs="楷体"/>
                <w:b w:val="0"/>
                <w:bCs/>
                <w:color w:val="auto"/>
                <w:kern w:val="0"/>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标准公布时间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BZGBSJ</w:t>
            </w:r>
          </w:p>
        </w:tc>
        <w:tc>
          <w:tcPr>
            <w:tcW w:w="456" w:type="pct"/>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标准实施时间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BZSSSJ</w:t>
            </w:r>
          </w:p>
        </w:tc>
        <w:tc>
          <w:tcPr>
            <w:tcW w:w="456" w:type="pct"/>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36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000" w:type="pct"/>
            <w:gridSpan w:val="9"/>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注1：行政区代码和行政区名称填写县级名称和代码；</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注2：按照补偿涉及项目顺序编写流水号；</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kern w:val="2"/>
                <w:sz w:val="24"/>
                <w:szCs w:val="24"/>
                <w:highlight w:val="none"/>
              </w:rPr>
              <w:t>注3：</w:t>
            </w:r>
            <w:r>
              <w:rPr>
                <w:rFonts w:hint="eastAsia" w:ascii="楷体" w:hAnsi="楷体" w:eastAsia="楷体" w:cs="楷体"/>
                <w:b w:val="0"/>
                <w:bCs/>
                <w:color w:val="auto"/>
                <w:sz w:val="24"/>
                <w:szCs w:val="24"/>
                <w:highlight w:val="none"/>
              </w:rPr>
              <w:t>根据实际情况填写构筑物及附属设施名称；</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注4：对补偿项目按规格进行填写；</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注5：对构筑物及其他附属设施需要加以说明的内容</w:t>
            </w:r>
            <w:r>
              <w:rPr>
                <w:rFonts w:hint="eastAsia" w:ascii="楷体" w:hAnsi="楷体" w:eastAsia="楷体" w:cs="楷体"/>
                <w:b w:val="0"/>
                <w:bCs/>
                <w:color w:val="auto"/>
                <w:kern w:val="2"/>
                <w:sz w:val="24"/>
                <w:szCs w:val="24"/>
                <w:highlight w:val="none"/>
              </w:rPr>
              <w:t>；</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注6：根据测算的补偿标准填写对应单位名称，如：元/平方米、元/米等；</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注7：本表为非空间矢量数据表，各地结合实际情况，每一个补偿项目对应一个序号，具体需要增加的补偿项目，参照本表数据格式填写。</w:t>
            </w:r>
          </w:p>
        </w:tc>
      </w:tr>
    </w:tbl>
    <w:p>
      <w:pPr>
        <w:pStyle w:val="172"/>
        <w:spacing w:line="360" w:lineRule="auto"/>
        <w:ind w:left="0"/>
        <w:rPr>
          <w:rFonts w:hint="eastAsia" w:ascii="楷体" w:hAnsi="楷体" w:eastAsia="楷体" w:cs="楷体"/>
          <w:b w:val="0"/>
          <w:bCs/>
          <w:color w:val="auto"/>
          <w:sz w:val="24"/>
          <w:szCs w:val="24"/>
          <w:highlight w:val="none"/>
        </w:rPr>
      </w:pPr>
    </w:p>
    <w:p>
      <w:pPr>
        <w:pStyle w:val="61"/>
        <w:spacing w:line="360" w:lineRule="auto"/>
        <w:ind w:firstLine="0" w:firstLineChars="0"/>
        <w:jc w:val="both"/>
        <w:rPr>
          <w:rFonts w:hint="eastAsia" w:ascii="楷体" w:hAnsi="楷体" w:eastAsia="楷体" w:cs="楷体"/>
          <w:b w:val="0"/>
          <w:bCs/>
          <w:color w:val="auto"/>
          <w:sz w:val="24"/>
          <w:szCs w:val="24"/>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11成片（零星）林木补偿标准属性结构描述表（属性表名：BCBZ_LM）</w:t>
      </w:r>
    </w:p>
    <w:tbl>
      <w:tblPr>
        <w:tblStyle w:val="45"/>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969"/>
        <w:gridCol w:w="1619"/>
        <w:gridCol w:w="869"/>
        <w:gridCol w:w="846"/>
        <w:gridCol w:w="736"/>
        <w:gridCol w:w="728"/>
        <w:gridCol w:w="106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10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字段名称</w:t>
            </w:r>
          </w:p>
        </w:tc>
        <w:tc>
          <w:tcPr>
            <w:tcW w:w="84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代码</w:t>
            </w:r>
          </w:p>
        </w:tc>
        <w:tc>
          <w:tcPr>
            <w:tcW w:w="4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长度</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位数</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值域</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条件</w:t>
            </w:r>
          </w:p>
        </w:tc>
        <w:tc>
          <w:tcPr>
            <w:tcW w:w="6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要素代码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YSDM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见表1</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restar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XZQMC</w:t>
            </w:r>
          </w:p>
        </w:tc>
        <w:tc>
          <w:tcPr>
            <w:tcW w:w="456"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XH</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3</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林木名称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LMMC</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50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龄组</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LZ</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说明</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SM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单位</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DW</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补偿标准</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BCBZ</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Float</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1033" w:type="pct"/>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849"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w:t>
            </w:r>
          </w:p>
        </w:tc>
        <w:tc>
          <w:tcPr>
            <w:tcW w:w="45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2" w:type="pct"/>
            <w:vAlign w:val="center"/>
          </w:tcPr>
          <w:p>
            <w:pPr>
              <w:spacing w:line="360" w:lineRule="auto"/>
              <w:jc w:val="left"/>
              <w:rPr>
                <w:rFonts w:hint="eastAsia" w:ascii="楷体" w:hAnsi="楷体" w:eastAsia="楷体" w:cs="楷体"/>
                <w:b w:val="0"/>
                <w:bCs/>
                <w:color w:val="auto"/>
                <w:kern w:val="0"/>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标准公布时间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BZGBSJ</w:t>
            </w:r>
          </w:p>
        </w:tc>
        <w:tc>
          <w:tcPr>
            <w:tcW w:w="456" w:type="pct"/>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Date</w:t>
            </w:r>
          </w:p>
        </w:tc>
        <w:tc>
          <w:tcPr>
            <w:tcW w:w="44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标准实施时间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BZSSSJ</w:t>
            </w:r>
          </w:p>
        </w:tc>
        <w:tc>
          <w:tcPr>
            <w:tcW w:w="456" w:type="pct"/>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Date</w:t>
            </w:r>
          </w:p>
        </w:tc>
        <w:tc>
          <w:tcPr>
            <w:tcW w:w="44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5000" w:type="pct"/>
            <w:gridSpan w:val="9"/>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注1：行政区代码和行政区名称填写县级名称和代码；</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注2：按照补偿涉及林木名称顺序编写流水号；</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kern w:val="2"/>
                <w:sz w:val="24"/>
                <w:szCs w:val="24"/>
                <w:highlight w:val="none"/>
              </w:rPr>
              <w:t>注3：</w:t>
            </w:r>
            <w:r>
              <w:rPr>
                <w:rFonts w:hint="eastAsia" w:ascii="楷体" w:hAnsi="楷体" w:eastAsia="楷体" w:cs="楷体"/>
                <w:b w:val="0"/>
                <w:bCs/>
                <w:color w:val="auto"/>
                <w:sz w:val="24"/>
                <w:szCs w:val="24"/>
                <w:highlight w:val="none"/>
              </w:rPr>
              <w:t>根据实际情况填写林木名称；</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注4：根据国家林业局发布实施的《主要树种龄级与龄组划分》（LY/T 2908-2017）标准，主要针对用材林（竹林和乔木林）按龄组划分进行补偿。</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注5：根据实际情况并结合相关标准进行填写</w:t>
            </w:r>
            <w:r>
              <w:rPr>
                <w:rFonts w:hint="eastAsia" w:ascii="楷体" w:hAnsi="楷体" w:eastAsia="楷体" w:cs="楷体"/>
                <w:b w:val="0"/>
                <w:bCs/>
                <w:color w:val="auto"/>
                <w:kern w:val="2"/>
                <w:sz w:val="24"/>
                <w:szCs w:val="24"/>
                <w:highlight w:val="none"/>
              </w:rPr>
              <w:t>；</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注6：根据测算的补偿标准填写对应单位名称，如：元/亩，元/株；</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注7：本表为非空间矢量数据表，各地结合实际情况，每一种林木名称对应一个序号，具体需要增加的林木名称，参照本表数据格式填写。</w:t>
            </w:r>
          </w:p>
        </w:tc>
      </w:tr>
    </w:tbl>
    <w:p>
      <w:pPr>
        <w:pStyle w:val="61"/>
        <w:spacing w:line="360" w:lineRule="auto"/>
        <w:ind w:firstLine="0" w:firstLineChars="0"/>
        <w:jc w:val="both"/>
        <w:rPr>
          <w:rFonts w:hint="eastAsia" w:ascii="楷体" w:hAnsi="楷体" w:eastAsia="楷体" w:cs="楷体"/>
          <w:b w:val="0"/>
          <w:bCs/>
          <w:color w:val="auto"/>
          <w:sz w:val="24"/>
          <w:szCs w:val="24"/>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12成片（零星）果木补偿标准属性结构描述表（属性表名：BCBZ_GM）</w:t>
      </w:r>
    </w:p>
    <w:tbl>
      <w:tblPr>
        <w:tblStyle w:val="45"/>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969"/>
        <w:gridCol w:w="1619"/>
        <w:gridCol w:w="869"/>
        <w:gridCol w:w="846"/>
        <w:gridCol w:w="736"/>
        <w:gridCol w:w="728"/>
        <w:gridCol w:w="106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10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字段名称</w:t>
            </w:r>
          </w:p>
        </w:tc>
        <w:tc>
          <w:tcPr>
            <w:tcW w:w="84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代码</w:t>
            </w:r>
          </w:p>
        </w:tc>
        <w:tc>
          <w:tcPr>
            <w:tcW w:w="4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长度</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位数</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值域</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条件</w:t>
            </w:r>
          </w:p>
        </w:tc>
        <w:tc>
          <w:tcPr>
            <w:tcW w:w="6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要素代码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YSDM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见表1</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restar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XZQMC</w:t>
            </w:r>
          </w:p>
        </w:tc>
        <w:tc>
          <w:tcPr>
            <w:tcW w:w="456"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XH</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3</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果木名称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GMMC</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50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龄组</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LZ</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说明</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SM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单位</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DW</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补偿标准</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BCBZ</w:t>
            </w:r>
          </w:p>
        </w:tc>
        <w:tc>
          <w:tcPr>
            <w:tcW w:w="456"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1033" w:type="pct"/>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2" w:type="pct"/>
            <w:vAlign w:val="center"/>
          </w:tcPr>
          <w:p>
            <w:pPr>
              <w:spacing w:line="360" w:lineRule="auto"/>
              <w:jc w:val="left"/>
              <w:rPr>
                <w:rFonts w:hint="eastAsia" w:ascii="楷体" w:hAnsi="楷体" w:eastAsia="楷体" w:cs="楷体"/>
                <w:b w:val="0"/>
                <w:bCs/>
                <w:color w:val="auto"/>
                <w:kern w:val="0"/>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标准公布时间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BZGBSJ</w:t>
            </w:r>
          </w:p>
        </w:tc>
        <w:tc>
          <w:tcPr>
            <w:tcW w:w="456"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标准实施时间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BZSSSJ</w:t>
            </w:r>
          </w:p>
        </w:tc>
        <w:tc>
          <w:tcPr>
            <w:tcW w:w="456"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36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9"/>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注1：行政区代码和行政区名称填写县级名称和代码；</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注2：按照补偿涉及项目顺序编写流水号；</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kern w:val="2"/>
                <w:sz w:val="24"/>
                <w:szCs w:val="24"/>
                <w:highlight w:val="none"/>
              </w:rPr>
              <w:t>注3：</w:t>
            </w:r>
            <w:r>
              <w:rPr>
                <w:rFonts w:hint="eastAsia" w:ascii="楷体" w:hAnsi="楷体" w:eastAsia="楷体" w:cs="楷体"/>
                <w:b w:val="0"/>
                <w:bCs/>
                <w:color w:val="auto"/>
                <w:sz w:val="24"/>
                <w:szCs w:val="24"/>
                <w:highlight w:val="none"/>
              </w:rPr>
              <w:t>根据实际情况填写果木名称；</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注4：根据国家林业局发布实施的《主要树种龄级与龄组划分》（LY/T 2908-2017）标准，主要针对经济林按龄组划分进行补偿；</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注5：根据各地实际情况并结合相关标准进行填写；</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注6：根据测算的补偿标准填写对应单位名称，如：元/亩，元/株；</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注7：本表为非空间矢量数据表，各地结合实际情况，每一种果木名称对应一个序号，具体需要增加的果木名称，参照本表数据格式填写。</w:t>
            </w:r>
          </w:p>
        </w:tc>
      </w:tr>
    </w:tbl>
    <w:p>
      <w:pPr>
        <w:pStyle w:val="172"/>
        <w:spacing w:line="360" w:lineRule="auto"/>
        <w:ind w:left="0"/>
        <w:rPr>
          <w:rFonts w:hint="eastAsia" w:ascii="楷体" w:hAnsi="楷体" w:eastAsia="楷体" w:cs="楷体"/>
          <w:b w:val="0"/>
          <w:bCs/>
          <w:color w:val="auto"/>
          <w:sz w:val="24"/>
          <w:szCs w:val="24"/>
          <w:highlight w:val="none"/>
        </w:rPr>
      </w:pPr>
    </w:p>
    <w:p>
      <w:pPr>
        <w:pStyle w:val="61"/>
        <w:spacing w:line="360" w:lineRule="auto"/>
        <w:ind w:firstLine="0" w:firstLineChars="0"/>
        <w:jc w:val="both"/>
        <w:rPr>
          <w:rFonts w:hint="eastAsia" w:ascii="楷体" w:hAnsi="楷体" w:eastAsia="楷体" w:cs="楷体"/>
          <w:b w:val="0"/>
          <w:bCs/>
          <w:color w:val="auto"/>
          <w:sz w:val="24"/>
          <w:szCs w:val="24"/>
          <w:highlight w:val="none"/>
        </w:rPr>
      </w:pP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13其他林木（果木）补偿标准属性结构描述表（属性表名：BCBZ_QT）</w:t>
      </w:r>
    </w:p>
    <w:tbl>
      <w:tblPr>
        <w:tblStyle w:val="45"/>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969"/>
        <w:gridCol w:w="1619"/>
        <w:gridCol w:w="869"/>
        <w:gridCol w:w="846"/>
        <w:gridCol w:w="736"/>
        <w:gridCol w:w="728"/>
        <w:gridCol w:w="106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10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字段名称</w:t>
            </w:r>
          </w:p>
        </w:tc>
        <w:tc>
          <w:tcPr>
            <w:tcW w:w="84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代码</w:t>
            </w:r>
          </w:p>
        </w:tc>
        <w:tc>
          <w:tcPr>
            <w:tcW w:w="4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长度</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位数</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值域</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条件</w:t>
            </w:r>
          </w:p>
        </w:tc>
        <w:tc>
          <w:tcPr>
            <w:tcW w:w="6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要素代码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YSDM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见表1</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restar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XZQMC</w:t>
            </w:r>
          </w:p>
        </w:tc>
        <w:tc>
          <w:tcPr>
            <w:tcW w:w="456"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XH</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3</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林木（果木）名称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LGMC</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50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生长期</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SZQ</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说明</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SM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单位</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DW</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补偿标准</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BCBZ</w:t>
            </w:r>
          </w:p>
        </w:tc>
        <w:tc>
          <w:tcPr>
            <w:tcW w:w="456" w:type="pct"/>
            <w:vAlign w:val="center"/>
          </w:tcPr>
          <w:p>
            <w:pPr>
              <w:pStyle w:val="147"/>
              <w:spacing w:line="360" w:lineRule="auto"/>
              <w:ind w:firstLine="0" w:firstLineChars="0"/>
              <w:rPr>
                <w:rFonts w:hint="eastAsia" w:ascii="楷体" w:hAnsi="楷体" w:eastAsia="楷体" w:cs="楷体"/>
                <w:b w:val="0"/>
                <w:bCs/>
                <w:color w:val="auto"/>
                <w:sz w:val="24"/>
                <w:szCs w:val="24"/>
                <w:highlight w:val="none"/>
              </w:rPr>
            </w:pPr>
            <w:r>
              <w:rPr>
                <w:rFonts w:hint="eastAsia" w:ascii="楷体" w:hAnsi="楷体" w:eastAsia="楷体" w:cs="楷体"/>
                <w:b w:val="0"/>
                <w:bCs/>
                <w:color w:val="auto"/>
                <w:kern w:val="2"/>
                <w:sz w:val="24"/>
                <w:szCs w:val="24"/>
                <w:highlight w:val="none"/>
              </w:rPr>
              <w:t>Float</w:t>
            </w:r>
          </w:p>
        </w:tc>
        <w:tc>
          <w:tcPr>
            <w:tcW w:w="444"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15</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1033" w:type="pct"/>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849"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w:t>
            </w:r>
          </w:p>
        </w:tc>
        <w:tc>
          <w:tcPr>
            <w:tcW w:w="45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2" w:type="pct"/>
            <w:vAlign w:val="center"/>
          </w:tcPr>
          <w:p>
            <w:pPr>
              <w:spacing w:line="360" w:lineRule="auto"/>
              <w:jc w:val="left"/>
              <w:rPr>
                <w:rFonts w:hint="eastAsia" w:ascii="楷体" w:hAnsi="楷体" w:eastAsia="楷体" w:cs="楷体"/>
                <w:b w:val="0"/>
                <w:bCs/>
                <w:color w:val="auto"/>
                <w:kern w:val="0"/>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标准公布时间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BZGBSJ</w:t>
            </w:r>
          </w:p>
        </w:tc>
        <w:tc>
          <w:tcPr>
            <w:tcW w:w="456"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标准实施时间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BZSSSJ</w:t>
            </w:r>
          </w:p>
        </w:tc>
        <w:tc>
          <w:tcPr>
            <w:tcW w:w="456"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36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注1：行政区代码和行政区名称填写县级名称和代码；</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注2：按照补偿涉及项目顺序编写流水号；</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kern w:val="2"/>
                <w:sz w:val="24"/>
                <w:szCs w:val="24"/>
                <w:highlight w:val="none"/>
              </w:rPr>
              <w:t>注3：</w:t>
            </w:r>
            <w:r>
              <w:rPr>
                <w:rFonts w:hint="eastAsia" w:ascii="楷体" w:hAnsi="楷体" w:eastAsia="楷体" w:cs="楷体"/>
                <w:b w:val="0"/>
                <w:bCs/>
                <w:color w:val="auto"/>
                <w:sz w:val="24"/>
                <w:szCs w:val="24"/>
                <w:highlight w:val="none"/>
              </w:rPr>
              <w:t>根据实际情况填写林木（果木）名称；</w:t>
            </w:r>
          </w:p>
          <w:p>
            <w:pPr>
              <w:pStyle w:val="164"/>
              <w:spacing w:line="360" w:lineRule="auto"/>
              <w:ind w:left="0" w:firstLine="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sz w:val="24"/>
                <w:szCs w:val="24"/>
                <w:highlight w:val="none"/>
              </w:rPr>
              <w:t>注4：生</w:t>
            </w:r>
            <w:r>
              <w:rPr>
                <w:rFonts w:hint="eastAsia" w:ascii="楷体" w:hAnsi="楷体" w:eastAsia="楷体" w:cs="楷体"/>
                <w:b w:val="0"/>
                <w:bCs/>
                <w:color w:val="auto"/>
                <w:kern w:val="2"/>
                <w:sz w:val="24"/>
                <w:szCs w:val="24"/>
                <w:highlight w:val="none"/>
              </w:rPr>
              <w:t>长期主要针对各种林木（果木）的生长情况填写；</w:t>
            </w:r>
          </w:p>
          <w:p>
            <w:pPr>
              <w:pStyle w:val="164"/>
              <w:spacing w:line="360" w:lineRule="auto"/>
              <w:ind w:left="0" w:firstLine="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注5：根据林木（果木）现行补偿标方式以及各地实际情况进行说明，如：可根据林木（果木）的树高、胸径、冠福、定植年限等方式；</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注6：根据测算的补偿标准填写对应单位名称，如：元/亩，元/株；</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注7：本表为非空间矢量数据表，各地结合实际情况，每一中林木（果木）名称对应一个序号，具体需要增加的林木（果木）名称，参照本表数据格式填写。</w:t>
            </w:r>
          </w:p>
        </w:tc>
      </w:tr>
    </w:tbl>
    <w:p>
      <w:pPr>
        <w:widowControl/>
        <w:spacing w:line="360" w:lineRule="auto"/>
        <w:jc w:val="left"/>
        <w:rPr>
          <w:rFonts w:hint="eastAsia" w:ascii="楷体" w:hAnsi="楷体" w:eastAsia="楷体" w:cs="楷体"/>
          <w:b w:val="0"/>
          <w:bCs/>
          <w:color w:val="auto"/>
          <w:kern w:val="0"/>
          <w:sz w:val="24"/>
          <w:szCs w:val="24"/>
          <w:highlight w:val="none"/>
        </w:rPr>
      </w:pPr>
    </w:p>
    <w:p>
      <w:pPr>
        <w:widowControl/>
        <w:spacing w:line="360" w:lineRule="auto"/>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kern w:val="0"/>
          <w:sz w:val="24"/>
          <w:szCs w:val="24"/>
          <w:highlight w:val="none"/>
        </w:rPr>
        <w:br w:type="page"/>
      </w: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14坟墓迁移补偿标准属性结构描述表（属性表名：BCBZ_FMQY）</w:t>
      </w:r>
    </w:p>
    <w:tbl>
      <w:tblPr>
        <w:tblStyle w:val="45"/>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969"/>
        <w:gridCol w:w="1619"/>
        <w:gridCol w:w="869"/>
        <w:gridCol w:w="846"/>
        <w:gridCol w:w="736"/>
        <w:gridCol w:w="728"/>
        <w:gridCol w:w="106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10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字段名称</w:t>
            </w:r>
          </w:p>
        </w:tc>
        <w:tc>
          <w:tcPr>
            <w:tcW w:w="84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代码</w:t>
            </w:r>
          </w:p>
        </w:tc>
        <w:tc>
          <w:tcPr>
            <w:tcW w:w="4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长度</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位数</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值域</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条件</w:t>
            </w:r>
          </w:p>
        </w:tc>
        <w:tc>
          <w:tcPr>
            <w:tcW w:w="6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要素代码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YSDM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见表1</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restar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XZQMC</w:t>
            </w:r>
          </w:p>
        </w:tc>
        <w:tc>
          <w:tcPr>
            <w:tcW w:w="456"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XH</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3</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LX</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50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说明</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SM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单位</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DW</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补偿标准</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BCBZ</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Float</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1033" w:type="pct"/>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849"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2" w:type="pct"/>
            <w:vAlign w:val="center"/>
          </w:tcPr>
          <w:p>
            <w:pPr>
              <w:spacing w:line="360" w:lineRule="auto"/>
              <w:jc w:val="left"/>
              <w:rPr>
                <w:rFonts w:hint="eastAsia" w:ascii="楷体" w:hAnsi="楷体" w:eastAsia="楷体" w:cs="楷体"/>
                <w:b w:val="0"/>
                <w:bCs/>
                <w:color w:val="auto"/>
                <w:kern w:val="0"/>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标准公布时间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BZGBSJ</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标准实施时间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BZSSSJ</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36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5000" w:type="pct"/>
            <w:gridSpan w:val="9"/>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注1：行政区代码和行政区名称填写县级名称和代码；</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注2：按照坟墓类型顺序编写流水号；</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注3：根据实际情况填写坟墓类型名称；</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注4：主要依据各地实际情况对坟墓类型进行说明；</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注5：根据测算的补偿标准填写对应单位名称，如：元/冢；</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注6：本表为非空间矢量数据表，各地结合实际情况，每一种补偿类型对应一个序号，具体需要增加的补偿类型，参照本表数据格式填写。</w:t>
            </w:r>
          </w:p>
        </w:tc>
      </w:tr>
    </w:tbl>
    <w:p>
      <w:pPr>
        <w:pStyle w:val="61"/>
        <w:spacing w:line="360" w:lineRule="auto"/>
        <w:ind w:firstLine="0" w:firstLineChars="0"/>
        <w:jc w:val="center"/>
        <w:rPr>
          <w:rFonts w:hint="eastAsia" w:ascii="楷体" w:hAnsi="楷体" w:eastAsia="楷体" w:cs="楷体"/>
          <w:b w:val="0"/>
          <w:bCs/>
          <w:color w:val="auto"/>
          <w:sz w:val="24"/>
          <w:szCs w:val="24"/>
          <w:highlight w:val="none"/>
        </w:rPr>
      </w:pPr>
    </w:p>
    <w:p>
      <w:pPr>
        <w:pStyle w:val="61"/>
        <w:spacing w:line="360" w:lineRule="auto"/>
        <w:ind w:firstLine="60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br w:type="page"/>
      </w: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15青苗补偿标准(分作物)属性结构描述表（属性表名：BCBZ_QMZW）</w:t>
      </w:r>
    </w:p>
    <w:tbl>
      <w:tblPr>
        <w:tblStyle w:val="45"/>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969"/>
        <w:gridCol w:w="1619"/>
        <w:gridCol w:w="869"/>
        <w:gridCol w:w="846"/>
        <w:gridCol w:w="736"/>
        <w:gridCol w:w="728"/>
        <w:gridCol w:w="1060"/>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26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10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字段名称</w:t>
            </w:r>
          </w:p>
        </w:tc>
        <w:tc>
          <w:tcPr>
            <w:tcW w:w="84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代码</w:t>
            </w:r>
          </w:p>
        </w:tc>
        <w:tc>
          <w:tcPr>
            <w:tcW w:w="4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长度</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位数</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值域</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条件</w:t>
            </w:r>
          </w:p>
        </w:tc>
        <w:tc>
          <w:tcPr>
            <w:tcW w:w="633"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要素代码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YSDM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见表1</w:t>
            </w: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行政区代码</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XZQDM</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restar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XZQMC</w:t>
            </w:r>
          </w:p>
        </w:tc>
        <w:tc>
          <w:tcPr>
            <w:tcW w:w="456"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青苗等级</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QMDJ</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作物类型</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ZWLX</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作物名称</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ZWMC</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50</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补偿标准</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BCBZ</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Float</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82"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1033" w:type="pct"/>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849"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44"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82" w:type="pct"/>
            <w:vAlign w:val="center"/>
          </w:tcPr>
          <w:p>
            <w:pPr>
              <w:spacing w:line="360" w:lineRule="auto"/>
              <w:jc w:val="left"/>
              <w:rPr>
                <w:rFonts w:hint="eastAsia" w:ascii="楷体" w:hAnsi="楷体" w:eastAsia="楷体" w:cs="楷体"/>
                <w:b w:val="0"/>
                <w:bCs/>
                <w:color w:val="auto"/>
                <w:kern w:val="0"/>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633"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标准公布时间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BZGBSJ</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61"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1033"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标准实施时间</w:t>
            </w:r>
          </w:p>
        </w:tc>
        <w:tc>
          <w:tcPr>
            <w:tcW w:w="849"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BZSSSJ</w:t>
            </w:r>
          </w:p>
        </w:tc>
        <w:tc>
          <w:tcPr>
            <w:tcW w:w="456"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Date</w:t>
            </w:r>
          </w:p>
        </w:tc>
        <w:tc>
          <w:tcPr>
            <w:tcW w:w="44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82"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633" w:type="pct"/>
            <w:vAlign w:val="center"/>
          </w:tcPr>
          <w:p>
            <w:pPr>
              <w:pStyle w:val="147"/>
              <w:spacing w:line="360" w:lineRule="auto"/>
              <w:ind w:firstLine="36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5000" w:type="pct"/>
            <w:gridSpan w:val="9"/>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注1：行政区代码和行政区名称填写县级名称和代码；</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注2：填写已划定的等级区级别；</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kern w:val="2"/>
                <w:sz w:val="24"/>
                <w:szCs w:val="24"/>
                <w:highlight w:val="none"/>
              </w:rPr>
              <w:t>注3：</w:t>
            </w:r>
            <w:r>
              <w:rPr>
                <w:rFonts w:hint="eastAsia" w:ascii="楷体" w:hAnsi="楷体" w:eastAsia="楷体" w:cs="楷体"/>
                <w:b w:val="0"/>
                <w:bCs/>
                <w:color w:val="auto"/>
                <w:sz w:val="24"/>
                <w:szCs w:val="24"/>
                <w:highlight w:val="none"/>
              </w:rPr>
              <w:t>填写粮食作物、经济作物、蔬菜瓜果类作物和其他作物；</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注4：填写作物实际名称（学名）；</w:t>
            </w:r>
          </w:p>
          <w:p>
            <w:pPr>
              <w:pStyle w:val="164"/>
              <w:spacing w:line="360" w:lineRule="auto"/>
              <w:ind w:left="0" w:firstLine="0"/>
              <w:rPr>
                <w:rFonts w:hint="eastAsia" w:ascii="楷体" w:hAnsi="楷体" w:eastAsia="楷体" w:cs="楷体"/>
                <w:b w:val="0"/>
                <w:bCs/>
                <w:color w:val="auto"/>
                <w:sz w:val="24"/>
                <w:szCs w:val="24"/>
                <w:highlight w:val="none"/>
              </w:rPr>
            </w:pPr>
            <w:r>
              <w:rPr>
                <w:rFonts w:hint="eastAsia" w:ascii="楷体" w:hAnsi="楷体" w:eastAsia="楷体" w:cs="楷体"/>
                <w:b w:val="0"/>
                <w:bCs/>
                <w:color w:val="auto"/>
                <w:kern w:val="2"/>
                <w:sz w:val="24"/>
                <w:szCs w:val="24"/>
                <w:highlight w:val="none"/>
              </w:rPr>
              <w:t>注5：本表为非空间矢量数据表，各地结合实际情况，具体需要增加的补偿作物名称，参照本表数据格式填写。</w:t>
            </w:r>
          </w:p>
        </w:tc>
      </w:tr>
    </w:tbl>
    <w:p>
      <w:pP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br w:type="page"/>
      </w:r>
    </w:p>
    <w:p>
      <w:pPr>
        <w:pStyle w:val="61"/>
        <w:spacing w:line="360" w:lineRule="auto"/>
        <w:ind w:firstLine="0" w:firstLineChars="0"/>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表</w:t>
      </w:r>
      <w:r>
        <w:rPr>
          <w:rFonts w:hint="eastAsia" w:ascii="楷体" w:hAnsi="楷体" w:eastAsia="楷体" w:cs="楷体"/>
          <w:b w:val="0"/>
          <w:bCs/>
          <w:color w:val="auto"/>
          <w:sz w:val="24"/>
          <w:szCs w:val="24"/>
          <w:highlight w:val="none"/>
          <w:lang w:val="en-US" w:eastAsia="zh-CN"/>
        </w:rPr>
        <w:t>7-</w:t>
      </w:r>
      <w:r>
        <w:rPr>
          <w:rFonts w:hint="eastAsia" w:ascii="楷体" w:hAnsi="楷体" w:eastAsia="楷体" w:cs="楷体"/>
          <w:b w:val="0"/>
          <w:bCs/>
          <w:color w:val="auto"/>
          <w:sz w:val="24"/>
          <w:szCs w:val="24"/>
          <w:highlight w:val="none"/>
        </w:rPr>
        <w:t>16青苗补偿标准（分地类）属性结构描述表（属性表名：BCBZ_QMDL）</w:t>
      </w:r>
    </w:p>
    <w:tbl>
      <w:tblPr>
        <w:tblStyle w:val="45"/>
        <w:tblW w:w="52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70"/>
        <w:gridCol w:w="1618"/>
        <w:gridCol w:w="869"/>
        <w:gridCol w:w="846"/>
        <w:gridCol w:w="735"/>
        <w:gridCol w:w="728"/>
        <w:gridCol w:w="106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blHeader/>
          <w:jc w:val="center"/>
        </w:trPr>
        <w:tc>
          <w:tcPr>
            <w:tcW w:w="25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序号</w:t>
            </w:r>
          </w:p>
        </w:tc>
        <w:tc>
          <w:tcPr>
            <w:tcW w:w="1015"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字段名称</w:t>
            </w:r>
          </w:p>
        </w:tc>
        <w:tc>
          <w:tcPr>
            <w:tcW w:w="834"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代码</w:t>
            </w:r>
          </w:p>
        </w:tc>
        <w:tc>
          <w:tcPr>
            <w:tcW w:w="448"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类型</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字段</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长度</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小数</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位数</w:t>
            </w:r>
          </w:p>
        </w:tc>
        <w:tc>
          <w:tcPr>
            <w:tcW w:w="375"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值域</w:t>
            </w: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约束</w:t>
            </w:r>
          </w:p>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条件</w:t>
            </w:r>
          </w:p>
        </w:tc>
        <w:tc>
          <w:tcPr>
            <w:tcW w:w="711"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w:t>
            </w:r>
          </w:p>
        </w:tc>
        <w:tc>
          <w:tcPr>
            <w:tcW w:w="101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要素代码</w:t>
            </w: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YSDM</w:t>
            </w:r>
          </w:p>
        </w:tc>
        <w:tc>
          <w:tcPr>
            <w:tcW w:w="448"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见表1</w:t>
            </w: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2</w:t>
            </w:r>
          </w:p>
        </w:tc>
        <w:tc>
          <w:tcPr>
            <w:tcW w:w="101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行政区代码</w:t>
            </w: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XZQDM</w:t>
            </w:r>
          </w:p>
        </w:tc>
        <w:tc>
          <w:tcPr>
            <w:tcW w:w="448"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Merge w:val="restar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见本表注1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3</w:t>
            </w:r>
          </w:p>
        </w:tc>
        <w:tc>
          <w:tcPr>
            <w:tcW w:w="101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行政区名称</w:t>
            </w: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XZQMC</w:t>
            </w:r>
          </w:p>
        </w:tc>
        <w:tc>
          <w:tcPr>
            <w:tcW w:w="448" w:type="pct"/>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Char</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60</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Merge w:val="continue"/>
            <w:vAlign w:val="center"/>
          </w:tcPr>
          <w:p>
            <w:pPr>
              <w:spacing w:line="360" w:lineRule="auto"/>
              <w:jc w:val="center"/>
              <w:rPr>
                <w:rFonts w:hint="eastAsia" w:ascii="楷体" w:hAnsi="楷体" w:eastAsia="楷体" w:cs="楷体"/>
                <w:b w:val="0"/>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4</w:t>
            </w:r>
          </w:p>
        </w:tc>
        <w:tc>
          <w:tcPr>
            <w:tcW w:w="101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青苗等级</w:t>
            </w: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QMDJ</w:t>
            </w:r>
          </w:p>
        </w:tc>
        <w:tc>
          <w:tcPr>
            <w:tcW w:w="448"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Char</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10</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5</w:t>
            </w:r>
          </w:p>
        </w:tc>
        <w:tc>
          <w:tcPr>
            <w:tcW w:w="101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水田补偿标准</w:t>
            </w: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STBCBZ</w:t>
            </w:r>
          </w:p>
        </w:tc>
        <w:tc>
          <w:tcPr>
            <w:tcW w:w="448"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sz w:val="24"/>
                <w:szCs w:val="24"/>
                <w:highlight w:val="none"/>
              </w:rPr>
              <w:t>Float</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7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6</w:t>
            </w:r>
          </w:p>
        </w:tc>
        <w:tc>
          <w:tcPr>
            <w:tcW w:w="101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旱地补偿标准</w:t>
            </w: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HDBCBZ</w:t>
            </w:r>
          </w:p>
        </w:tc>
        <w:tc>
          <w:tcPr>
            <w:tcW w:w="448"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sz w:val="24"/>
                <w:szCs w:val="24"/>
                <w:highlight w:val="none"/>
              </w:rPr>
              <w:t>Float</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7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7</w:t>
            </w:r>
          </w:p>
        </w:tc>
        <w:tc>
          <w:tcPr>
            <w:tcW w:w="101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水浇地补偿标准</w:t>
            </w: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SJDBCBZ</w:t>
            </w:r>
          </w:p>
        </w:tc>
        <w:tc>
          <w:tcPr>
            <w:tcW w:w="44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75"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w:t>
            </w:r>
          </w:p>
        </w:tc>
        <w:tc>
          <w:tcPr>
            <w:tcW w:w="1015"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44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Float</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15</w:t>
            </w: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2</w:t>
            </w:r>
          </w:p>
        </w:tc>
        <w:tc>
          <w:tcPr>
            <w:tcW w:w="375"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见本表注3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8</w:t>
            </w:r>
          </w:p>
        </w:tc>
        <w:tc>
          <w:tcPr>
            <w:tcW w:w="1015" w:type="pct"/>
            <w:vAlign w:val="center"/>
          </w:tcPr>
          <w:p>
            <w:pPr>
              <w:pStyle w:val="147"/>
              <w:spacing w:line="360" w:lineRule="auto"/>
              <w:ind w:firstLine="0" w:firstLineChars="0"/>
              <w:jc w:val="left"/>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备注</w:t>
            </w:r>
          </w:p>
        </w:tc>
        <w:tc>
          <w:tcPr>
            <w:tcW w:w="834"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w:t>
            </w:r>
          </w:p>
        </w:tc>
        <w:tc>
          <w:tcPr>
            <w:tcW w:w="448"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VarChar</w:t>
            </w:r>
          </w:p>
        </w:tc>
        <w:tc>
          <w:tcPr>
            <w:tcW w:w="436"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c>
          <w:tcPr>
            <w:tcW w:w="375" w:type="pct"/>
            <w:vAlign w:val="center"/>
          </w:tcPr>
          <w:p>
            <w:pPr>
              <w:spacing w:line="360" w:lineRule="auto"/>
              <w:jc w:val="left"/>
              <w:rPr>
                <w:rFonts w:hint="eastAsia" w:ascii="楷体" w:hAnsi="楷体" w:eastAsia="楷体" w:cs="楷体"/>
                <w:b w:val="0"/>
                <w:bCs/>
                <w:color w:val="auto"/>
                <w:kern w:val="0"/>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O</w:t>
            </w:r>
          </w:p>
        </w:tc>
        <w:tc>
          <w:tcPr>
            <w:tcW w:w="711" w:type="pct"/>
            <w:vAlign w:val="center"/>
          </w:tcPr>
          <w:p>
            <w:pPr>
              <w:pStyle w:val="147"/>
              <w:spacing w:line="360" w:lineRule="auto"/>
              <w:ind w:firstLine="0" w:firstLineChars="0"/>
              <w:jc w:val="left"/>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9</w:t>
            </w:r>
          </w:p>
        </w:tc>
        <w:tc>
          <w:tcPr>
            <w:tcW w:w="101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标准公布时间</w:t>
            </w: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BZGBSJ</w:t>
            </w:r>
          </w:p>
        </w:tc>
        <w:tc>
          <w:tcPr>
            <w:tcW w:w="44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Date</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256" w:type="pct"/>
            <w:vAlign w:val="center"/>
          </w:tcPr>
          <w:p>
            <w:pPr>
              <w:spacing w:line="360" w:lineRule="auto"/>
              <w:jc w:val="center"/>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10</w:t>
            </w:r>
          </w:p>
        </w:tc>
        <w:tc>
          <w:tcPr>
            <w:tcW w:w="101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标准实施时间</w:t>
            </w:r>
          </w:p>
        </w:tc>
        <w:tc>
          <w:tcPr>
            <w:tcW w:w="834"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BZSSSJ</w:t>
            </w:r>
          </w:p>
        </w:tc>
        <w:tc>
          <w:tcPr>
            <w:tcW w:w="448" w:type="pct"/>
            <w:vAlign w:val="center"/>
          </w:tcPr>
          <w:p>
            <w:pPr>
              <w:spacing w:line="360" w:lineRule="auto"/>
              <w:rPr>
                <w:rFonts w:hint="eastAsia" w:ascii="楷体" w:hAnsi="楷体" w:eastAsia="楷体" w:cs="楷体"/>
                <w:b w:val="0"/>
                <w:bCs/>
                <w:color w:val="auto"/>
                <w:sz w:val="24"/>
                <w:szCs w:val="24"/>
                <w:highlight w:val="none"/>
              </w:rPr>
            </w:pPr>
            <w:r>
              <w:rPr>
                <w:rFonts w:hint="eastAsia" w:ascii="楷体" w:hAnsi="楷体" w:eastAsia="楷体" w:cs="楷体"/>
                <w:b w:val="0"/>
                <w:bCs/>
                <w:color w:val="auto"/>
                <w:sz w:val="24"/>
                <w:szCs w:val="24"/>
                <w:highlight w:val="none"/>
              </w:rPr>
              <w:t>Date</w:t>
            </w:r>
          </w:p>
        </w:tc>
        <w:tc>
          <w:tcPr>
            <w:tcW w:w="43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9"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p>
        </w:tc>
        <w:tc>
          <w:tcPr>
            <w:tcW w:w="375" w:type="pct"/>
            <w:vAlign w:val="center"/>
          </w:tcPr>
          <w:p>
            <w:pPr>
              <w:pStyle w:val="147"/>
              <w:spacing w:line="360" w:lineRule="auto"/>
              <w:ind w:firstLine="0" w:firstLineChars="0"/>
              <w:rPr>
                <w:rFonts w:hint="eastAsia" w:ascii="楷体" w:hAnsi="楷体" w:eastAsia="楷体" w:cs="楷体"/>
                <w:b w:val="0"/>
                <w:bCs/>
                <w:color w:val="auto"/>
                <w:kern w:val="2"/>
                <w:sz w:val="24"/>
                <w:szCs w:val="24"/>
                <w:highlight w:val="none"/>
              </w:rPr>
            </w:pPr>
          </w:p>
        </w:tc>
        <w:tc>
          <w:tcPr>
            <w:tcW w:w="546" w:type="pct"/>
            <w:vAlign w:val="center"/>
          </w:tcPr>
          <w:p>
            <w:pPr>
              <w:pStyle w:val="147"/>
              <w:spacing w:line="360" w:lineRule="auto"/>
              <w:ind w:firstLine="0" w:firstLineChars="0"/>
              <w:jc w:val="center"/>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M</w:t>
            </w:r>
          </w:p>
        </w:tc>
        <w:tc>
          <w:tcPr>
            <w:tcW w:w="711" w:type="pct"/>
            <w:vAlign w:val="center"/>
          </w:tcPr>
          <w:p>
            <w:pPr>
              <w:pStyle w:val="147"/>
              <w:spacing w:line="360" w:lineRule="auto"/>
              <w:ind w:firstLine="360"/>
              <w:rPr>
                <w:rFonts w:hint="eastAsia" w:ascii="楷体" w:hAnsi="楷体" w:eastAsia="楷体" w:cs="楷体"/>
                <w:b w:val="0"/>
                <w:bCs/>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blHeader/>
          <w:jc w:val="center"/>
        </w:trPr>
        <w:tc>
          <w:tcPr>
            <w:tcW w:w="5000" w:type="pct"/>
            <w:gridSpan w:val="9"/>
          </w:tcPr>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注1：行政区代码和行政区名称填写县级名称和代码；</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注2：填写已划定的等级区级别；</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注3：除水田、水浇地和旱地以外地类须参照《第三次全国土地调查技术规程》（TD/T 1055-2019）中土地利用现状分类，字段名称和字段代码参照已有地类填写；</w:t>
            </w:r>
          </w:p>
          <w:p>
            <w:pPr>
              <w:pStyle w:val="147"/>
              <w:spacing w:line="360" w:lineRule="auto"/>
              <w:ind w:firstLine="0" w:firstLineChars="0"/>
              <w:rPr>
                <w:rFonts w:hint="eastAsia" w:ascii="楷体" w:hAnsi="楷体" w:eastAsia="楷体" w:cs="楷体"/>
                <w:b w:val="0"/>
                <w:bCs/>
                <w:color w:val="auto"/>
                <w:kern w:val="2"/>
                <w:sz w:val="24"/>
                <w:szCs w:val="24"/>
                <w:highlight w:val="none"/>
              </w:rPr>
            </w:pPr>
            <w:r>
              <w:rPr>
                <w:rFonts w:hint="eastAsia" w:ascii="楷体" w:hAnsi="楷体" w:eastAsia="楷体" w:cs="楷体"/>
                <w:b w:val="0"/>
                <w:bCs/>
                <w:color w:val="auto"/>
                <w:kern w:val="2"/>
                <w:sz w:val="24"/>
                <w:szCs w:val="24"/>
                <w:highlight w:val="none"/>
              </w:rPr>
              <w:t>注4：本表为非空间矢量数据表，各地结合实际情况，具体需要增加的补偿作物名称，参照本表数据格式填写。</w:t>
            </w:r>
          </w:p>
        </w:tc>
      </w:tr>
    </w:tbl>
    <w:p>
      <w:pPr>
        <w:spacing w:line="360" w:lineRule="auto"/>
        <w:outlineLvl w:val="1"/>
        <w:rPr>
          <w:rFonts w:hint="eastAsia" w:ascii="楷体" w:hAnsi="楷体" w:eastAsia="楷体" w:cs="楷体"/>
          <w:color w:val="auto"/>
          <w:highlight w:val="none"/>
        </w:rPr>
      </w:pPr>
      <w:r>
        <w:rPr>
          <w:rFonts w:hint="eastAsia" w:ascii="楷体" w:hAnsi="楷体" w:eastAsia="楷体" w:cs="楷体"/>
          <w:b/>
          <w:bCs/>
          <w:color w:val="auto"/>
          <w:sz w:val="28"/>
          <w:szCs w:val="28"/>
          <w:highlight w:val="none"/>
        </w:rPr>
        <w:br w:type="page"/>
      </w:r>
      <w:bookmarkStart w:id="239" w:name="_Toc80815486"/>
      <w:bookmarkStart w:id="240" w:name="_Toc5224"/>
      <w:r>
        <w:rPr>
          <w:rFonts w:hint="eastAsia" w:ascii="楷体" w:hAnsi="楷体" w:eastAsia="楷体" w:cs="楷体"/>
          <w:b/>
          <w:bCs/>
          <w:color w:val="auto"/>
          <w:sz w:val="28"/>
          <w:szCs w:val="28"/>
          <w:highlight w:val="none"/>
        </w:rPr>
        <w:t>（四）数据入库</w:t>
      </w:r>
      <w:bookmarkEnd w:id="239"/>
      <w:bookmarkEnd w:id="240"/>
    </w:p>
    <w:p>
      <w:pPr>
        <w:spacing w:line="360" w:lineRule="auto"/>
        <w:ind w:firstLine="560" w:firstLineChars="200"/>
        <w:jc w:val="left"/>
        <w:outlineLvl w:val="2"/>
        <w:rPr>
          <w:rFonts w:hint="eastAsia" w:ascii="楷体" w:hAnsi="楷体" w:eastAsia="楷体" w:cs="楷体"/>
          <w:b w:val="0"/>
          <w:bCs w:val="0"/>
          <w:color w:val="auto"/>
          <w:kern w:val="0"/>
          <w:sz w:val="28"/>
          <w:szCs w:val="28"/>
          <w:highlight w:val="none"/>
        </w:rPr>
      </w:pPr>
      <w:bookmarkStart w:id="241" w:name="_Toc1050"/>
      <w:bookmarkStart w:id="242" w:name="_Toc17264"/>
      <w:r>
        <w:rPr>
          <w:rFonts w:hint="eastAsia" w:ascii="楷体" w:hAnsi="楷体" w:eastAsia="楷体" w:cs="楷体"/>
          <w:b w:val="0"/>
          <w:bCs w:val="0"/>
          <w:color w:val="auto"/>
          <w:kern w:val="0"/>
          <w:sz w:val="28"/>
          <w:szCs w:val="28"/>
          <w:highlight w:val="none"/>
        </w:rPr>
        <w:t>1.建立标准数据库</w:t>
      </w:r>
      <w:bookmarkEnd w:id="241"/>
      <w:bookmarkEnd w:id="242"/>
    </w:p>
    <w:p>
      <w:pPr>
        <w:spacing w:line="360" w:lineRule="auto"/>
        <w:ind w:firstLine="560" w:firstLineChars="200"/>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rPr>
        <w:t>按照数据库标准采用ARC gis10.2建立文件数据库的方法分别建立矢量图层和非矢量图层（属性表），建立标准数据库过程中应注意图层的字段类型、长度和精度一定要准确无误，其次是矢量数据投影信息应和三调数据数据保持一致。</w:t>
      </w:r>
    </w:p>
    <w:p>
      <w:pPr>
        <w:spacing w:line="360" w:lineRule="auto"/>
        <w:ind w:firstLine="560" w:firstLineChars="200"/>
        <w:jc w:val="left"/>
        <w:outlineLvl w:val="2"/>
        <w:rPr>
          <w:rFonts w:hint="eastAsia" w:ascii="楷体" w:hAnsi="楷体" w:eastAsia="楷体" w:cs="楷体"/>
          <w:b w:val="0"/>
          <w:bCs w:val="0"/>
          <w:color w:val="auto"/>
          <w:kern w:val="0"/>
          <w:sz w:val="28"/>
          <w:szCs w:val="28"/>
          <w:highlight w:val="none"/>
        </w:rPr>
      </w:pPr>
      <w:bookmarkStart w:id="243" w:name="_Toc19901"/>
      <w:bookmarkStart w:id="244" w:name="_Toc29151"/>
      <w:r>
        <w:rPr>
          <w:rFonts w:hint="eastAsia" w:ascii="楷体" w:hAnsi="楷体" w:eastAsia="楷体" w:cs="楷体"/>
          <w:b w:val="0"/>
          <w:bCs w:val="0"/>
          <w:color w:val="auto"/>
          <w:kern w:val="0"/>
          <w:sz w:val="28"/>
          <w:szCs w:val="28"/>
          <w:highlight w:val="none"/>
        </w:rPr>
        <w:t>2.数据入库</w:t>
      </w:r>
      <w:bookmarkEnd w:id="243"/>
      <w:bookmarkEnd w:id="244"/>
    </w:p>
    <w:p>
      <w:pPr>
        <w:spacing w:line="360" w:lineRule="auto"/>
        <w:ind w:firstLine="560" w:firstLineChars="200"/>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rPr>
        <w:t>整理好补偿标准表格以及底图数据制作中的矢量数据，并检查补偿标准正确无误，采用ARC gis技术分别将数据装入到标准数据中。并根据要求填写相对应的属性字段值。</w:t>
      </w:r>
    </w:p>
    <w:p>
      <w:pPr>
        <w:spacing w:line="360" w:lineRule="auto"/>
        <w:ind w:firstLine="560" w:firstLineChars="200"/>
        <w:jc w:val="left"/>
        <w:outlineLvl w:val="2"/>
        <w:rPr>
          <w:rFonts w:hint="eastAsia" w:ascii="楷体" w:hAnsi="楷体" w:eastAsia="楷体" w:cs="楷体"/>
          <w:b w:val="0"/>
          <w:bCs w:val="0"/>
          <w:color w:val="auto"/>
          <w:kern w:val="0"/>
          <w:sz w:val="28"/>
          <w:szCs w:val="28"/>
          <w:highlight w:val="none"/>
        </w:rPr>
      </w:pPr>
      <w:bookmarkStart w:id="245" w:name="_Toc20398"/>
      <w:bookmarkStart w:id="246" w:name="_Toc10843"/>
      <w:r>
        <w:rPr>
          <w:rFonts w:hint="eastAsia" w:ascii="楷体" w:hAnsi="楷体" w:eastAsia="楷体" w:cs="楷体"/>
          <w:b w:val="0"/>
          <w:bCs w:val="0"/>
          <w:color w:val="auto"/>
          <w:kern w:val="0"/>
          <w:sz w:val="28"/>
          <w:szCs w:val="28"/>
          <w:highlight w:val="none"/>
        </w:rPr>
        <w:t>3.数据检验</w:t>
      </w:r>
      <w:bookmarkEnd w:id="245"/>
      <w:bookmarkEnd w:id="246"/>
    </w:p>
    <w:p>
      <w:pPr>
        <w:spacing w:line="360" w:lineRule="auto"/>
        <w:ind w:firstLine="560" w:firstLineChars="200"/>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rPr>
        <w:t>数据检验主要核对数据库中各属性值填写是否正确，必填字段是否为空，数据库中的矢量数据是否与三调数据一致，非矢量数据是否与成果要求中的数据表格内容，图件成果以及报告中涉及的补偿标准一致，做到图、表、库补偿标准一致，确保数据的严谨性。</w:t>
      </w:r>
    </w:p>
    <w:p>
      <w:pPr>
        <w:spacing w:line="360" w:lineRule="auto"/>
        <w:ind w:firstLine="560" w:firstLineChars="200"/>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rPr>
        <w:br w:type="page"/>
      </w:r>
    </w:p>
    <w:p>
      <w:pPr>
        <w:spacing w:line="360" w:lineRule="auto"/>
        <w:outlineLvl w:val="0"/>
        <w:rPr>
          <w:rFonts w:hint="eastAsia" w:ascii="楷体" w:hAnsi="楷体" w:eastAsia="楷体" w:cs="楷体"/>
          <w:b/>
          <w:bCs/>
          <w:color w:val="auto"/>
          <w:sz w:val="30"/>
          <w:szCs w:val="30"/>
          <w:highlight w:val="none"/>
        </w:rPr>
      </w:pPr>
      <w:bookmarkStart w:id="247" w:name="_Toc26587"/>
      <w:r>
        <w:rPr>
          <w:rFonts w:hint="eastAsia" w:ascii="楷体" w:hAnsi="楷体" w:eastAsia="楷体" w:cs="楷体"/>
          <w:b/>
          <w:bCs/>
          <w:color w:val="auto"/>
          <w:sz w:val="30"/>
          <w:szCs w:val="30"/>
          <w:highlight w:val="none"/>
          <w:lang w:val="en-US" w:eastAsia="zh-CN"/>
        </w:rPr>
        <w:t>八</w:t>
      </w:r>
      <w:r>
        <w:rPr>
          <w:rFonts w:hint="eastAsia" w:ascii="楷体" w:hAnsi="楷体" w:eastAsia="楷体" w:cs="楷体"/>
          <w:b/>
          <w:bCs/>
          <w:color w:val="auto"/>
          <w:sz w:val="30"/>
          <w:szCs w:val="30"/>
          <w:highlight w:val="none"/>
        </w:rPr>
        <w:t>、补偿标准应用及建议</w:t>
      </w:r>
      <w:bookmarkEnd w:id="247"/>
    </w:p>
    <w:p>
      <w:pPr>
        <w:spacing w:line="360" w:lineRule="auto"/>
        <w:ind w:firstLine="562" w:firstLineChars="200"/>
        <w:outlineLvl w:val="1"/>
        <w:rPr>
          <w:rFonts w:hint="eastAsia" w:ascii="楷体" w:hAnsi="楷体" w:eastAsia="楷体" w:cs="楷体"/>
          <w:b/>
          <w:bCs/>
          <w:color w:val="auto"/>
          <w:sz w:val="28"/>
          <w:szCs w:val="28"/>
          <w:highlight w:val="none"/>
        </w:rPr>
      </w:pPr>
      <w:bookmarkStart w:id="248" w:name="_Toc19377"/>
      <w:bookmarkStart w:id="249" w:name="_Toc2679"/>
      <w:bookmarkStart w:id="250" w:name="_Toc21944"/>
      <w:bookmarkStart w:id="251" w:name="_Toc79448190"/>
      <w:r>
        <w:rPr>
          <w:rFonts w:hint="eastAsia" w:ascii="楷体" w:hAnsi="楷体" w:eastAsia="楷体" w:cs="楷体"/>
          <w:b/>
          <w:bCs/>
          <w:color w:val="auto"/>
          <w:sz w:val="28"/>
          <w:szCs w:val="28"/>
          <w:highlight w:val="none"/>
        </w:rPr>
        <w:t>（一）适用范围</w:t>
      </w:r>
      <w:bookmarkEnd w:id="248"/>
      <w:bookmarkEnd w:id="249"/>
      <w:bookmarkEnd w:id="250"/>
      <w:bookmarkEnd w:id="251"/>
    </w:p>
    <w:p>
      <w:pPr>
        <w:spacing w:line="360" w:lineRule="auto"/>
        <w:ind w:firstLine="560" w:firstLineChars="200"/>
        <w:rPr>
          <w:rFonts w:hint="eastAsia" w:ascii="楷体" w:hAnsi="楷体" w:eastAsia="楷体" w:cs="楷体"/>
          <w:color w:val="auto"/>
          <w:kern w:val="0"/>
          <w:sz w:val="32"/>
          <w:szCs w:val="32"/>
          <w:highlight w:val="none"/>
        </w:rPr>
      </w:pPr>
      <w:bookmarkStart w:id="252" w:name="_Hlk83575613"/>
      <w:r>
        <w:rPr>
          <w:rFonts w:hint="eastAsia" w:ascii="楷体" w:hAnsi="楷体" w:eastAsia="楷体" w:cs="楷体"/>
          <w:color w:val="auto"/>
          <w:sz w:val="28"/>
          <w:szCs w:val="28"/>
          <w:highlight w:val="none"/>
          <w:lang w:eastAsia="zh-CN"/>
        </w:rPr>
        <w:t>盘龙区</w:t>
      </w:r>
      <w:r>
        <w:rPr>
          <w:rFonts w:hint="eastAsia" w:ascii="楷体" w:hAnsi="楷体" w:eastAsia="楷体" w:cs="楷体"/>
          <w:color w:val="auto"/>
          <w:sz w:val="28"/>
          <w:szCs w:val="28"/>
          <w:highlight w:val="none"/>
        </w:rPr>
        <w:t>行政区域内涉及农村集体经济组织所有土地上征地拆迁的地上附着物和青苗补偿适用本标准。法律、法规和省人民政府另有规定的，从其规定。</w:t>
      </w:r>
    </w:p>
    <w:p>
      <w:pPr>
        <w:spacing w:line="360" w:lineRule="auto"/>
        <w:ind w:firstLine="562" w:firstLineChars="200"/>
        <w:outlineLvl w:val="1"/>
        <w:rPr>
          <w:rFonts w:hint="eastAsia" w:ascii="楷体" w:hAnsi="楷体" w:eastAsia="楷体" w:cs="楷体"/>
          <w:b/>
          <w:bCs/>
          <w:color w:val="auto"/>
          <w:sz w:val="28"/>
          <w:szCs w:val="28"/>
          <w:highlight w:val="none"/>
        </w:rPr>
      </w:pPr>
      <w:bookmarkStart w:id="253" w:name="_Toc79448191"/>
      <w:bookmarkStart w:id="254" w:name="_Toc18274"/>
      <w:bookmarkStart w:id="255" w:name="_Toc23790"/>
      <w:bookmarkStart w:id="256" w:name="_Toc10716"/>
      <w:r>
        <w:rPr>
          <w:rFonts w:hint="eastAsia" w:ascii="楷体" w:hAnsi="楷体" w:eastAsia="楷体" w:cs="楷体"/>
          <w:b/>
          <w:bCs/>
          <w:color w:val="auto"/>
          <w:sz w:val="28"/>
          <w:szCs w:val="28"/>
          <w:highlight w:val="none"/>
        </w:rPr>
        <w:t>（二）</w:t>
      </w:r>
      <w:r>
        <w:rPr>
          <w:rFonts w:hint="eastAsia" w:ascii="楷体" w:hAnsi="楷体" w:eastAsia="楷体" w:cs="楷体"/>
          <w:b/>
          <w:bCs/>
          <w:color w:val="auto"/>
          <w:sz w:val="28"/>
          <w:szCs w:val="28"/>
          <w:highlight w:val="none"/>
          <w:lang w:val="en-US" w:eastAsia="zh-CN"/>
        </w:rPr>
        <w:t>特殊情况</w:t>
      </w:r>
      <w:r>
        <w:rPr>
          <w:rFonts w:hint="eastAsia" w:ascii="楷体" w:hAnsi="楷体" w:eastAsia="楷体" w:cs="楷体"/>
          <w:b/>
          <w:bCs/>
          <w:color w:val="auto"/>
          <w:sz w:val="28"/>
          <w:szCs w:val="28"/>
          <w:highlight w:val="none"/>
        </w:rPr>
        <w:t>说明</w:t>
      </w:r>
      <w:bookmarkEnd w:id="253"/>
      <w:bookmarkEnd w:id="254"/>
      <w:bookmarkEnd w:id="255"/>
      <w:bookmarkEnd w:id="256"/>
    </w:p>
    <w:p>
      <w:pPr>
        <w:spacing w:line="360" w:lineRule="auto"/>
        <w:ind w:firstLine="560" w:firstLineChars="200"/>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1.</w:t>
      </w:r>
      <w:r>
        <w:rPr>
          <w:rFonts w:hint="eastAsia" w:ascii="楷体" w:hAnsi="楷体" w:eastAsia="楷体" w:cs="楷体"/>
          <w:color w:val="auto"/>
          <w:sz w:val="28"/>
          <w:szCs w:val="28"/>
          <w:highlight w:val="none"/>
        </w:rPr>
        <w:t>昆明市盘龙区行政区域涉及集体经济组织所有土地上征地拆迁的地上附着物和青苗补偿适用本标准。法律、法规和省人民政府另有规定的，从其规定。在征收过程中涉及国有土地上建构筑物的补偿标准，按照《国有土地上</w:t>
      </w:r>
      <w:r>
        <w:rPr>
          <w:rFonts w:hint="eastAsia" w:ascii="楷体" w:hAnsi="楷体" w:eastAsia="楷体" w:cs="楷体"/>
          <w:color w:val="auto"/>
          <w:highlight w:val="none"/>
        </w:rPr>
        <w:fldChar w:fldCharType="begin"/>
      </w:r>
      <w:r>
        <w:rPr>
          <w:rFonts w:hint="eastAsia" w:ascii="楷体" w:hAnsi="楷体" w:eastAsia="楷体" w:cs="楷体"/>
          <w:color w:val="auto"/>
          <w:highlight w:val="none"/>
        </w:rPr>
        <w:instrText xml:space="preserve"> HYPERLINK "https://baike.baidu.com/item/%E6%88%BF%E5%B1%8B%E5%BE%81%E6%94%B6" \t "_blank" </w:instrText>
      </w:r>
      <w:r>
        <w:rPr>
          <w:rFonts w:hint="eastAsia" w:ascii="楷体" w:hAnsi="楷体" w:eastAsia="楷体" w:cs="楷体"/>
          <w:color w:val="auto"/>
          <w:highlight w:val="none"/>
        </w:rPr>
        <w:fldChar w:fldCharType="separate"/>
      </w:r>
      <w:r>
        <w:rPr>
          <w:rFonts w:hint="eastAsia" w:ascii="楷体" w:hAnsi="楷体" w:eastAsia="楷体" w:cs="楷体"/>
          <w:color w:val="auto"/>
          <w:sz w:val="28"/>
          <w:szCs w:val="28"/>
          <w:highlight w:val="none"/>
        </w:rPr>
        <w:t>房屋征收</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rPr>
        <w:t>与补偿条例》要求进行征收补偿；涉及国有农用地上的附着物和青苗补偿费可参照相邻区域集体土地该标准执行；</w:t>
      </w:r>
    </w:p>
    <w:p>
      <w:pPr>
        <w:spacing w:line="360" w:lineRule="auto"/>
        <w:ind w:firstLine="560" w:firstLineChars="20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2.</w:t>
      </w:r>
      <w:r>
        <w:rPr>
          <w:rFonts w:hint="eastAsia" w:ascii="楷体" w:hAnsi="楷体" w:eastAsia="楷体" w:cs="楷体"/>
          <w:color w:val="auto"/>
          <w:sz w:val="28"/>
          <w:szCs w:val="28"/>
          <w:highlight w:val="none"/>
        </w:rPr>
        <w:t>古树名木、苗圃等市场价值波动较大，可委托第三方机构进行评估；本标准未覆盖的地上附着物和青苗可按价值相近原则参照执行或委托第三方机构进行评估；</w:t>
      </w:r>
    </w:p>
    <w:p>
      <w:pPr>
        <w:spacing w:line="360" w:lineRule="auto"/>
        <w:ind w:firstLine="560" w:firstLineChars="200"/>
        <w:jc w:val="left"/>
        <w:rPr>
          <w:rFonts w:hint="eastAsia" w:ascii="楷体" w:hAnsi="楷体" w:eastAsia="楷体" w:cs="楷体"/>
          <w:color w:val="auto"/>
          <w:sz w:val="28"/>
          <w:szCs w:val="28"/>
          <w:highlight w:val="none"/>
          <w:lang w:eastAsia="zh-CN"/>
        </w:rPr>
      </w:pPr>
      <w:r>
        <w:rPr>
          <w:rFonts w:hint="eastAsia" w:ascii="楷体" w:hAnsi="楷体" w:eastAsia="楷体" w:cs="楷体"/>
          <w:color w:val="auto"/>
          <w:sz w:val="28"/>
          <w:szCs w:val="28"/>
          <w:highlight w:val="none"/>
          <w:lang w:val="en-US" w:eastAsia="zh-CN"/>
        </w:rPr>
        <w:t>3.</w:t>
      </w:r>
      <w:r>
        <w:rPr>
          <w:rFonts w:hint="eastAsia" w:ascii="楷体" w:hAnsi="楷体" w:eastAsia="楷体" w:cs="楷体"/>
          <w:color w:val="auto"/>
          <w:sz w:val="28"/>
          <w:szCs w:val="28"/>
          <w:highlight w:val="none"/>
        </w:rPr>
        <w:t>种植花卉、绿化苗木一般作迁移处理，根据市场信息价结合迁移季节，对迁移费及迁移过程中产生的损失进行评估后给予补偿，市场信息价以有关部门定期发布的价格为准</w:t>
      </w:r>
      <w:r>
        <w:rPr>
          <w:rFonts w:hint="eastAsia" w:ascii="楷体" w:hAnsi="楷体" w:eastAsia="楷体" w:cs="楷体"/>
          <w:color w:val="auto"/>
          <w:sz w:val="28"/>
          <w:szCs w:val="28"/>
          <w:highlight w:val="none"/>
          <w:lang w:eastAsia="zh-CN"/>
        </w:rPr>
        <w:t>。</w:t>
      </w:r>
    </w:p>
    <w:bookmarkEnd w:id="252"/>
    <w:p>
      <w:pPr>
        <w:spacing w:line="360" w:lineRule="auto"/>
        <w:ind w:firstLine="562" w:firstLineChars="200"/>
        <w:outlineLvl w:val="1"/>
        <w:rPr>
          <w:rFonts w:hint="eastAsia" w:ascii="楷体" w:hAnsi="楷体" w:eastAsia="楷体" w:cs="楷体"/>
          <w:b/>
          <w:bCs/>
          <w:color w:val="auto"/>
          <w:sz w:val="28"/>
          <w:szCs w:val="28"/>
          <w:highlight w:val="none"/>
          <w:lang w:val="en-US" w:eastAsia="zh-CN"/>
        </w:rPr>
      </w:pPr>
      <w:bookmarkStart w:id="257" w:name="_Toc25936"/>
      <w:bookmarkStart w:id="258" w:name="_Toc6564"/>
      <w:r>
        <w:rPr>
          <w:rFonts w:hint="eastAsia" w:ascii="楷体" w:hAnsi="楷体" w:eastAsia="楷体" w:cs="楷体"/>
          <w:b/>
          <w:bCs/>
          <w:color w:val="auto"/>
          <w:sz w:val="28"/>
          <w:szCs w:val="28"/>
          <w:highlight w:val="none"/>
        </w:rPr>
        <w:t>（二）</w:t>
      </w:r>
      <w:r>
        <w:rPr>
          <w:rFonts w:hint="eastAsia" w:ascii="楷体" w:hAnsi="楷体" w:eastAsia="楷体" w:cs="楷体"/>
          <w:b/>
          <w:bCs/>
          <w:color w:val="auto"/>
          <w:sz w:val="28"/>
          <w:szCs w:val="28"/>
          <w:highlight w:val="none"/>
          <w:lang w:val="en-US" w:eastAsia="zh-CN"/>
        </w:rPr>
        <w:t>经验建议</w:t>
      </w:r>
      <w:bookmarkEnd w:id="257"/>
      <w:bookmarkEnd w:id="258"/>
    </w:p>
    <w:p>
      <w:pPr>
        <w:spacing w:line="360" w:lineRule="auto"/>
        <w:ind w:firstLine="560" w:firstLineChars="20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1.</w:t>
      </w:r>
      <w:r>
        <w:rPr>
          <w:rFonts w:hint="eastAsia" w:ascii="楷体" w:hAnsi="楷体" w:eastAsia="楷体" w:cs="楷体"/>
          <w:color w:val="auto"/>
          <w:sz w:val="28"/>
          <w:szCs w:val="28"/>
          <w:highlight w:val="none"/>
        </w:rPr>
        <w:t>本标准所示地上附着物和青苗补偿标准为“执行价”；</w:t>
      </w:r>
    </w:p>
    <w:p>
      <w:pPr>
        <w:pStyle w:val="40"/>
        <w:adjustRightInd w:val="0"/>
        <w:spacing w:beforeAutospacing="0" w:afterAutospacing="0" w:line="360" w:lineRule="auto"/>
        <w:ind w:firstLine="560" w:firstLineChars="200"/>
        <w:jc w:val="both"/>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2.</w:t>
      </w:r>
      <w:r>
        <w:rPr>
          <w:rFonts w:hint="eastAsia" w:ascii="楷体" w:hAnsi="楷体" w:eastAsia="楷体" w:cs="楷体"/>
          <w:color w:val="auto"/>
          <w:sz w:val="28"/>
          <w:szCs w:val="28"/>
          <w:highlight w:val="none"/>
        </w:rPr>
        <w:t>本报告里面所有计算的青苗、林木、构筑物种类均以盘龙区普遍涉及到的为据，新增或未涉及到的，按照科属种类规划区分，采用相近取值标价制定补偿价格。</w:t>
      </w:r>
    </w:p>
    <w:p>
      <w:pPr>
        <w:pStyle w:val="40"/>
        <w:adjustRightInd w:val="0"/>
        <w:spacing w:beforeAutospacing="0" w:afterAutospacing="0" w:line="360" w:lineRule="auto"/>
        <w:ind w:firstLine="480" w:firstLineChars="200"/>
        <w:jc w:val="both"/>
        <w:rPr>
          <w:rFonts w:hint="eastAsia" w:ascii="楷体" w:hAnsi="楷体" w:eastAsia="楷体" w:cs="楷体"/>
          <w:color w:val="auto"/>
          <w:highlight w:val="none"/>
        </w:rPr>
        <w:sectPr>
          <w:pgSz w:w="11905" w:h="16838"/>
          <w:pgMar w:top="1417" w:right="1247" w:bottom="1417" w:left="1587" w:header="851" w:footer="992" w:gutter="0"/>
          <w:pgNumType w:fmt="decimal"/>
          <w:cols w:space="0" w:num="1"/>
          <w:rtlGutter w:val="0"/>
          <w:docGrid w:type="lines" w:linePitch="312" w:charSpace="0"/>
        </w:sectPr>
      </w:pPr>
    </w:p>
    <w:p>
      <w:pPr>
        <w:pStyle w:val="40"/>
        <w:adjustRightInd w:val="0"/>
        <w:spacing w:beforeAutospacing="0" w:afterAutospacing="0" w:line="360" w:lineRule="auto"/>
        <w:jc w:val="both"/>
        <w:rPr>
          <w:rFonts w:hint="eastAsia" w:ascii="楷体" w:hAnsi="楷体" w:eastAsia="楷体" w:cs="楷体"/>
          <w:color w:val="auto"/>
          <w:highlight w:val="none"/>
          <w:lang w:eastAsia="zh-CN"/>
        </w:rPr>
      </w:pPr>
      <w:r>
        <w:rPr>
          <w:rFonts w:hint="eastAsia" w:ascii="楷体" w:hAnsi="楷体" w:eastAsia="楷体" w:cs="楷体"/>
          <w:color w:val="auto"/>
          <w:highlight w:val="none"/>
          <w:lang w:eastAsia="zh-CN"/>
        </w:rPr>
        <w:drawing>
          <wp:anchor distT="0" distB="0" distL="114300" distR="114300" simplePos="0" relativeHeight="251661312" behindDoc="0" locked="0" layoutInCell="1" allowOverlap="1">
            <wp:simplePos x="0" y="0"/>
            <wp:positionH relativeFrom="column">
              <wp:posOffset>182880</wp:posOffset>
            </wp:positionH>
            <wp:positionV relativeFrom="paragraph">
              <wp:posOffset>-137160</wp:posOffset>
            </wp:positionV>
            <wp:extent cx="5266690" cy="7353300"/>
            <wp:effectExtent l="0" t="0" r="6350" b="7620"/>
            <wp:wrapSquare wrapText="bothSides"/>
            <wp:docPr id="5" name="图片 5" descr="C:/Users/ASUS/AppData/Local/Temp/picturecompress_202111101720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SUS/AppData/Local/Temp/picturecompress_20211110172017/output_1.jpgoutput_1"/>
                    <pic:cNvPicPr>
                      <a:picLocks noChangeAspect="1"/>
                    </pic:cNvPicPr>
                  </pic:nvPicPr>
                  <pic:blipFill>
                    <a:blip r:embed="rId37"/>
                    <a:stretch>
                      <a:fillRect/>
                    </a:stretch>
                  </pic:blipFill>
                  <pic:spPr>
                    <a:xfrm>
                      <a:off x="0" y="0"/>
                      <a:ext cx="5266690" cy="7353300"/>
                    </a:xfrm>
                    <a:prstGeom prst="rect">
                      <a:avLst/>
                    </a:prstGeom>
                  </pic:spPr>
                </pic:pic>
              </a:graphicData>
            </a:graphic>
          </wp:anchor>
        </w:drawing>
      </w:r>
    </w:p>
    <w:p>
      <w:pPr>
        <w:spacing w:line="360" w:lineRule="auto"/>
        <w:jc w:val="center"/>
        <w:rPr>
          <w:rFonts w:hint="eastAsia" w:ascii="楷体" w:hAnsi="楷体" w:eastAsia="楷体" w:cs="楷体"/>
          <w:sz w:val="28"/>
          <w:szCs w:val="28"/>
        </w:rPr>
      </w:pPr>
      <w:r>
        <w:rPr>
          <w:rFonts w:hint="eastAsia" w:ascii="楷体" w:hAnsi="楷体" w:eastAsia="楷体" w:cs="楷体"/>
          <w:sz w:val="28"/>
          <w:szCs w:val="28"/>
        </w:rPr>
        <w:t xml:space="preserve">图 </w:t>
      </w:r>
      <w:r>
        <w:rPr>
          <w:rFonts w:hint="eastAsia" w:ascii="楷体" w:hAnsi="楷体" w:eastAsia="楷体" w:cs="楷体"/>
          <w:sz w:val="28"/>
          <w:szCs w:val="28"/>
          <w:lang w:val="en-US" w:eastAsia="zh-CN"/>
        </w:rPr>
        <w:t>8</w:t>
      </w:r>
      <w:r>
        <w:rPr>
          <w:rFonts w:hint="eastAsia" w:ascii="楷体" w:hAnsi="楷体" w:eastAsia="楷体" w:cs="楷体"/>
          <w:sz w:val="28"/>
          <w:szCs w:val="28"/>
        </w:rPr>
        <w:t xml:space="preserve">-1 </w:t>
      </w:r>
      <w:r>
        <w:rPr>
          <w:rFonts w:hint="eastAsia" w:ascii="楷体" w:hAnsi="楷体" w:eastAsia="楷体" w:cs="楷体"/>
          <w:sz w:val="28"/>
          <w:szCs w:val="28"/>
          <w:lang w:val="en-US" w:eastAsia="zh-CN"/>
        </w:rPr>
        <w:t>盘龙区</w:t>
      </w:r>
      <w:r>
        <w:rPr>
          <w:rFonts w:hint="eastAsia" w:ascii="楷体" w:hAnsi="楷体" w:eastAsia="楷体" w:cs="楷体"/>
          <w:sz w:val="28"/>
          <w:szCs w:val="28"/>
        </w:rPr>
        <w:t>2021年青苗补偿等级区分布图</w:t>
      </w:r>
    </w:p>
    <w:p>
      <w:pPr>
        <w:spacing w:line="360" w:lineRule="auto"/>
        <w:ind w:firstLine="560" w:firstLineChars="200"/>
        <w:jc w:val="left"/>
        <w:rPr>
          <w:rFonts w:hint="eastAsia" w:ascii="楷体" w:hAnsi="楷体" w:eastAsia="楷体" w:cs="楷体"/>
          <w:sz w:val="28"/>
          <w:szCs w:val="28"/>
        </w:rPr>
      </w:pPr>
    </w:p>
    <w:p>
      <w:pPr>
        <w:pStyle w:val="40"/>
        <w:adjustRightInd w:val="0"/>
        <w:spacing w:beforeAutospacing="0" w:afterAutospacing="0" w:line="360" w:lineRule="auto"/>
        <w:jc w:val="both"/>
        <w:rPr>
          <w:rFonts w:hint="eastAsia" w:ascii="楷体" w:hAnsi="楷体" w:eastAsia="楷体" w:cs="楷体"/>
          <w:color w:val="auto"/>
          <w:highlight w:val="none"/>
          <w:lang w:eastAsia="zh-CN"/>
        </w:rPr>
      </w:pPr>
    </w:p>
    <w:p>
      <w:pPr>
        <w:pStyle w:val="40"/>
        <w:adjustRightInd w:val="0"/>
        <w:spacing w:beforeAutospacing="0" w:afterAutospacing="0" w:line="360" w:lineRule="auto"/>
        <w:jc w:val="both"/>
        <w:rPr>
          <w:rFonts w:hint="eastAsia" w:ascii="楷体" w:hAnsi="楷体" w:eastAsia="楷体" w:cs="楷体"/>
          <w:color w:val="auto"/>
          <w:highlight w:val="none"/>
          <w:lang w:eastAsia="zh-CN"/>
        </w:rPr>
      </w:pPr>
    </w:p>
    <w:p>
      <w:pPr>
        <w:spacing w:line="360" w:lineRule="auto"/>
        <w:outlineLvl w:val="0"/>
        <w:rPr>
          <w:rFonts w:hint="eastAsia" w:ascii="楷体" w:hAnsi="楷体" w:eastAsia="楷体" w:cs="楷体"/>
          <w:b/>
          <w:bCs/>
          <w:color w:val="auto"/>
          <w:sz w:val="30"/>
          <w:szCs w:val="30"/>
          <w:highlight w:val="none"/>
          <w:lang w:val="en-US" w:eastAsia="zh-CN"/>
        </w:rPr>
      </w:pPr>
      <w:bookmarkStart w:id="259" w:name="_Toc1203"/>
      <w:r>
        <w:rPr>
          <w:rFonts w:hint="eastAsia" w:ascii="楷体" w:hAnsi="楷体" w:eastAsia="楷体" w:cs="楷体"/>
          <w:b/>
          <w:bCs/>
          <w:color w:val="auto"/>
          <w:sz w:val="30"/>
          <w:szCs w:val="30"/>
          <w:highlight w:val="none"/>
          <w:lang w:val="en-US" w:eastAsia="zh-CN"/>
        </w:rPr>
        <w:t>九</w:t>
      </w:r>
      <w:r>
        <w:rPr>
          <w:rFonts w:hint="eastAsia" w:ascii="楷体" w:hAnsi="楷体" w:eastAsia="楷体" w:cs="楷体"/>
          <w:b/>
          <w:bCs/>
          <w:color w:val="auto"/>
          <w:sz w:val="30"/>
          <w:szCs w:val="30"/>
          <w:highlight w:val="none"/>
        </w:rPr>
        <w:t>、</w:t>
      </w:r>
      <w:r>
        <w:rPr>
          <w:rFonts w:hint="eastAsia" w:ascii="楷体" w:hAnsi="楷体" w:eastAsia="楷体" w:cs="楷体"/>
          <w:b/>
          <w:bCs/>
          <w:color w:val="auto"/>
          <w:sz w:val="30"/>
          <w:szCs w:val="30"/>
          <w:highlight w:val="none"/>
          <w:lang w:val="en-US" w:eastAsia="zh-CN"/>
        </w:rPr>
        <w:t>附件</w:t>
      </w:r>
      <w:bookmarkEnd w:id="259"/>
    </w:p>
    <w:p>
      <w:pPr>
        <w:pStyle w:val="61"/>
        <w:spacing w:line="360" w:lineRule="auto"/>
        <w:ind w:firstLine="560"/>
        <w:outlineLvl w:val="1"/>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sz w:val="28"/>
          <w:szCs w:val="28"/>
          <w:lang w:val="en-US" w:eastAsia="zh-CN"/>
        </w:rPr>
        <w:t>1、建筑物测算过程表</w:t>
      </w:r>
    </w:p>
    <w:p>
      <w:pPr>
        <w:pStyle w:val="61"/>
        <w:spacing w:line="360" w:lineRule="auto"/>
        <w:ind w:left="0" w:leftChars="0" w:firstLine="0" w:firstLineChars="0"/>
        <w:jc w:val="center"/>
        <w:outlineLvl w:val="2"/>
        <w:rPr>
          <w:rFonts w:hint="eastAsia" w:ascii="楷体" w:hAnsi="楷体" w:eastAsia="楷体" w:cs="楷体"/>
          <w:color w:val="auto"/>
          <w:kern w:val="2"/>
          <w:sz w:val="24"/>
          <w:szCs w:val="24"/>
          <w:lang w:val="en-US" w:eastAsia="zh-CN" w:bidi="ar-SA"/>
        </w:rPr>
      </w:pPr>
      <w:r>
        <w:rPr>
          <w:rFonts w:hint="eastAsia" w:ascii="楷体" w:hAnsi="楷体" w:eastAsia="楷体" w:cs="楷体"/>
          <w:color w:val="auto"/>
          <w:kern w:val="2"/>
          <w:sz w:val="24"/>
          <w:szCs w:val="24"/>
          <w:lang w:val="en-US" w:eastAsia="zh-CN" w:bidi="ar-SA"/>
        </w:rPr>
        <w:t>9-1基础数据调查表</w:t>
      </w:r>
    </w:p>
    <w:tbl>
      <w:tblPr>
        <w:tblStyle w:val="45"/>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98"/>
        <w:gridCol w:w="1398"/>
        <w:gridCol w:w="842"/>
        <w:gridCol w:w="1120"/>
        <w:gridCol w:w="1398"/>
        <w:gridCol w:w="1398"/>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8397" w:type="dxa"/>
            <w:gridSpan w:val="7"/>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bCs/>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基础数据调查表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gridSpan w:val="7"/>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案例名称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案例位置</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面积</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总层数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征收时间</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280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gridSpan w:val="7"/>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案例名称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案例位置</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面积</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总层数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征收时间</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214</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gridSpan w:val="7"/>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砖木结构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案例名称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案例位置</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面积</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总层数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征收时间</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238</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gridSpan w:val="7"/>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土木结构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案例名称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案例位置</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面积</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总层数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征收时间</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gridSpan w:val="7"/>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简易结构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案例名称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案例位置</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面积</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总层数</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征收时间</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65</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jc w:val="center"/>
              <w:rPr>
                <w:rFonts w:hint="eastAsia" w:ascii="楷体" w:hAnsi="楷体" w:eastAsia="楷体" w:cs="楷体"/>
                <w:i w:val="0"/>
                <w:iCs w:val="0"/>
                <w:color w:val="000000"/>
                <w:sz w:val="21"/>
                <w:szCs w:val="21"/>
                <w:u w:val="none"/>
              </w:rPr>
            </w:pP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lang w:val="en-US" w:eastAsia="zh-CN"/>
        </w:rPr>
        <w:t xml:space="preserve"> </w:t>
      </w:r>
    </w:p>
    <w:p>
      <w:pPr>
        <w:pStyle w:val="40"/>
        <w:adjustRightInd w:val="0"/>
        <w:spacing w:beforeAutospacing="0" w:afterAutospacing="0" w:line="360" w:lineRule="auto"/>
        <w:jc w:val="center"/>
        <w:outlineLvl w:val="2"/>
        <w:rPr>
          <w:rFonts w:hint="eastAsia" w:ascii="楷体" w:hAnsi="楷体" w:eastAsia="楷体" w:cs="楷体"/>
          <w:b w:val="0"/>
          <w:bCs w:val="0"/>
          <w:color w:val="auto"/>
          <w:sz w:val="24"/>
          <w:szCs w:val="24"/>
          <w:highlight w:val="none"/>
          <w:lang w:val="en-US" w:eastAsia="zh-CN"/>
        </w:rPr>
      </w:pPr>
      <w:r>
        <w:rPr>
          <w:rFonts w:hint="eastAsia" w:ascii="楷体" w:hAnsi="楷体" w:eastAsia="楷体" w:cs="楷体"/>
          <w:b w:val="0"/>
          <w:bCs w:val="0"/>
          <w:i w:val="0"/>
          <w:iCs w:val="0"/>
          <w:color w:val="000000"/>
          <w:kern w:val="0"/>
          <w:sz w:val="24"/>
          <w:szCs w:val="24"/>
          <w:u w:val="none"/>
          <w:lang w:val="en-US" w:eastAsia="zh-CN" w:bidi="ar"/>
        </w:rPr>
        <w:t>9-2前期费用及其他费用确定</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
        <w:gridCol w:w="1763"/>
        <w:gridCol w:w="1056"/>
        <w:gridCol w:w="1007"/>
        <w:gridCol w:w="2027"/>
        <w:gridCol w:w="3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000" w:type="pct"/>
            <w:gridSpan w:val="6"/>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前期费用及其他费用确定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项目</w:t>
            </w:r>
          </w:p>
        </w:tc>
        <w:tc>
          <w:tcPr>
            <w:tcW w:w="5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取费基础</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费率(含税)</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费率(不含税)</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可行性研究费</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0.90%</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0.85%</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参考计价格[1999]1283号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环境评价费</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0.08%</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0.08%</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参考计价格[2002]125号，发改价格[2011]534号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建设单位管理费</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0.77%</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0.77%</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财建[2016]504号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建筑勘察、设计费</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2.99%</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2.82%</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参考国家物价局建设部[2002]价字10号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施工图设计审查费</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0.40%</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0.38%</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参考云价综合（2012）52号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招标代理服务费</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0.08%</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0.08%</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参考计价格[2002]1980号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预算（标底）及决算编审费</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0.25%</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0.24%</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参考云价综[2012]66号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工程监理费</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1.61%</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1.51%</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参考发改价格 [2007]670号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合计</w:t>
            </w:r>
          </w:p>
        </w:tc>
        <w:tc>
          <w:tcPr>
            <w:tcW w:w="5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7.08%</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6.72%</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96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1110"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163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5000" w:type="pct"/>
            <w:gridSpan w:val="6"/>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前期费用及其他费用确定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项目</w:t>
            </w:r>
          </w:p>
        </w:tc>
        <w:tc>
          <w:tcPr>
            <w:tcW w:w="5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取费基础</w:t>
            </w:r>
          </w:p>
        </w:tc>
        <w:tc>
          <w:tcPr>
            <w:tcW w:w="56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单位</w:t>
            </w:r>
          </w:p>
        </w:tc>
        <w:tc>
          <w:tcPr>
            <w:tcW w:w="11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费用</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人工定额</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元/工日</w:t>
            </w:r>
          </w:p>
        </w:tc>
        <w:tc>
          <w:tcPr>
            <w:tcW w:w="1110"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63.88</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9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机械费单价</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建安造价</w:t>
            </w:r>
          </w:p>
        </w:tc>
        <w:tc>
          <w:tcPr>
            <w:tcW w:w="5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元/平发米</w:t>
            </w:r>
          </w:p>
        </w:tc>
        <w:tc>
          <w:tcPr>
            <w:tcW w:w="1110"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63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bl>
    <w:p>
      <w:pPr>
        <w:pStyle w:val="61"/>
        <w:spacing w:line="360" w:lineRule="auto"/>
        <w:ind w:firstLine="560"/>
        <w:rPr>
          <w:rFonts w:hint="eastAsia" w:ascii="楷体" w:hAnsi="楷体" w:eastAsia="楷体" w:cs="楷体"/>
          <w:color w:val="auto"/>
          <w:sz w:val="21"/>
          <w:szCs w:val="21"/>
          <w:lang w:val="en-US" w:eastAsia="zh-CN"/>
        </w:rPr>
      </w:pPr>
    </w:p>
    <w:p>
      <w:pPr>
        <w:pStyle w:val="61"/>
        <w:spacing w:line="360" w:lineRule="auto"/>
        <w:ind w:firstLine="560"/>
        <w:rPr>
          <w:rFonts w:hint="eastAsia" w:ascii="楷体" w:hAnsi="楷体" w:eastAsia="楷体" w:cs="楷体"/>
          <w:color w:val="auto"/>
          <w:sz w:val="28"/>
          <w:szCs w:val="28"/>
          <w:lang w:val="en-US" w:eastAsia="zh-CN"/>
        </w:rPr>
      </w:pPr>
    </w:p>
    <w:p>
      <w:pPr>
        <w:pStyle w:val="61"/>
        <w:spacing w:line="360" w:lineRule="auto"/>
        <w:ind w:left="0" w:leftChars="0" w:firstLine="0" w:firstLineChars="0"/>
        <w:rPr>
          <w:rFonts w:hint="eastAsia" w:ascii="楷体" w:hAnsi="楷体" w:eastAsia="楷体" w:cs="楷体"/>
          <w:color w:val="auto"/>
          <w:sz w:val="28"/>
          <w:szCs w:val="28"/>
          <w:lang w:val="en-US" w:eastAsia="zh-CN"/>
        </w:rPr>
      </w:pPr>
    </w:p>
    <w:p>
      <w:pPr>
        <w:pStyle w:val="61"/>
        <w:spacing w:line="360" w:lineRule="auto"/>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①</w:t>
      </w:r>
      <w:r>
        <w:rPr>
          <w:rFonts w:hint="eastAsia" w:ascii="楷体" w:hAnsi="楷体" w:eastAsia="楷体" w:cs="楷体"/>
          <w:i w:val="0"/>
          <w:iCs w:val="0"/>
          <w:color w:val="000000"/>
          <w:kern w:val="0"/>
          <w:sz w:val="28"/>
          <w:szCs w:val="28"/>
          <w:u w:val="none"/>
          <w:lang w:val="en-US" w:eastAsia="zh-CN" w:bidi="ar"/>
        </w:rPr>
        <w:t>框架结构</w:t>
      </w:r>
    </w:p>
    <w:p>
      <w:pPr>
        <w:pStyle w:val="40"/>
        <w:adjustRightInd w:val="0"/>
        <w:spacing w:beforeAutospacing="0" w:afterAutospacing="0" w:line="360" w:lineRule="auto"/>
        <w:jc w:val="both"/>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outlineLvl w:val="2"/>
        <w:rPr>
          <w:rFonts w:hint="eastAsia" w:ascii="楷体" w:hAnsi="楷体" w:eastAsia="楷体" w:cs="楷体"/>
          <w:i w:val="0"/>
          <w:iCs w:val="0"/>
          <w:color w:val="000000"/>
          <w:kern w:val="0"/>
          <w:sz w:val="24"/>
          <w:szCs w:val="24"/>
          <w:u w:val="none"/>
          <w:lang w:val="en-US" w:eastAsia="zh-CN" w:bidi="ar"/>
        </w:rPr>
      </w:pPr>
      <w:r>
        <w:rPr>
          <w:rFonts w:hint="eastAsia" w:ascii="楷体" w:hAnsi="楷体" w:eastAsia="楷体" w:cs="楷体"/>
          <w:i w:val="0"/>
          <w:iCs w:val="0"/>
          <w:color w:val="000000"/>
          <w:kern w:val="0"/>
          <w:sz w:val="24"/>
          <w:szCs w:val="24"/>
          <w:u w:val="none"/>
          <w:lang w:val="en-US" w:eastAsia="zh-CN" w:bidi="ar"/>
        </w:rPr>
        <w:t>9-3框架结构主要材料数量和价格表</w:t>
      </w: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tbl>
      <w:tblPr>
        <w:tblStyle w:val="45"/>
        <w:tblW w:w="56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7"/>
        <w:gridCol w:w="853"/>
        <w:gridCol w:w="1514"/>
        <w:gridCol w:w="703"/>
        <w:gridCol w:w="851"/>
        <w:gridCol w:w="851"/>
        <w:gridCol w:w="851"/>
        <w:gridCol w:w="870"/>
        <w:gridCol w:w="1130"/>
        <w:gridCol w:w="1153"/>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5000" w:type="pct"/>
            <w:gridSpan w:val="11"/>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框架结构主要材料数量和价格表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jc w:val="center"/>
        </w:trPr>
        <w:tc>
          <w:tcPr>
            <w:tcW w:w="316" w:type="pct"/>
            <w:vMerge w:val="restar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序号</w:t>
            </w:r>
          </w:p>
        </w:tc>
        <w:tc>
          <w:tcPr>
            <w:tcW w:w="404" w:type="pct"/>
            <w:vMerge w:val="restar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材料名称</w:t>
            </w:r>
          </w:p>
        </w:tc>
        <w:tc>
          <w:tcPr>
            <w:tcW w:w="718" w:type="pct"/>
            <w:vMerge w:val="restar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规格、型号等特殊 要求</w:t>
            </w:r>
          </w:p>
        </w:tc>
        <w:tc>
          <w:tcPr>
            <w:tcW w:w="1544" w:type="pct"/>
            <w:gridSpan w:val="4"/>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数量</w:t>
            </w:r>
          </w:p>
        </w:tc>
        <w:tc>
          <w:tcPr>
            <w:tcW w:w="41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2020年1月1日材料价格</w:t>
            </w:r>
          </w:p>
        </w:tc>
        <w:tc>
          <w:tcPr>
            <w:tcW w:w="1603"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16" w:type="pct"/>
            <w:vMerge w:val="continue"/>
            <w:tcBorders>
              <w:top w:val="single" w:color="000000" w:sz="8" w:space="0"/>
              <w:left w:val="single" w:color="000000" w:sz="8" w:space="0"/>
              <w:bottom w:val="single" w:color="000000" w:sz="8" w:space="0"/>
              <w:right w:val="single" w:color="000000" w:sz="8" w:space="0"/>
            </w:tcBorders>
            <w:shd w:val="clear" w:color="FFFFFF"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404" w:type="pct"/>
            <w:vMerge w:val="continue"/>
            <w:tcBorders>
              <w:top w:val="single" w:color="000000" w:sz="8" w:space="0"/>
              <w:left w:val="single" w:color="000000" w:sz="8" w:space="0"/>
              <w:bottom w:val="single" w:color="000000" w:sz="8" w:space="0"/>
              <w:right w:val="single" w:color="000000" w:sz="8" w:space="0"/>
            </w:tcBorders>
            <w:shd w:val="clear" w:color="FFFFFF"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718" w:type="pct"/>
            <w:vMerge w:val="continue"/>
            <w:tcBorders>
              <w:top w:val="single" w:color="000000" w:sz="8" w:space="0"/>
              <w:left w:val="single" w:color="000000" w:sz="8" w:space="0"/>
              <w:bottom w:val="single" w:color="000000" w:sz="8" w:space="0"/>
              <w:right w:val="single" w:color="000000" w:sz="8" w:space="0"/>
            </w:tcBorders>
            <w:shd w:val="clear" w:color="FFFFFF"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单位</w:t>
            </w:r>
          </w:p>
        </w:tc>
        <w:tc>
          <w:tcPr>
            <w:tcW w:w="403"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403"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403"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41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53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54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520"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40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III级螺纹钢</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HRB400 6-10 以内</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吨</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10.8425</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9.2333</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7.8782</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4700</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50959.75</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43396.51</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37027.54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III级螺纹钢</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HRB400 4)12-14</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吨</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18.5067</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15.7167</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13.4748</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4650</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86056.16</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73082.66</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62657.82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硬塑料板</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平方米</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83.9151</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71.2119</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61.0603</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17.55</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1472.71</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1249.77</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1071.61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矿磕硅酸盐水泥</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P. S 32. 5</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吨</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69.1231</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58.6639</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50.3122</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23847.47</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20239.05</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17357.71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细砂</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244.405</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207.3908</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177.7707</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124</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30306.22</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25716.46</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22043.57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碎石</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20mm</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120.2796</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102.0639</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87.5025</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89.9</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10813.14</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9175.54</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7866.47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标准砖</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240*115*53(mm)</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千块</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190.0135</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161.274</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138.2828</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492</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93486.64</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79346.81</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68035.14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内墙瓷板</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200*300</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平方米</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171.2333</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145.3253</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124.6605</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4280.83</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3633.13</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3116.51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全瓷墙面砖</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300*300</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平方米</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387.2184</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328.5685</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281.647</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9680.46</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8214.21</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陶瓷地面砖</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300*300</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平方米</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127.2142</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107.9617</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92.553</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4452.50</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3778.66</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3239.36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陶瓷地面砖</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600*600</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平方米</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518.2646</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439.7592</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376.9485</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40</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20730.58</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17590.37</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15077.94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铝合金推拉窗</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平方米</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93.2431</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79.1378</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67.8468</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361.56</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33712.98</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28613.06</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24530.69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小青瓦</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8寸筒瓦230*135</w:t>
            </w: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千块</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2.3903</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2.0329</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1.7473</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1970</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4708.89</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4004.81</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3442.18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w:t>
            </w:r>
          </w:p>
        </w:tc>
        <w:tc>
          <w:tcPr>
            <w:tcW w:w="404"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级配砂</w:t>
            </w: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237.5263</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201.5487</w:t>
            </w: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172.7896</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75.7</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17980.74</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15257.24</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13080.17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4" w:hRule="atLeast"/>
          <w:jc w:val="center"/>
        </w:trPr>
        <w:tc>
          <w:tcPr>
            <w:tcW w:w="3396" w:type="pct"/>
            <w:gridSpan w:val="8"/>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合计</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392489.06</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333298.28</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285587.88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40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33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40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单位平方</w:t>
            </w:r>
          </w:p>
        </w:tc>
        <w:tc>
          <w:tcPr>
            <w:tcW w:w="5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1189.36</w:t>
            </w:r>
          </w:p>
        </w:tc>
        <w:tc>
          <w:tcPr>
            <w:tcW w:w="54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1190.35</w:t>
            </w:r>
          </w:p>
        </w:tc>
        <w:tc>
          <w:tcPr>
            <w:tcW w:w="52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1189.95</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4"/>
          <w:szCs w:val="24"/>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4"/>
          <w:szCs w:val="24"/>
          <w:u w:val="none"/>
          <w:lang w:val="en-US" w:eastAsia="zh-CN" w:bidi="ar"/>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i w:val="0"/>
          <w:iCs w:val="0"/>
          <w:color w:val="000000"/>
          <w:kern w:val="0"/>
          <w:sz w:val="24"/>
          <w:szCs w:val="24"/>
          <w:u w:val="none"/>
          <w:lang w:val="en-US" w:eastAsia="zh-CN" w:bidi="ar"/>
        </w:rPr>
        <w:t>9-4建安综合造价指标</w:t>
      </w:r>
    </w:p>
    <w:tbl>
      <w:tblPr>
        <w:tblStyle w:val="45"/>
        <w:tblW w:w="53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40"/>
        <w:gridCol w:w="1903"/>
        <w:gridCol w:w="2038"/>
        <w:gridCol w:w="2329"/>
        <w:gridCol w:w="1296"/>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4438" w:type="pct"/>
            <w:gridSpan w:val="5"/>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建安综合造价指标</w:t>
            </w:r>
          </w:p>
        </w:tc>
        <w:tc>
          <w:tcPr>
            <w:tcW w:w="561" w:type="pct"/>
            <w:shd w:val="clear" w:color="auto" w:fill="FFFFFF"/>
            <w:noWrap/>
            <w:vAlign w:val="center"/>
          </w:tcPr>
          <w:p>
            <w:pPr>
              <w:spacing w:line="360" w:lineRule="auto"/>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jc w:val="center"/>
        </w:trPr>
        <w:tc>
          <w:tcPr>
            <w:tcW w:w="625" w:type="pct"/>
            <w:shd w:val="clear" w:color="auto" w:fill="FFFFFF"/>
            <w:noWrap/>
            <w:vAlign w:val="bottom"/>
          </w:tcPr>
          <w:p>
            <w:pPr>
              <w:spacing w:line="360" w:lineRule="auto"/>
              <w:rPr>
                <w:rFonts w:hint="eastAsia" w:ascii="楷体" w:hAnsi="楷体" w:eastAsia="楷体" w:cs="楷体"/>
                <w:i w:val="0"/>
                <w:iCs w:val="0"/>
                <w:color w:val="000000"/>
                <w:sz w:val="21"/>
                <w:szCs w:val="21"/>
                <w:u w:val="none"/>
              </w:rPr>
            </w:pPr>
          </w:p>
        </w:tc>
        <w:tc>
          <w:tcPr>
            <w:tcW w:w="95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建筑面积（平方米）</w:t>
            </w:r>
          </w:p>
        </w:tc>
        <w:tc>
          <w:tcPr>
            <w:tcW w:w="102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总工日（天）</w:t>
            </w:r>
          </w:p>
        </w:tc>
        <w:tc>
          <w:tcPr>
            <w:tcW w:w="117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人工取费标准(元/工日)</w:t>
            </w:r>
          </w:p>
        </w:tc>
        <w:tc>
          <w:tcPr>
            <w:tcW w:w="65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机械费取费标准（元/平方米）</w:t>
            </w:r>
          </w:p>
        </w:tc>
        <w:tc>
          <w:tcPr>
            <w:tcW w:w="561"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人工费（工日/平方米）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95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330</w:t>
            </w:r>
          </w:p>
        </w:tc>
        <w:tc>
          <w:tcPr>
            <w:tcW w:w="102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950</w:t>
            </w:r>
          </w:p>
        </w:tc>
        <w:tc>
          <w:tcPr>
            <w:tcW w:w="11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63.88</w:t>
            </w:r>
          </w:p>
        </w:tc>
        <w:tc>
          <w:tcPr>
            <w:tcW w:w="6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5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95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280</w:t>
            </w:r>
          </w:p>
        </w:tc>
        <w:tc>
          <w:tcPr>
            <w:tcW w:w="102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850</w:t>
            </w:r>
          </w:p>
        </w:tc>
        <w:tc>
          <w:tcPr>
            <w:tcW w:w="11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63.88</w:t>
            </w:r>
          </w:p>
        </w:tc>
        <w:tc>
          <w:tcPr>
            <w:tcW w:w="6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5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95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240</w:t>
            </w:r>
          </w:p>
        </w:tc>
        <w:tc>
          <w:tcPr>
            <w:tcW w:w="102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800</w:t>
            </w:r>
          </w:p>
        </w:tc>
        <w:tc>
          <w:tcPr>
            <w:tcW w:w="11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63.88</w:t>
            </w:r>
          </w:p>
        </w:tc>
        <w:tc>
          <w:tcPr>
            <w:tcW w:w="6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5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14.63%</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i w:val="0"/>
          <w:iCs w:val="0"/>
          <w:color w:val="000000"/>
          <w:kern w:val="0"/>
          <w:sz w:val="24"/>
          <w:szCs w:val="24"/>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4"/>
          <w:szCs w:val="24"/>
          <w:u w:val="none"/>
          <w:lang w:val="en-US" w:eastAsia="zh-CN" w:bidi="ar"/>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i w:val="0"/>
          <w:iCs w:val="0"/>
          <w:color w:val="000000"/>
          <w:kern w:val="0"/>
          <w:sz w:val="24"/>
          <w:szCs w:val="24"/>
          <w:u w:val="none"/>
          <w:lang w:val="en-US" w:eastAsia="zh-CN" w:bidi="ar"/>
        </w:rPr>
        <w:t>9-5建安综合造价计算结果表</w:t>
      </w: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tbl>
      <w:tblPr>
        <w:tblStyle w:val="45"/>
        <w:tblW w:w="532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1"/>
        <w:gridCol w:w="1039"/>
        <w:gridCol w:w="3854"/>
        <w:gridCol w:w="875"/>
        <w:gridCol w:w="1116"/>
        <w:gridCol w:w="1116"/>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5000" w:type="pct"/>
            <w:gridSpan w:val="7"/>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建安综合造价计算结果表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费   用   名  称</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计算式(或原价格)</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费(税)率</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案例1</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案例2</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案例3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1.1+1.2+1.3+1.4+1.5</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488,434.57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419,001.06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366,028.59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人工费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∑(分部分项工程量×定额人工费)</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60,686.00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54,298.00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51,104.00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材料费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∑(分部分项工程量×材料消耗量×材料单价)</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392,489.06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333,298.28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285,587.88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机械费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∑(分部分项工程量×机械台班消耗量×定额台班单价)</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2,970.00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2,520.00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2,160.00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管理费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（定额人工费+定额机械费×8%）×管理费费率</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33.00%</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20,104.79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17,984.87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16,921.34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利润</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（定额人工费+定额机械费×8%）×利润费费率</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20.00%</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12,184.72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10,899.92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10,255.36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措施项目费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2.1+2.2</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13,159.50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11,771.91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11,075.79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总价措施项目费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13,159.50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11,771.91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11,075.79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2.1.1</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安全文明施工费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（定额人工费+定额机械费×8%）×费率</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15.65%</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9,534.54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8,529.19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8,024.82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2.1.2</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二次搬运费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2.1.3</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冬雨季施工增加，生产工具用具使用，工程定位复测、工程点交、场地清理等</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（定额人工费+定额机械费×8%）×费率</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5.95%</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3,624.95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3,242.73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3,050.97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2.1.4</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已完工程及设备保护费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2.1.5</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地上、地下设施、建筑物临时保护设施</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2.1.6</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夜间施工增加费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2.1.7</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非夜间施工照明</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2.1.8</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特殊地区施工增加费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（定额人工费+定额机械费）×费率</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2.1.9</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单价措施项目费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2.2.1</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土石方及桩基工程</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2.2.2</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脚手架工程</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2.2.3</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模板及支架工程</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2.2.4</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垂直运输</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2.2.5</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超高增加费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2.2.6</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大型机械进退场费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2.2.7</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施工排水、降水</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2.2.8</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高层增加费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其他项目费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16,992.08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15,203.44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14,309.12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3.1</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暂列金额</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暂估价</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计日工</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总承包服务费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16,992.08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15,203.44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14,309.12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3.5.1</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人工费调差</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28.00%</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16,992.08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15,203.44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14,309.12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3.5.2</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机械费调差</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3.5.3</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风险费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3.5.4</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变更、停工、窝工等</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3.5.5</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双方协商认定的其他费用</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规费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16,385.22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14,660.46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13,798.08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4.1</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社会保障及住房公积金</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定额人工费×费率</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26.00%</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15,778.36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14,117.48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13,287.04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4.2</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危险作业意外伤害险</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定额人工费×费率</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606.86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542.98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511.04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4.3</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工程排污费</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按有关规定计算</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税金</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[1+2+3+4-按规定不计税的工程设备费]×费率 </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10.36%</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55,423.03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47,721.98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41,979.92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工程造价（含税）</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1+2+3+4+5</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590,394.40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508,358.86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447,191.49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工程造价（不含税）</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1+2+3+4</w:t>
            </w: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534,971.37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460,636.88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405,211.57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建筑面积</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330.00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280.00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240.00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39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2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工程单价（含税）</w:t>
            </w:r>
          </w:p>
        </w:tc>
        <w:tc>
          <w:tcPr>
            <w:tcW w:w="19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1,789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1,816 </w:t>
            </w:r>
          </w:p>
        </w:tc>
        <w:tc>
          <w:tcPr>
            <w:tcW w:w="5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 xml:space="preserve"> 1,863 </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i w:val="0"/>
          <w:iCs w:val="0"/>
          <w:color w:val="000000"/>
          <w:kern w:val="0"/>
          <w:sz w:val="24"/>
          <w:szCs w:val="24"/>
          <w:u w:val="none"/>
          <w:lang w:val="en-US" w:eastAsia="zh-CN" w:bidi="ar"/>
        </w:rPr>
        <w:t>9-6重置成本测算结果表</w:t>
      </w: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tbl>
      <w:tblPr>
        <w:tblStyle w:val="45"/>
        <w:tblW w:w="11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63"/>
        <w:gridCol w:w="1500"/>
        <w:gridCol w:w="871"/>
        <w:gridCol w:w="1290"/>
        <w:gridCol w:w="1288"/>
        <w:gridCol w:w="741"/>
        <w:gridCol w:w="964"/>
        <w:gridCol w:w="1406"/>
        <w:gridCol w:w="1003"/>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11139" w:type="dxa"/>
            <w:gridSpan w:val="10"/>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重置成本测算结果表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65"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w:t>
            </w:r>
          </w:p>
        </w:tc>
        <w:tc>
          <w:tcPr>
            <w:tcW w:w="150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建安造价（元/平方米）</w:t>
            </w:r>
          </w:p>
        </w:tc>
        <w:tc>
          <w:tcPr>
            <w:tcW w:w="87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前期费用费率</w:t>
            </w:r>
          </w:p>
        </w:tc>
        <w:tc>
          <w:tcPr>
            <w:tcW w:w="129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前期费用</w:t>
            </w:r>
          </w:p>
        </w:tc>
        <w:tc>
          <w:tcPr>
            <w:tcW w:w="129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一年期银行贷款利率</w:t>
            </w:r>
          </w:p>
        </w:tc>
        <w:tc>
          <w:tcPr>
            <w:tcW w:w="72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利息</w:t>
            </w:r>
          </w:p>
        </w:tc>
        <w:tc>
          <w:tcPr>
            <w:tcW w:w="96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投资利润</w:t>
            </w:r>
          </w:p>
        </w:tc>
        <w:tc>
          <w:tcPr>
            <w:tcW w:w="140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重置成本（元/平方米）</w:t>
            </w:r>
          </w:p>
        </w:tc>
        <w:tc>
          <w:tcPr>
            <w:tcW w:w="100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权重</w:t>
            </w:r>
          </w:p>
        </w:tc>
        <w:tc>
          <w:tcPr>
            <w:tcW w:w="111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县域重置成本（元/平方米）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65"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150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1789</w:t>
            </w:r>
          </w:p>
        </w:tc>
        <w:tc>
          <w:tcPr>
            <w:tcW w:w="87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7.08%</w:t>
            </w:r>
          </w:p>
        </w:tc>
        <w:tc>
          <w:tcPr>
            <w:tcW w:w="129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126.67 </w:t>
            </w:r>
          </w:p>
        </w:tc>
        <w:tc>
          <w:tcPr>
            <w:tcW w:w="129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4.35%</w:t>
            </w:r>
          </w:p>
        </w:tc>
        <w:tc>
          <w:tcPr>
            <w:tcW w:w="72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83.33 </w:t>
            </w:r>
          </w:p>
        </w:tc>
        <w:tc>
          <w:tcPr>
            <w:tcW w:w="96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不计</w:t>
            </w:r>
          </w:p>
        </w:tc>
        <w:tc>
          <w:tcPr>
            <w:tcW w:w="140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1999.08 </w:t>
            </w:r>
          </w:p>
        </w:tc>
        <w:tc>
          <w:tcPr>
            <w:tcW w:w="100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0.33 </w:t>
            </w:r>
          </w:p>
        </w:tc>
        <w:tc>
          <w:tcPr>
            <w:tcW w:w="1113" w:type="dxa"/>
            <w:vMerge w:val="restar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2036.59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65"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150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1816</w:t>
            </w:r>
          </w:p>
        </w:tc>
        <w:tc>
          <w:tcPr>
            <w:tcW w:w="87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7.08%</w:t>
            </w:r>
          </w:p>
        </w:tc>
        <w:tc>
          <w:tcPr>
            <w:tcW w:w="129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128.54 </w:t>
            </w:r>
          </w:p>
        </w:tc>
        <w:tc>
          <w:tcPr>
            <w:tcW w:w="129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4.35%</w:t>
            </w:r>
          </w:p>
        </w:tc>
        <w:tc>
          <w:tcPr>
            <w:tcW w:w="72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84.57 </w:t>
            </w:r>
          </w:p>
        </w:tc>
        <w:tc>
          <w:tcPr>
            <w:tcW w:w="96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不计</w:t>
            </w:r>
          </w:p>
        </w:tc>
        <w:tc>
          <w:tcPr>
            <w:tcW w:w="140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2028.68 </w:t>
            </w:r>
          </w:p>
        </w:tc>
        <w:tc>
          <w:tcPr>
            <w:tcW w:w="100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0.33 </w:t>
            </w:r>
          </w:p>
        </w:tc>
        <w:tc>
          <w:tcPr>
            <w:tcW w:w="1113" w:type="dxa"/>
            <w:vMerge w:val="continue"/>
            <w:shd w:val="clear" w:color="auto" w:fill="auto"/>
            <w:noWrap/>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65"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150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1863</w:t>
            </w:r>
          </w:p>
        </w:tc>
        <w:tc>
          <w:tcPr>
            <w:tcW w:w="87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7.08%</w:t>
            </w:r>
          </w:p>
        </w:tc>
        <w:tc>
          <w:tcPr>
            <w:tcW w:w="1291"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131.92 </w:t>
            </w:r>
          </w:p>
        </w:tc>
        <w:tc>
          <w:tcPr>
            <w:tcW w:w="129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4.35%</w:t>
            </w:r>
          </w:p>
        </w:tc>
        <w:tc>
          <w:tcPr>
            <w:tcW w:w="72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86.79 </w:t>
            </w:r>
          </w:p>
        </w:tc>
        <w:tc>
          <w:tcPr>
            <w:tcW w:w="96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不计</w:t>
            </w:r>
          </w:p>
        </w:tc>
        <w:tc>
          <w:tcPr>
            <w:tcW w:w="1408"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2082.01 </w:t>
            </w:r>
          </w:p>
        </w:tc>
        <w:tc>
          <w:tcPr>
            <w:tcW w:w="100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0.33 </w:t>
            </w:r>
          </w:p>
        </w:tc>
        <w:tc>
          <w:tcPr>
            <w:tcW w:w="1113" w:type="dxa"/>
            <w:vMerge w:val="continue"/>
            <w:shd w:val="clear" w:color="auto" w:fill="auto"/>
            <w:noWrap/>
            <w:vAlign w:val="center"/>
          </w:tcPr>
          <w:p>
            <w:pPr>
              <w:spacing w:line="360" w:lineRule="auto"/>
              <w:jc w:val="center"/>
              <w:rPr>
                <w:rFonts w:hint="eastAsia" w:ascii="楷体" w:hAnsi="楷体" w:eastAsia="楷体" w:cs="楷体"/>
                <w:i w:val="0"/>
                <w:iCs w:val="0"/>
                <w:color w:val="000000"/>
                <w:sz w:val="21"/>
                <w:szCs w:val="21"/>
                <w:u w:val="none"/>
              </w:rPr>
            </w:pP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i w:val="0"/>
          <w:iCs w:val="0"/>
          <w:color w:val="000000"/>
          <w:kern w:val="0"/>
          <w:sz w:val="24"/>
          <w:szCs w:val="24"/>
          <w:u w:val="none"/>
          <w:lang w:val="en-US" w:eastAsia="zh-CN" w:bidi="ar"/>
        </w:rPr>
        <w:t>9-7材料价格指数测算结果表</w:t>
      </w:r>
    </w:p>
    <w:tbl>
      <w:tblPr>
        <w:tblStyle w:val="45"/>
        <w:tblW w:w="9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93"/>
        <w:gridCol w:w="1500"/>
        <w:gridCol w:w="1713"/>
        <w:gridCol w:w="986"/>
        <w:gridCol w:w="1096"/>
        <w:gridCol w:w="1096"/>
        <w:gridCol w:w="1324"/>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961" w:type="dxa"/>
            <w:gridSpan w:val="8"/>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材料价格指数测算结果表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jc w:val="center"/>
        </w:trPr>
        <w:tc>
          <w:tcPr>
            <w:tcW w:w="893"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序号</w:t>
            </w:r>
          </w:p>
        </w:tc>
        <w:tc>
          <w:tcPr>
            <w:tcW w:w="1500"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名称、规格、型号</w:t>
            </w:r>
          </w:p>
        </w:tc>
        <w:tc>
          <w:tcPr>
            <w:tcW w:w="1713"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材料价值汇总</w:t>
            </w:r>
          </w:p>
        </w:tc>
        <w:tc>
          <w:tcPr>
            <w:tcW w:w="986"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材料价值平均占比</w:t>
            </w:r>
          </w:p>
        </w:tc>
        <w:tc>
          <w:tcPr>
            <w:tcW w:w="2192" w:type="dxa"/>
            <w:gridSpan w:val="2"/>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材料价格（元）</w:t>
            </w:r>
          </w:p>
        </w:tc>
        <w:tc>
          <w:tcPr>
            <w:tcW w:w="1324" w:type="dxa"/>
            <w:vMerge w:val="restar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价格指数</w:t>
            </w:r>
          </w:p>
        </w:tc>
        <w:tc>
          <w:tcPr>
            <w:tcW w:w="1353" w:type="dxa"/>
            <w:vMerge w:val="restar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893" w:type="dxa"/>
            <w:vMerge w:val="continue"/>
            <w:shd w:val="clear" w:color="auto" w:fill="auto"/>
            <w:vAlign w:val="center"/>
          </w:tcPr>
          <w:p>
            <w:pPr>
              <w:spacing w:line="360" w:lineRule="auto"/>
              <w:jc w:val="center"/>
              <w:rPr>
                <w:rFonts w:hint="eastAsia" w:ascii="楷体" w:hAnsi="楷体" w:eastAsia="楷体" w:cs="楷体"/>
                <w:i w:val="0"/>
                <w:iCs w:val="0"/>
                <w:color w:val="000000"/>
                <w:sz w:val="21"/>
                <w:szCs w:val="21"/>
                <w:u w:val="none"/>
              </w:rPr>
            </w:pPr>
          </w:p>
        </w:tc>
        <w:tc>
          <w:tcPr>
            <w:tcW w:w="1500" w:type="dxa"/>
            <w:vMerge w:val="continue"/>
            <w:shd w:val="clear" w:color="auto" w:fill="auto"/>
            <w:vAlign w:val="center"/>
          </w:tcPr>
          <w:p>
            <w:pPr>
              <w:spacing w:line="360" w:lineRule="auto"/>
              <w:jc w:val="center"/>
              <w:rPr>
                <w:rFonts w:hint="eastAsia" w:ascii="楷体" w:hAnsi="楷体" w:eastAsia="楷体" w:cs="楷体"/>
                <w:i w:val="0"/>
                <w:iCs w:val="0"/>
                <w:color w:val="000000"/>
                <w:sz w:val="21"/>
                <w:szCs w:val="21"/>
                <w:u w:val="none"/>
              </w:rPr>
            </w:pPr>
          </w:p>
        </w:tc>
        <w:tc>
          <w:tcPr>
            <w:tcW w:w="1713" w:type="dxa"/>
            <w:vMerge w:val="continue"/>
            <w:shd w:val="clear" w:color="auto" w:fill="auto"/>
            <w:vAlign w:val="center"/>
          </w:tcPr>
          <w:p>
            <w:pPr>
              <w:spacing w:line="360" w:lineRule="auto"/>
              <w:jc w:val="center"/>
              <w:rPr>
                <w:rFonts w:hint="eastAsia" w:ascii="楷体" w:hAnsi="楷体" w:eastAsia="楷体" w:cs="楷体"/>
                <w:i w:val="0"/>
                <w:iCs w:val="0"/>
                <w:color w:val="000000"/>
                <w:sz w:val="21"/>
                <w:szCs w:val="21"/>
                <w:u w:val="none"/>
              </w:rPr>
            </w:pPr>
          </w:p>
        </w:tc>
        <w:tc>
          <w:tcPr>
            <w:tcW w:w="986" w:type="dxa"/>
            <w:vMerge w:val="continue"/>
            <w:shd w:val="clear" w:color="auto" w:fill="auto"/>
            <w:vAlign w:val="center"/>
          </w:tcPr>
          <w:p>
            <w:pPr>
              <w:spacing w:line="360" w:lineRule="auto"/>
              <w:jc w:val="center"/>
              <w:rPr>
                <w:rFonts w:hint="eastAsia" w:ascii="楷体" w:hAnsi="楷体" w:eastAsia="楷体" w:cs="楷体"/>
                <w:i w:val="0"/>
                <w:iCs w:val="0"/>
                <w:color w:val="000000"/>
                <w:sz w:val="21"/>
                <w:szCs w:val="21"/>
                <w:u w:val="none"/>
              </w:rPr>
            </w:pP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历史价格</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评估时点</w:t>
            </w:r>
          </w:p>
        </w:tc>
        <w:tc>
          <w:tcPr>
            <w:tcW w:w="1324" w:type="dxa"/>
            <w:vMerge w:val="continue"/>
            <w:shd w:val="clear" w:color="auto" w:fill="auto"/>
            <w:noWrap/>
            <w:vAlign w:val="center"/>
          </w:tcPr>
          <w:p>
            <w:pPr>
              <w:spacing w:line="360" w:lineRule="auto"/>
              <w:jc w:val="center"/>
              <w:rPr>
                <w:rFonts w:hint="eastAsia" w:ascii="楷体" w:hAnsi="楷体" w:eastAsia="楷体" w:cs="楷体"/>
                <w:i w:val="0"/>
                <w:iCs w:val="0"/>
                <w:color w:val="000000"/>
                <w:sz w:val="21"/>
                <w:szCs w:val="21"/>
                <w:u w:val="none"/>
              </w:rPr>
            </w:pPr>
          </w:p>
        </w:tc>
        <w:tc>
          <w:tcPr>
            <w:tcW w:w="1353" w:type="dxa"/>
            <w:vMerge w:val="continue"/>
            <w:shd w:val="clear" w:color="auto" w:fill="auto"/>
            <w:noWrap/>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III级螺纹钢</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131383.80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12.99%</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4890</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4700</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-3.89%</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III级螺纹钢</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221796.63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21.93%</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4890</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4700</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-3.89%</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硬塑料板</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3794.09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0.38%</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17.53</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17.55</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0.11%</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矿磕硅酸盐水泥</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61444.22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6.08%</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390</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-11.54%</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细砂</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78066.25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7.72%</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116</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124</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6.90%</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碎石</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27855.16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2.75%</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81.9</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89.9</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9.77%</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标准砖</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240868.59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23.82%</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492</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492</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0.00%</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内墙瓷板</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11030.48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1.09%</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8.70%</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全瓷墙面砖</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24935.85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2.47%</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8.70%</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陶瓷地面砖</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11470.51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6.06%</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陶瓷地面砖</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53398.89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5.28%</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40</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11.11%</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铝合金推拉窗</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86856.73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8.59%</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380</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361.56</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-4.85%</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小青瓦</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12155.89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1.20%</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1950</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1970</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1.03%</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9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w:t>
            </w:r>
          </w:p>
        </w:tc>
        <w:tc>
          <w:tcPr>
            <w:tcW w:w="15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级配砂</w:t>
            </w:r>
          </w:p>
        </w:tc>
        <w:tc>
          <w:tcPr>
            <w:tcW w:w="171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46318.15 </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4.58%</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w:t>
            </w:r>
          </w:p>
        </w:tc>
        <w:tc>
          <w:tcPr>
            <w:tcW w:w="109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75.7</w:t>
            </w:r>
          </w:p>
        </w:tc>
        <w:tc>
          <w:tcPr>
            <w:tcW w:w="1324"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8.14%</w:t>
            </w:r>
          </w:p>
        </w:tc>
        <w:tc>
          <w:tcPr>
            <w:tcW w:w="13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4" w:hRule="atLeast"/>
          <w:jc w:val="center"/>
        </w:trPr>
        <w:tc>
          <w:tcPr>
            <w:tcW w:w="2393" w:type="dxa"/>
            <w:gridSpan w:val="2"/>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合计</w:t>
            </w:r>
          </w:p>
        </w:tc>
        <w:tc>
          <w:tcPr>
            <w:tcW w:w="171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1011375.221</w:t>
            </w:r>
          </w:p>
        </w:tc>
        <w:tc>
          <w:tcPr>
            <w:tcW w:w="986"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100.00%</w:t>
            </w:r>
          </w:p>
        </w:tc>
        <w:tc>
          <w:tcPr>
            <w:tcW w:w="10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13392.43</w:t>
            </w:r>
          </w:p>
        </w:tc>
        <w:tc>
          <w:tcPr>
            <w:tcW w:w="1096"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13000.71</w:t>
            </w:r>
          </w:p>
        </w:tc>
        <w:tc>
          <w:tcPr>
            <w:tcW w:w="1324"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36.35%</w:t>
            </w:r>
          </w:p>
        </w:tc>
        <w:tc>
          <w:tcPr>
            <w:tcW w:w="1353" w:type="dxa"/>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-0.32%</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4"/>
          <w:szCs w:val="24"/>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4"/>
          <w:szCs w:val="24"/>
          <w:u w:val="none"/>
          <w:lang w:val="en-US" w:eastAsia="zh-CN" w:bidi="ar"/>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i w:val="0"/>
          <w:iCs w:val="0"/>
          <w:color w:val="000000"/>
          <w:kern w:val="0"/>
          <w:sz w:val="24"/>
          <w:szCs w:val="24"/>
          <w:u w:val="none"/>
          <w:lang w:val="en-US" w:eastAsia="zh-CN" w:bidi="ar"/>
        </w:rPr>
        <w:t>9-8价格指数测算结果表</w:t>
      </w:r>
    </w:p>
    <w:tbl>
      <w:tblPr>
        <w:tblStyle w:val="4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72"/>
        <w:gridCol w:w="1440"/>
        <w:gridCol w:w="1053"/>
        <w:gridCol w:w="1107"/>
        <w:gridCol w:w="900"/>
        <w:gridCol w:w="900"/>
        <w:gridCol w:w="1215"/>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8"/>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价格指数测算结果表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jc w:val="center"/>
        </w:trPr>
        <w:tc>
          <w:tcPr>
            <w:tcW w:w="972"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w:t>
            </w:r>
          </w:p>
        </w:tc>
        <w:tc>
          <w:tcPr>
            <w:tcW w:w="1440"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历史补偿标准（元/平方米）</w:t>
            </w:r>
          </w:p>
        </w:tc>
        <w:tc>
          <w:tcPr>
            <w:tcW w:w="0" w:type="auto"/>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价格指数</w:t>
            </w:r>
          </w:p>
        </w:tc>
        <w:tc>
          <w:tcPr>
            <w:tcW w:w="0" w:type="auto"/>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权重</w:t>
            </w:r>
          </w:p>
        </w:tc>
        <w:tc>
          <w:tcPr>
            <w:tcW w:w="1215"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修正后价格</w:t>
            </w:r>
          </w:p>
        </w:tc>
        <w:tc>
          <w:tcPr>
            <w:tcW w:w="1413"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县域价格指数法平均价格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72"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440"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05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材料价格指数</w:t>
            </w:r>
          </w:p>
        </w:tc>
        <w:tc>
          <w:tcPr>
            <w:tcW w:w="1107"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人工费调整指数</w:t>
            </w:r>
          </w:p>
        </w:tc>
        <w:tc>
          <w:tcPr>
            <w:tcW w:w="90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w:t>
            </w:r>
          </w:p>
        </w:tc>
        <w:tc>
          <w:tcPr>
            <w:tcW w:w="90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w:t>
            </w:r>
          </w:p>
        </w:tc>
        <w:tc>
          <w:tcPr>
            <w:tcW w:w="1215"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413"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72"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144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900</w:t>
            </w:r>
          </w:p>
        </w:tc>
        <w:tc>
          <w:tcPr>
            <w:tcW w:w="105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-0.32%</w:t>
            </w:r>
          </w:p>
        </w:tc>
        <w:tc>
          <w:tcPr>
            <w:tcW w:w="1107"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11.30%</w:t>
            </w:r>
          </w:p>
        </w:tc>
        <w:tc>
          <w:tcPr>
            <w:tcW w:w="90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0.8 </w:t>
            </w:r>
          </w:p>
        </w:tc>
        <w:tc>
          <w:tcPr>
            <w:tcW w:w="90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0.2 </w:t>
            </w:r>
          </w:p>
        </w:tc>
        <w:tc>
          <w:tcPr>
            <w:tcW w:w="1215"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918.01 </w:t>
            </w:r>
          </w:p>
        </w:tc>
        <w:tc>
          <w:tcPr>
            <w:tcW w:w="0" w:type="auto"/>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72"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144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900</w:t>
            </w:r>
          </w:p>
        </w:tc>
        <w:tc>
          <w:tcPr>
            <w:tcW w:w="105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-0.32%</w:t>
            </w:r>
          </w:p>
        </w:tc>
        <w:tc>
          <w:tcPr>
            <w:tcW w:w="1107"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11.30%</w:t>
            </w:r>
          </w:p>
        </w:tc>
        <w:tc>
          <w:tcPr>
            <w:tcW w:w="90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0.8 </w:t>
            </w:r>
          </w:p>
        </w:tc>
        <w:tc>
          <w:tcPr>
            <w:tcW w:w="90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0.2 </w:t>
            </w:r>
          </w:p>
        </w:tc>
        <w:tc>
          <w:tcPr>
            <w:tcW w:w="1215"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918.01 </w:t>
            </w:r>
          </w:p>
        </w:tc>
        <w:tc>
          <w:tcPr>
            <w:tcW w:w="0" w:type="auto"/>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72"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144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900</w:t>
            </w:r>
          </w:p>
        </w:tc>
        <w:tc>
          <w:tcPr>
            <w:tcW w:w="105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-0.32%</w:t>
            </w:r>
          </w:p>
        </w:tc>
        <w:tc>
          <w:tcPr>
            <w:tcW w:w="1107"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11.30%</w:t>
            </w:r>
          </w:p>
        </w:tc>
        <w:tc>
          <w:tcPr>
            <w:tcW w:w="90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0.8 </w:t>
            </w:r>
          </w:p>
        </w:tc>
        <w:tc>
          <w:tcPr>
            <w:tcW w:w="90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0.2 </w:t>
            </w:r>
          </w:p>
        </w:tc>
        <w:tc>
          <w:tcPr>
            <w:tcW w:w="1215"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918.01 </w:t>
            </w:r>
          </w:p>
        </w:tc>
        <w:tc>
          <w:tcPr>
            <w:tcW w:w="0" w:type="auto"/>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br w:type="page"/>
      </w:r>
    </w:p>
    <w:p>
      <w:pPr>
        <w:pStyle w:val="61"/>
        <w:spacing w:line="360" w:lineRule="auto"/>
        <w:ind w:firstLine="560"/>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②</w:t>
      </w:r>
      <w:r>
        <w:rPr>
          <w:rFonts w:hint="eastAsia" w:ascii="楷体" w:hAnsi="楷体" w:eastAsia="楷体" w:cs="楷体"/>
          <w:i w:val="0"/>
          <w:iCs w:val="0"/>
          <w:color w:val="000000"/>
          <w:kern w:val="0"/>
          <w:sz w:val="28"/>
          <w:szCs w:val="28"/>
          <w:u w:val="none"/>
          <w:lang w:val="en-US" w:eastAsia="zh-CN" w:bidi="ar"/>
        </w:rPr>
        <w:t>砖混结构</w:t>
      </w:r>
    </w:p>
    <w:p>
      <w:pPr>
        <w:pStyle w:val="61"/>
        <w:spacing w:line="360" w:lineRule="auto"/>
        <w:ind w:firstLine="560"/>
        <w:jc w:val="center"/>
        <w:outlineLvl w:val="2"/>
        <w:rPr>
          <w:rFonts w:hint="eastAsia" w:ascii="楷体" w:hAnsi="楷体" w:eastAsia="楷体" w:cs="楷体"/>
          <w:color w:val="auto"/>
          <w:sz w:val="24"/>
          <w:szCs w:val="24"/>
          <w:lang w:eastAsia="zh-CN"/>
        </w:rPr>
      </w:pPr>
      <w:r>
        <w:rPr>
          <w:rFonts w:hint="eastAsia" w:ascii="楷体" w:hAnsi="楷体" w:eastAsia="楷体" w:cs="楷体"/>
          <w:i w:val="0"/>
          <w:iCs w:val="0"/>
          <w:color w:val="auto"/>
          <w:kern w:val="0"/>
          <w:sz w:val="24"/>
          <w:szCs w:val="24"/>
          <w:u w:val="none"/>
          <w:lang w:val="en-US" w:eastAsia="zh-CN" w:bidi="ar"/>
        </w:rPr>
        <w:t>9-9砖混结构主要材料数量和价格表</w:t>
      </w:r>
    </w:p>
    <w:tbl>
      <w:tblPr>
        <w:tblStyle w:val="45"/>
        <w:tblW w:w="58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6"/>
        <w:gridCol w:w="1681"/>
        <w:gridCol w:w="1397"/>
        <w:gridCol w:w="870"/>
        <w:gridCol w:w="866"/>
        <w:gridCol w:w="936"/>
        <w:gridCol w:w="799"/>
        <w:gridCol w:w="740"/>
        <w:gridCol w:w="830"/>
        <w:gridCol w:w="941"/>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5000" w:type="pct"/>
            <w:gridSpan w:val="11"/>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砖混结构主要材料数量和价格表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329" w:type="pct"/>
            <w:vMerge w:val="restar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序号</w:t>
            </w:r>
          </w:p>
        </w:tc>
        <w:tc>
          <w:tcPr>
            <w:tcW w:w="773" w:type="pct"/>
            <w:vMerge w:val="restar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材料名称</w:t>
            </w:r>
          </w:p>
        </w:tc>
        <w:tc>
          <w:tcPr>
            <w:tcW w:w="642" w:type="pct"/>
            <w:vMerge w:val="restar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规格、型号等特殊 要求</w:t>
            </w:r>
          </w:p>
        </w:tc>
        <w:tc>
          <w:tcPr>
            <w:tcW w:w="1596" w:type="pct"/>
            <w:gridSpan w:val="4"/>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数量</w:t>
            </w:r>
          </w:p>
        </w:tc>
        <w:tc>
          <w:tcPr>
            <w:tcW w:w="340"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2020年1月1日材料价格</w:t>
            </w:r>
          </w:p>
        </w:tc>
        <w:tc>
          <w:tcPr>
            <w:tcW w:w="1317" w:type="pct"/>
            <w:gridSpan w:val="3"/>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jc w:val="center"/>
        </w:trPr>
        <w:tc>
          <w:tcPr>
            <w:tcW w:w="329" w:type="pct"/>
            <w:vMerge w:val="continue"/>
            <w:shd w:val="clear" w:color="FFFFFF" w:fill="FFFFFF"/>
            <w:vAlign w:val="center"/>
          </w:tcPr>
          <w:p>
            <w:pPr>
              <w:spacing w:line="360" w:lineRule="auto"/>
              <w:jc w:val="center"/>
              <w:rPr>
                <w:rFonts w:hint="eastAsia" w:ascii="楷体" w:hAnsi="楷体" w:eastAsia="楷体" w:cs="楷体"/>
                <w:i w:val="0"/>
                <w:iCs w:val="0"/>
                <w:color w:val="auto"/>
                <w:sz w:val="21"/>
                <w:szCs w:val="21"/>
                <w:u w:val="none"/>
              </w:rPr>
            </w:pPr>
          </w:p>
        </w:tc>
        <w:tc>
          <w:tcPr>
            <w:tcW w:w="773" w:type="pct"/>
            <w:vMerge w:val="continue"/>
            <w:shd w:val="clear" w:color="FFFFFF" w:fill="FFFFFF"/>
            <w:vAlign w:val="center"/>
          </w:tcPr>
          <w:p>
            <w:pPr>
              <w:spacing w:line="360" w:lineRule="auto"/>
              <w:jc w:val="center"/>
              <w:rPr>
                <w:rFonts w:hint="eastAsia" w:ascii="楷体" w:hAnsi="楷体" w:eastAsia="楷体" w:cs="楷体"/>
                <w:i w:val="0"/>
                <w:iCs w:val="0"/>
                <w:color w:val="auto"/>
                <w:sz w:val="21"/>
                <w:szCs w:val="21"/>
                <w:u w:val="none"/>
              </w:rPr>
            </w:pPr>
          </w:p>
        </w:tc>
        <w:tc>
          <w:tcPr>
            <w:tcW w:w="642" w:type="pct"/>
            <w:vMerge w:val="continue"/>
            <w:shd w:val="clear" w:color="FFFFFF" w:fill="FFFFFF"/>
            <w:vAlign w:val="center"/>
          </w:tcPr>
          <w:p>
            <w:pPr>
              <w:spacing w:line="360" w:lineRule="auto"/>
              <w:jc w:val="center"/>
              <w:rPr>
                <w:rFonts w:hint="eastAsia" w:ascii="楷体" w:hAnsi="楷体" w:eastAsia="楷体" w:cs="楷体"/>
                <w:i w:val="0"/>
                <w:iCs w:val="0"/>
                <w:color w:val="auto"/>
                <w:sz w:val="21"/>
                <w:szCs w:val="21"/>
                <w:u w:val="none"/>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单位</w:t>
            </w:r>
          </w:p>
        </w:tc>
        <w:tc>
          <w:tcPr>
            <w:tcW w:w="398"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案例1</w:t>
            </w:r>
          </w:p>
        </w:tc>
        <w:tc>
          <w:tcPr>
            <w:tcW w:w="430"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案例2</w:t>
            </w:r>
          </w:p>
        </w:tc>
        <w:tc>
          <w:tcPr>
            <w:tcW w:w="36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案例3</w:t>
            </w:r>
          </w:p>
        </w:tc>
        <w:tc>
          <w:tcPr>
            <w:tcW w:w="340" w:type="pct"/>
            <w:vMerge w:val="continue"/>
            <w:shd w:val="clear" w:color="auto" w:fill="FFFFFF"/>
            <w:vAlign w:val="center"/>
          </w:tcPr>
          <w:p>
            <w:pPr>
              <w:spacing w:line="360" w:lineRule="auto"/>
              <w:jc w:val="center"/>
              <w:rPr>
                <w:rFonts w:hint="eastAsia" w:ascii="楷体" w:hAnsi="楷体" w:eastAsia="楷体" w:cs="楷体"/>
                <w:i w:val="0"/>
                <w:iCs w:val="0"/>
                <w:color w:val="auto"/>
                <w:sz w:val="21"/>
                <w:szCs w:val="21"/>
                <w:u w:val="none"/>
              </w:rPr>
            </w:pPr>
          </w:p>
        </w:tc>
        <w:tc>
          <w:tcPr>
            <w:tcW w:w="381"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案例1</w:t>
            </w:r>
          </w:p>
        </w:tc>
        <w:tc>
          <w:tcPr>
            <w:tcW w:w="432"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案例2</w:t>
            </w:r>
          </w:p>
        </w:tc>
        <w:tc>
          <w:tcPr>
            <w:tcW w:w="502"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案例3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2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w:t>
            </w:r>
          </w:p>
        </w:tc>
        <w:tc>
          <w:tcPr>
            <w:tcW w:w="77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热轧带肋钢筋 </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HRB400，φ8~10mm</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吨</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1.2403</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1.034465617</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0.7848</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4530</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5618.56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4686.13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3555.14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热轧带肋钢筋 </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HRB400，φ8~10mm</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吨</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2.8154</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2.409942005</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1.6911</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4530</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12753.76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10917.04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7660.68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热轧带肋钢筋 </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HRB400，φ12~14mm</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吨</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1.2042</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1.003148302</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0.7924</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4650</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5599.53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4664.64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3684.66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热轧带肋钢筋</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 HRB400，φ16~25mm</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吨</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8.3349</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5.363711682</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5.3603</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4460</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37173.65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23922.15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23906.94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矿渣硅酸盐水泥 P.S 32.5</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 P.S 32.5</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吨</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25.3809</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22.95708368</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15.3871</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345</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8756.41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7920.19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5308.55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6</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细砂 </w:t>
            </w:r>
          </w:p>
        </w:tc>
        <w:tc>
          <w:tcPr>
            <w:tcW w:w="642"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立方米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68.092</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59.56652858</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41.5019</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135</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9192.42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8041.48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5602.76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7</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标准砖 </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240×115×53</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千块</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42.281</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36.24059652</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25.8518</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492</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20802.25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17830.37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12719.09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8</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陶瓷地砖 (综合)</w:t>
            </w:r>
          </w:p>
        </w:tc>
        <w:tc>
          <w:tcPr>
            <w:tcW w:w="642"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平方米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48.5096</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41.57995029</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29.6602</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94.54</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4586.10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3930.97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2804.08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9</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地砖 </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600×600</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平方米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423.3394</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367.8333057</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248.9527</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91.99</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38942.99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33836.99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22901.16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10</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彩钢板</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 δ0.5</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平方米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95.8166</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82.12841756</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58.585</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23</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2203.78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1888.95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1347.46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11</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铝合金推拉窗 普通玻璃</w:t>
            </w:r>
          </w:p>
        </w:tc>
        <w:tc>
          <w:tcPr>
            <w:tcW w:w="642"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平方米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128.7133</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110.3259321</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78.699</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390</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50198.19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43027.11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30692.61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12</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钢制防盗门 </w:t>
            </w:r>
          </w:p>
        </w:tc>
        <w:tc>
          <w:tcPr>
            <w:tcW w:w="642"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平方米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24.2752</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20.8071251</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14.8425</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996</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24178.10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20723.90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14783.13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13</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苯丙乳胶漆 内墙用</w:t>
            </w:r>
          </w:p>
        </w:tc>
        <w:tc>
          <w:tcPr>
            <w:tcW w:w="642"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千克</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194.411</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166.6379453</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118.8685</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15.18</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2951.16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2529.56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1804.42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32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14</w:t>
            </w:r>
          </w:p>
        </w:tc>
        <w:tc>
          <w:tcPr>
            <w:tcW w:w="773"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焊接钢管 </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DN48×3.6</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吨·天</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616.7489</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528.6417564</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377.098</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3.4</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2096.95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1797.38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1282.13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4" w:hRule="atLeast"/>
          <w:jc w:val="center"/>
        </w:trPr>
        <w:tc>
          <w:tcPr>
            <w:tcW w:w="32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15</w:t>
            </w:r>
          </w:p>
        </w:tc>
        <w:tc>
          <w:tcPr>
            <w:tcW w:w="7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组合钢模板 </w:t>
            </w:r>
          </w:p>
        </w:tc>
        <w:tc>
          <w:tcPr>
            <w:tcW w:w="642"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平方米·天</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11438.9691</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9995.714167</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6997.2536</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0.2</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2287.79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1999.14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1399.45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16</w:t>
            </w:r>
          </w:p>
        </w:tc>
        <w:tc>
          <w:tcPr>
            <w:tcW w:w="7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木支撑 </w:t>
            </w:r>
          </w:p>
        </w:tc>
        <w:tc>
          <w:tcPr>
            <w:tcW w:w="642"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立方米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1.4487</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1.241756421</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0.8858</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2100</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3042.27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2607.69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1860.18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2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17</w:t>
            </w:r>
          </w:p>
        </w:tc>
        <w:tc>
          <w:tcPr>
            <w:tcW w:w="7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预拌混凝土</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 C15</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立方米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6.5673</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5.629163215</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4.0155</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350</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2298.56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1970.21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1405.43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18</w:t>
            </w:r>
          </w:p>
        </w:tc>
        <w:tc>
          <w:tcPr>
            <w:tcW w:w="7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预拌混凝土</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 C25</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立方米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59.8722</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51.31913836</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36.6075</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366</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21913.23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18782.80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13398.35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19</w:t>
            </w:r>
          </w:p>
        </w:tc>
        <w:tc>
          <w:tcPr>
            <w:tcW w:w="7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预拌混凝土</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 C20</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立方米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7.9781</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6.838111019</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4.878</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358</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2856.16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2448.04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1746.32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2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20</w:t>
            </w:r>
          </w:p>
        </w:tc>
        <w:tc>
          <w:tcPr>
            <w:tcW w:w="7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预拌细石混凝土</w:t>
            </w:r>
          </w:p>
        </w:tc>
        <w:tc>
          <w:tcPr>
            <w:tcW w:w="64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 C25</w:t>
            </w:r>
          </w:p>
        </w:tc>
        <w:tc>
          <w:tcPr>
            <w:tcW w:w="4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立方米</w:t>
            </w:r>
          </w:p>
        </w:tc>
        <w:tc>
          <w:tcPr>
            <w:tcW w:w="3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6.3732</w:t>
            </w:r>
          </w:p>
        </w:tc>
        <w:tc>
          <w:tcPr>
            <w:tcW w:w="43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5.462634631</w:t>
            </w:r>
          </w:p>
        </w:tc>
        <w:tc>
          <w:tcPr>
            <w:tcW w:w="36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3.8968</w:t>
            </w: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360</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2294.35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1966.55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1402.85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29" w:type="pct"/>
            <w:shd w:val="clear" w:color="auto" w:fill="FFFFFF"/>
            <w:noWrap/>
            <w:vAlign w:val="bottom"/>
          </w:tcPr>
          <w:p>
            <w:pPr>
              <w:spacing w:line="360" w:lineRule="auto"/>
              <w:rPr>
                <w:rFonts w:hint="eastAsia" w:ascii="楷体" w:hAnsi="楷体" w:eastAsia="楷体" w:cs="楷体"/>
                <w:i w:val="0"/>
                <w:iCs w:val="0"/>
                <w:color w:val="auto"/>
                <w:sz w:val="21"/>
                <w:szCs w:val="21"/>
                <w:u w:val="none"/>
              </w:rPr>
            </w:pPr>
          </w:p>
        </w:tc>
        <w:tc>
          <w:tcPr>
            <w:tcW w:w="773" w:type="pct"/>
            <w:shd w:val="clear" w:color="auto" w:fill="FFFFFF"/>
            <w:noWrap/>
            <w:vAlign w:val="bottom"/>
          </w:tcPr>
          <w:p>
            <w:pPr>
              <w:spacing w:line="360" w:lineRule="auto"/>
              <w:rPr>
                <w:rFonts w:hint="eastAsia" w:ascii="楷体" w:hAnsi="楷体" w:eastAsia="楷体" w:cs="楷体"/>
                <w:i w:val="0"/>
                <w:iCs w:val="0"/>
                <w:color w:val="auto"/>
                <w:sz w:val="21"/>
                <w:szCs w:val="21"/>
                <w:u w:val="none"/>
              </w:rPr>
            </w:pPr>
          </w:p>
        </w:tc>
        <w:tc>
          <w:tcPr>
            <w:tcW w:w="642"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400"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398"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430"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367" w:type="pct"/>
            <w:shd w:val="clear" w:color="auto" w:fill="FFFFFF"/>
            <w:noWrap/>
            <w:vAlign w:val="center"/>
          </w:tcPr>
          <w:p>
            <w:pPr>
              <w:spacing w:line="360" w:lineRule="auto"/>
              <w:jc w:val="center"/>
              <w:rPr>
                <w:rFonts w:hint="eastAsia" w:ascii="楷体" w:hAnsi="楷体" w:eastAsia="楷体" w:cs="楷体"/>
                <w:i w:val="0"/>
                <w:iCs w:val="0"/>
                <w:color w:val="auto"/>
                <w:sz w:val="21"/>
                <w:szCs w:val="21"/>
                <w:u w:val="none"/>
              </w:rPr>
            </w:pPr>
          </w:p>
        </w:tc>
        <w:tc>
          <w:tcPr>
            <w:tcW w:w="34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单位平方</w:t>
            </w:r>
          </w:p>
        </w:tc>
        <w:tc>
          <w:tcPr>
            <w:tcW w:w="38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742.13 </w:t>
            </w:r>
          </w:p>
        </w:tc>
        <w:tc>
          <w:tcPr>
            <w:tcW w:w="4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718.30 </w:t>
            </w:r>
          </w:p>
        </w:tc>
        <w:tc>
          <w:tcPr>
            <w:tcW w:w="50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auto"/>
                <w:sz w:val="21"/>
                <w:szCs w:val="21"/>
                <w:u w:val="none"/>
              </w:rPr>
            </w:pPr>
            <w:r>
              <w:rPr>
                <w:rFonts w:hint="eastAsia" w:ascii="楷体" w:hAnsi="楷体" w:eastAsia="楷体" w:cs="楷体"/>
                <w:i w:val="0"/>
                <w:iCs w:val="0"/>
                <w:color w:val="auto"/>
                <w:kern w:val="0"/>
                <w:sz w:val="21"/>
                <w:szCs w:val="21"/>
                <w:u w:val="none"/>
                <w:lang w:val="en-US" w:eastAsia="zh-CN" w:bidi="ar"/>
              </w:rPr>
              <w:t xml:space="preserve">744.23 </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outlineLvl w:val="2"/>
        <w:rPr>
          <w:rFonts w:hint="eastAsia" w:ascii="楷体" w:hAnsi="楷体" w:eastAsia="楷体" w:cs="楷体"/>
          <w:color w:val="auto"/>
          <w:sz w:val="21"/>
          <w:szCs w:val="21"/>
          <w:highlight w:val="none"/>
          <w:lang w:val="en-US" w:eastAsia="zh-CN"/>
        </w:rPr>
      </w:pPr>
      <w:r>
        <w:rPr>
          <w:rFonts w:hint="eastAsia" w:ascii="楷体" w:hAnsi="楷体" w:eastAsia="楷体" w:cs="楷体"/>
          <w:i w:val="0"/>
          <w:iCs w:val="0"/>
          <w:color w:val="000000"/>
          <w:kern w:val="0"/>
          <w:sz w:val="21"/>
          <w:szCs w:val="21"/>
          <w:u w:val="none"/>
          <w:lang w:val="en-US" w:eastAsia="zh-CN" w:bidi="ar"/>
        </w:rPr>
        <w:t>9-10建安综合造价指标</w:t>
      </w:r>
    </w:p>
    <w:p>
      <w:pPr>
        <w:pStyle w:val="40"/>
        <w:adjustRightInd w:val="0"/>
        <w:spacing w:beforeAutospacing="0" w:afterAutospacing="0" w:line="360" w:lineRule="auto"/>
        <w:jc w:val="center"/>
        <w:rPr>
          <w:rFonts w:hint="eastAsia" w:ascii="楷体" w:hAnsi="楷体" w:eastAsia="楷体" w:cs="楷体"/>
          <w:color w:val="auto"/>
          <w:sz w:val="21"/>
          <w:szCs w:val="21"/>
          <w:highlight w:val="none"/>
          <w:lang w:val="en-US" w:eastAsia="zh-CN"/>
        </w:rPr>
      </w:pPr>
    </w:p>
    <w:tbl>
      <w:tblPr>
        <w:tblStyle w:val="45"/>
        <w:tblW w:w="10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1"/>
        <w:gridCol w:w="2034"/>
        <w:gridCol w:w="1993"/>
        <w:gridCol w:w="1977"/>
        <w:gridCol w:w="1968"/>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93" w:type="dxa"/>
            <w:gridSpan w:val="5"/>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建安综合造价指标</w:t>
            </w:r>
          </w:p>
        </w:tc>
        <w:tc>
          <w:tcPr>
            <w:tcW w:w="1350" w:type="dxa"/>
            <w:shd w:val="clear" w:color="auto" w:fill="FFFFFF"/>
            <w:noWrap/>
            <w:vAlign w:val="center"/>
          </w:tcPr>
          <w:p>
            <w:pPr>
              <w:spacing w:line="360" w:lineRule="auto"/>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1" w:type="dxa"/>
            <w:shd w:val="clear" w:color="auto" w:fill="FFFFFF"/>
            <w:noWrap/>
            <w:vAlign w:val="bottom"/>
          </w:tcPr>
          <w:p>
            <w:pPr>
              <w:spacing w:line="360" w:lineRule="auto"/>
              <w:rPr>
                <w:rFonts w:hint="eastAsia" w:ascii="楷体" w:hAnsi="楷体" w:eastAsia="楷体" w:cs="楷体"/>
                <w:i w:val="0"/>
                <w:iCs w:val="0"/>
                <w:color w:val="000000"/>
                <w:sz w:val="21"/>
                <w:szCs w:val="21"/>
                <w:u w:val="none"/>
              </w:rPr>
            </w:pPr>
          </w:p>
        </w:tc>
        <w:tc>
          <w:tcPr>
            <w:tcW w:w="2034"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建筑面积（平方米）</w:t>
            </w:r>
          </w:p>
        </w:tc>
        <w:tc>
          <w:tcPr>
            <w:tcW w:w="199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总工日（天）</w:t>
            </w:r>
          </w:p>
        </w:tc>
        <w:tc>
          <w:tcPr>
            <w:tcW w:w="1977"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人工取费标准(元/工日)</w:t>
            </w:r>
          </w:p>
        </w:tc>
        <w:tc>
          <w:tcPr>
            <w:tcW w:w="196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机械费取费标准（元/平方米）</w:t>
            </w:r>
          </w:p>
        </w:tc>
        <w:tc>
          <w:tcPr>
            <w:tcW w:w="135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人工费（工日/平方米）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21"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2034"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350</w:t>
            </w:r>
          </w:p>
        </w:tc>
        <w:tc>
          <w:tcPr>
            <w:tcW w:w="1993"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900</w:t>
            </w:r>
          </w:p>
        </w:tc>
        <w:tc>
          <w:tcPr>
            <w:tcW w:w="1977"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63.88</w:t>
            </w:r>
          </w:p>
        </w:tc>
        <w:tc>
          <w:tcPr>
            <w:tcW w:w="1968"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135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21"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2034"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w:t>
            </w:r>
          </w:p>
        </w:tc>
        <w:tc>
          <w:tcPr>
            <w:tcW w:w="1993"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800</w:t>
            </w:r>
          </w:p>
        </w:tc>
        <w:tc>
          <w:tcPr>
            <w:tcW w:w="1977"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63.88</w:t>
            </w:r>
          </w:p>
        </w:tc>
        <w:tc>
          <w:tcPr>
            <w:tcW w:w="1968"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135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21"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2034"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214</w:t>
            </w:r>
          </w:p>
        </w:tc>
        <w:tc>
          <w:tcPr>
            <w:tcW w:w="1993"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700</w:t>
            </w:r>
          </w:p>
        </w:tc>
        <w:tc>
          <w:tcPr>
            <w:tcW w:w="1977"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63.88</w:t>
            </w:r>
          </w:p>
        </w:tc>
        <w:tc>
          <w:tcPr>
            <w:tcW w:w="1968"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135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18.22%</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outlineLvl w:val="2"/>
        <w:rPr>
          <w:rFonts w:hint="eastAsia"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lang w:val="en-US" w:eastAsia="zh-CN"/>
        </w:rPr>
        <w:t>9-11</w:t>
      </w:r>
      <w:r>
        <w:rPr>
          <w:rFonts w:hint="eastAsia" w:ascii="楷体" w:hAnsi="楷体" w:eastAsia="楷体" w:cs="楷体"/>
          <w:i w:val="0"/>
          <w:iCs w:val="0"/>
          <w:color w:val="000000"/>
          <w:kern w:val="0"/>
          <w:sz w:val="21"/>
          <w:szCs w:val="21"/>
          <w:u w:val="none"/>
          <w:lang w:val="en-US" w:eastAsia="zh-CN" w:bidi="ar"/>
        </w:rPr>
        <w:t>建安综合造价计算结果表</w:t>
      </w:r>
    </w:p>
    <w:tbl>
      <w:tblPr>
        <w:tblStyle w:val="45"/>
        <w:tblpPr w:leftFromText="180" w:rightFromText="180" w:vertAnchor="text" w:horzAnchor="page" w:tblpXSpec="center" w:tblpY="628"/>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4"/>
        <w:gridCol w:w="960"/>
        <w:gridCol w:w="3726"/>
        <w:gridCol w:w="869"/>
        <w:gridCol w:w="1033"/>
        <w:gridCol w:w="1035"/>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5000" w:type="pct"/>
            <w:gridSpan w:val="7"/>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建安综合造价计算结果表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费   用   名  称</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计算式(或原价格)</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费(税)率</w:t>
            </w: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案例1</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案例2</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案例3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1.1+1.2+1.3+1.4+1.5</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350,992.53</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296,494.91</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229,688.52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人工费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∑(分部分项工程量×定额人工费)</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57,492.00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51,104.00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44,716.00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材料费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∑(分部分项工程量×材料消耗量×材料单价)</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259,746.21</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215,491.31</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159,265.38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机械费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∑(分部分项工程量×机械台班消耗量×定额台班单价)</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3,150.00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2,700.00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管理费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（定额人工费+定额机械费×8%）×管理费费率</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33.00%</w:t>
            </w: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19,055.52</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16,935.60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14,807.13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利润</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（定额人工费+定额机械费×8%）×利润费费率</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20.00%</w:t>
            </w: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11,548.80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10,264.00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8,974.02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措施项目费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2.1+2.2</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35,735.70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11,085.12</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30,259.94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总价措施项目费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12,472.70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11,085.12</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9,691.94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2.1.1</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安全文明施工费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（定额人工费+定额机械费×8%）×费率</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15.65%</w:t>
            </w: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9,036.94</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8,031.58</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7,022.17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2.1.2</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二次搬运费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4"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2.1.3</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冬雨季施工增加，生产工具用具使用，工程定位复测、工程点交、场地清理等</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（定额人工费+定额机械费×8%）×费率</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5.95%</w:t>
            </w: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3,435.77</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3,053.54</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2,669.77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2.1.4</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已完工程及设备保护费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2.1.5</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地上、地下设施、建筑物临时保护设施</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2.1.6</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夜间施工增加费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2.1.7</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非夜间施工照明</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2.1.8</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特殊地区施工增加费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（定额人工费+定额机械费）×费率</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2.1.9</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单价措施项目费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23,263.00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20,568.00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2.2.1</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土石方及桩基工程</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3,342.00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2.2.2</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脚手架工程</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2,431.00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2.2.3</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模板及支架工程</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15,342.00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13,212.00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2.2.4</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垂直运输</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2,148.00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2.2.5</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超高增加费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2.2.6</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大型机械进退场费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2.2.7</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施工排水、降水</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2.2.8</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高层增加费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其他项目费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16,097.76</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14,309.12</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12,520.48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3.1</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暂列金额</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暂估价</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计日工</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总承包服务费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16,097.76</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14,309.12</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12,520.48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3.5.1</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人工费调差</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28.00%</w:t>
            </w: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16,097.76</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14,309.12</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12,520.48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3.5.2</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机械费调差</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3.5.3</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风险费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3.5.4</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变更、停工、窝工等</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3.5.5</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双方协商认定的其他费用</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规费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15,556.26</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13,798.08</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12,104.60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4.1</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社会保障及住房公积金</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定额人工费×费率</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26.00%</w:t>
            </w: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14,947.92</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13,287.04</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11,626.16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4.2</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危险作业意外伤害险</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定额人工费×费率</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608.34</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511.04</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478.44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4.3</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工程排污费</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按有关规定计算</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税金</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[1+2+3+4-按规定不计税的工程设备费]×费率</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10.36%</w:t>
            </w: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43,344.40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34,777.20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29,481.82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工程造价（含税）</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1+2+3+4+5</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461,726.65</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370,464.43</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314,055.35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工程造价（不含税）</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1+2+3+4</w:t>
            </w: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418,382.25</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335,687.23</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284,573.54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建筑面积</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350.00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300.00</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工程单价（含税）</w:t>
            </w:r>
          </w:p>
        </w:tc>
        <w:tc>
          <w:tcPr>
            <w:tcW w:w="200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5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1,319</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1,235</w:t>
            </w:r>
          </w:p>
        </w:tc>
        <w:tc>
          <w:tcPr>
            <w:tcW w:w="55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1,468</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i w:val="0"/>
          <w:iCs w:val="0"/>
          <w:color w:val="000000"/>
          <w:kern w:val="0"/>
          <w:sz w:val="24"/>
          <w:szCs w:val="24"/>
          <w:u w:val="none"/>
          <w:lang w:val="en-US" w:eastAsia="zh-CN" w:bidi="ar"/>
        </w:rPr>
        <w:t>9-12 重置成本测算结果表</w:t>
      </w: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tbl>
      <w:tblPr>
        <w:tblStyle w:val="45"/>
        <w:tblW w:w="11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64"/>
        <w:gridCol w:w="1500"/>
        <w:gridCol w:w="871"/>
        <w:gridCol w:w="1289"/>
        <w:gridCol w:w="1288"/>
        <w:gridCol w:w="741"/>
        <w:gridCol w:w="964"/>
        <w:gridCol w:w="1406"/>
        <w:gridCol w:w="853"/>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1053" w:type="dxa"/>
            <w:gridSpan w:val="10"/>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重置成本测算结果表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w:t>
            </w:r>
          </w:p>
        </w:tc>
        <w:tc>
          <w:tcPr>
            <w:tcW w:w="150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建安造价（元/平方米）</w:t>
            </w:r>
          </w:p>
        </w:tc>
        <w:tc>
          <w:tcPr>
            <w:tcW w:w="87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前期费用费率</w:t>
            </w:r>
          </w:p>
        </w:tc>
        <w:tc>
          <w:tcPr>
            <w:tcW w:w="129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前期费用</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一年期银行贷款利率</w:t>
            </w:r>
          </w:p>
        </w:tc>
        <w:tc>
          <w:tcPr>
            <w:tcW w:w="72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利息</w:t>
            </w:r>
          </w:p>
        </w:tc>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投资利润</w:t>
            </w:r>
          </w:p>
        </w:tc>
        <w:tc>
          <w:tcPr>
            <w:tcW w:w="140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重置成本（元/平方米）</w:t>
            </w:r>
          </w:p>
        </w:tc>
        <w:tc>
          <w:tcPr>
            <w:tcW w:w="854"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权重</w:t>
            </w:r>
          </w:p>
        </w:tc>
        <w:tc>
          <w:tcPr>
            <w:tcW w:w="117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县域重置成本（元/平方米）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150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1319</w:t>
            </w:r>
          </w:p>
        </w:tc>
        <w:tc>
          <w:tcPr>
            <w:tcW w:w="87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7.08%</w:t>
            </w:r>
          </w:p>
        </w:tc>
        <w:tc>
          <w:tcPr>
            <w:tcW w:w="129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93.40 </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4.35%</w:t>
            </w:r>
          </w:p>
        </w:tc>
        <w:tc>
          <w:tcPr>
            <w:tcW w:w="72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61.45 </w:t>
            </w:r>
          </w:p>
        </w:tc>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不计</w:t>
            </w:r>
          </w:p>
        </w:tc>
        <w:tc>
          <w:tcPr>
            <w:tcW w:w="140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1474.07 </w:t>
            </w:r>
          </w:p>
        </w:tc>
        <w:tc>
          <w:tcPr>
            <w:tcW w:w="854"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0.33 </w:t>
            </w:r>
          </w:p>
        </w:tc>
        <w:tc>
          <w:tcPr>
            <w:tcW w:w="1176" w:type="dxa"/>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1497.90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150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1235</w:t>
            </w:r>
          </w:p>
        </w:tc>
        <w:tc>
          <w:tcPr>
            <w:tcW w:w="87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7.08%</w:t>
            </w:r>
          </w:p>
        </w:tc>
        <w:tc>
          <w:tcPr>
            <w:tcW w:w="129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87.43 </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4.35%</w:t>
            </w:r>
          </w:p>
        </w:tc>
        <w:tc>
          <w:tcPr>
            <w:tcW w:w="72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57.52 </w:t>
            </w:r>
          </w:p>
        </w:tc>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不计</w:t>
            </w:r>
          </w:p>
        </w:tc>
        <w:tc>
          <w:tcPr>
            <w:tcW w:w="140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1379.83 </w:t>
            </w:r>
          </w:p>
        </w:tc>
        <w:tc>
          <w:tcPr>
            <w:tcW w:w="854"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0.33 </w:t>
            </w:r>
          </w:p>
        </w:tc>
        <w:tc>
          <w:tcPr>
            <w:tcW w:w="1176" w:type="dxa"/>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150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1468</w:t>
            </w:r>
          </w:p>
        </w:tc>
        <w:tc>
          <w:tcPr>
            <w:tcW w:w="87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7.08%</w:t>
            </w:r>
          </w:p>
        </w:tc>
        <w:tc>
          <w:tcPr>
            <w:tcW w:w="129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103.90 </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4.35%</w:t>
            </w:r>
          </w:p>
        </w:tc>
        <w:tc>
          <w:tcPr>
            <w:tcW w:w="72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68.36 </w:t>
            </w:r>
          </w:p>
        </w:tc>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不计</w:t>
            </w:r>
          </w:p>
        </w:tc>
        <w:tc>
          <w:tcPr>
            <w:tcW w:w="140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1639.81 </w:t>
            </w:r>
          </w:p>
        </w:tc>
        <w:tc>
          <w:tcPr>
            <w:tcW w:w="854"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0.33 </w:t>
            </w:r>
          </w:p>
        </w:tc>
        <w:tc>
          <w:tcPr>
            <w:tcW w:w="1176" w:type="dxa"/>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 xml:space="preserve">9-13 </w:t>
      </w:r>
      <w:r>
        <w:rPr>
          <w:rFonts w:hint="eastAsia" w:ascii="楷体" w:hAnsi="楷体" w:eastAsia="楷体" w:cs="楷体"/>
          <w:i w:val="0"/>
          <w:iCs w:val="0"/>
          <w:color w:val="000000"/>
          <w:kern w:val="0"/>
          <w:sz w:val="24"/>
          <w:szCs w:val="24"/>
          <w:u w:val="none"/>
          <w:lang w:val="en-US" w:eastAsia="zh-CN" w:bidi="ar"/>
        </w:rPr>
        <w:t>材料价格指数测算结果表</w:t>
      </w:r>
    </w:p>
    <w:tbl>
      <w:tblPr>
        <w:tblStyle w:val="45"/>
        <w:tblW w:w="9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83"/>
        <w:gridCol w:w="2646"/>
        <w:gridCol w:w="1251"/>
        <w:gridCol w:w="951"/>
        <w:gridCol w:w="1056"/>
        <w:gridCol w:w="1056"/>
        <w:gridCol w:w="105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855" w:type="dxa"/>
            <w:gridSpan w:val="8"/>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材料价格指数测算结果表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99"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序号</w:t>
            </w:r>
          </w:p>
        </w:tc>
        <w:tc>
          <w:tcPr>
            <w:tcW w:w="2709"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名称、规格、型号</w:t>
            </w:r>
          </w:p>
        </w:tc>
        <w:tc>
          <w:tcPr>
            <w:tcW w:w="1251"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材料价值汇总（元）</w:t>
            </w:r>
          </w:p>
        </w:tc>
        <w:tc>
          <w:tcPr>
            <w:tcW w:w="900"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材料价值平均占比</w:t>
            </w:r>
          </w:p>
        </w:tc>
        <w:tc>
          <w:tcPr>
            <w:tcW w:w="0" w:type="auto"/>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材料价格（元）</w:t>
            </w:r>
          </w:p>
        </w:tc>
        <w:tc>
          <w:tcPr>
            <w:tcW w:w="0" w:type="auto"/>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价格指数</w:t>
            </w:r>
          </w:p>
        </w:tc>
        <w:tc>
          <w:tcPr>
            <w:tcW w:w="0" w:type="auto"/>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jc w:val="center"/>
        </w:trPr>
        <w:tc>
          <w:tcPr>
            <w:tcW w:w="999"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2709"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251"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900"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历史价格</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评估时点</w:t>
            </w:r>
          </w:p>
        </w:tc>
        <w:tc>
          <w:tcPr>
            <w:tcW w:w="0" w:type="auto"/>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0" w:type="auto"/>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270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热轧带肋钢筋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13859.83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2.18%</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4760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4530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-4.83%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热轧带肋钢筋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31331.48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4.94%</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4760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4530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-4.83%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热轧带肋钢筋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13948.83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2.20%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4890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4650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-4.91%</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热轧带肋钢筋</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85002.75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13.40%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4680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4460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矿渣硅酸盐水泥 P.S 32.5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21985.15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3.46%</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-11.54%</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细砂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22836.66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116</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135</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16.38%</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标准砖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51351.71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8.09%</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492</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492</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陶瓷地砖 (综合)</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11321.14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1.78%</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94.54</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11.22%</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地砖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95681.14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15.08%</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91.99</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14.99%</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彩钢板</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5440.19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0.86%</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15.00%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铝合金推拉窗 普通玻璃</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123917.91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19.53%</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385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钢制防盗门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59685.13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9.41%</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850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996</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17.18%</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苯丙乳胶漆 内墙用</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7285.15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13.8</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15.18</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w:t>
            </w:r>
          </w:p>
        </w:tc>
        <w:tc>
          <w:tcPr>
            <w:tcW w:w="270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焊接钢管</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5176.46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0.82%</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组合钢模板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5686.39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0.90%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0.19</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0.2</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5.26%</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木支撑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7510.14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1.18%</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1660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2100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26.51%</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预拌混凝土</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5674.19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0.89%</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-1.41%</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预拌混凝土</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54094.37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8.53%</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371</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366</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-1.35%</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预拌混凝土</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7050.53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1.11%</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363</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358</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-1.38%</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预拌细石混凝土</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5663.75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0.89%</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363</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-0.83%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0" w:type="auto"/>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合计</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634502.89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100.00%</w:t>
            </w:r>
          </w:p>
        </w:tc>
        <w:tc>
          <w:tcPr>
            <w:tcW w:w="0" w:type="auto"/>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0" w:type="auto"/>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85.09%</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3.92%</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i w:val="0"/>
          <w:iCs w:val="0"/>
          <w:color w:val="000000"/>
          <w:kern w:val="0"/>
          <w:sz w:val="24"/>
          <w:szCs w:val="24"/>
          <w:u w:val="none"/>
          <w:lang w:val="en-US" w:eastAsia="zh-CN" w:bidi="ar"/>
        </w:rPr>
        <w:t>9-14 价格指数测算结果表</w:t>
      </w:r>
    </w:p>
    <w:tbl>
      <w:tblPr>
        <w:tblStyle w:val="4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72"/>
        <w:gridCol w:w="1440"/>
        <w:gridCol w:w="1053"/>
        <w:gridCol w:w="1107"/>
        <w:gridCol w:w="900"/>
        <w:gridCol w:w="900"/>
        <w:gridCol w:w="1215"/>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8"/>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价格指数测算结果表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72"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w:t>
            </w:r>
          </w:p>
        </w:tc>
        <w:tc>
          <w:tcPr>
            <w:tcW w:w="1440"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历史补偿标准（元/平方米）</w:t>
            </w:r>
          </w:p>
        </w:tc>
        <w:tc>
          <w:tcPr>
            <w:tcW w:w="0" w:type="auto"/>
            <w:gridSpan w:val="2"/>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价格指数</w:t>
            </w:r>
          </w:p>
        </w:tc>
        <w:tc>
          <w:tcPr>
            <w:tcW w:w="0" w:type="auto"/>
            <w:gridSpan w:val="2"/>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权重</w:t>
            </w:r>
          </w:p>
        </w:tc>
        <w:tc>
          <w:tcPr>
            <w:tcW w:w="1215"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修正后价格</w:t>
            </w:r>
          </w:p>
        </w:tc>
        <w:tc>
          <w:tcPr>
            <w:tcW w:w="1413" w:type="dxa"/>
            <w:vMerge w:val="restart"/>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县域价格指数法平均价格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jc w:val="center"/>
        </w:trPr>
        <w:tc>
          <w:tcPr>
            <w:tcW w:w="972" w:type="dxa"/>
            <w:vMerge w:val="continue"/>
            <w:shd w:val="clear" w:color="auto" w:fill="auto"/>
            <w:vAlign w:val="center"/>
          </w:tcPr>
          <w:p>
            <w:pPr>
              <w:spacing w:line="360" w:lineRule="auto"/>
              <w:jc w:val="center"/>
              <w:rPr>
                <w:rFonts w:hint="eastAsia" w:ascii="楷体" w:hAnsi="楷体" w:eastAsia="楷体" w:cs="楷体"/>
                <w:i w:val="0"/>
                <w:iCs w:val="0"/>
                <w:color w:val="000000"/>
                <w:sz w:val="21"/>
                <w:szCs w:val="21"/>
                <w:u w:val="none"/>
              </w:rPr>
            </w:pPr>
          </w:p>
        </w:tc>
        <w:tc>
          <w:tcPr>
            <w:tcW w:w="1440" w:type="dxa"/>
            <w:vMerge w:val="continue"/>
            <w:shd w:val="clear" w:color="auto" w:fill="auto"/>
            <w:vAlign w:val="center"/>
          </w:tcPr>
          <w:p>
            <w:pPr>
              <w:spacing w:line="360" w:lineRule="auto"/>
              <w:jc w:val="center"/>
              <w:rPr>
                <w:rFonts w:hint="eastAsia" w:ascii="楷体" w:hAnsi="楷体" w:eastAsia="楷体" w:cs="楷体"/>
                <w:i w:val="0"/>
                <w:iCs w:val="0"/>
                <w:color w:val="000000"/>
                <w:sz w:val="21"/>
                <w:szCs w:val="21"/>
                <w:u w:val="none"/>
              </w:rPr>
            </w:pPr>
          </w:p>
        </w:tc>
        <w:tc>
          <w:tcPr>
            <w:tcW w:w="10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材料价格指数</w:t>
            </w:r>
          </w:p>
        </w:tc>
        <w:tc>
          <w:tcPr>
            <w:tcW w:w="1107"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人工费调整指数</w:t>
            </w:r>
          </w:p>
        </w:tc>
        <w:tc>
          <w:tcPr>
            <w:tcW w:w="9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w:t>
            </w:r>
          </w:p>
        </w:tc>
        <w:tc>
          <w:tcPr>
            <w:tcW w:w="9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w:t>
            </w:r>
          </w:p>
        </w:tc>
        <w:tc>
          <w:tcPr>
            <w:tcW w:w="1215" w:type="dxa"/>
            <w:vMerge w:val="continue"/>
            <w:shd w:val="clear" w:color="auto" w:fill="auto"/>
            <w:vAlign w:val="center"/>
          </w:tcPr>
          <w:p>
            <w:pPr>
              <w:spacing w:line="360" w:lineRule="auto"/>
              <w:jc w:val="center"/>
              <w:rPr>
                <w:rFonts w:hint="eastAsia" w:ascii="楷体" w:hAnsi="楷体" w:eastAsia="楷体" w:cs="楷体"/>
                <w:i w:val="0"/>
                <w:iCs w:val="0"/>
                <w:color w:val="000000"/>
                <w:sz w:val="21"/>
                <w:szCs w:val="21"/>
                <w:u w:val="none"/>
              </w:rPr>
            </w:pPr>
          </w:p>
        </w:tc>
        <w:tc>
          <w:tcPr>
            <w:tcW w:w="1413" w:type="dxa"/>
            <w:vMerge w:val="continue"/>
            <w:shd w:val="clear" w:color="auto" w:fill="auto"/>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72"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144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700</w:t>
            </w:r>
          </w:p>
        </w:tc>
        <w:tc>
          <w:tcPr>
            <w:tcW w:w="10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3.92%</w:t>
            </w:r>
          </w:p>
        </w:tc>
        <w:tc>
          <w:tcPr>
            <w:tcW w:w="1107"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11.30%</w:t>
            </w:r>
          </w:p>
        </w:tc>
        <w:tc>
          <w:tcPr>
            <w:tcW w:w="9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0.7 </w:t>
            </w:r>
          </w:p>
        </w:tc>
        <w:tc>
          <w:tcPr>
            <w:tcW w:w="9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 </w:t>
            </w:r>
          </w:p>
        </w:tc>
        <w:tc>
          <w:tcPr>
            <w:tcW w:w="1215"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742.92 </w:t>
            </w:r>
          </w:p>
        </w:tc>
        <w:tc>
          <w:tcPr>
            <w:tcW w:w="0" w:type="auto"/>
            <w:vMerge w:val="restart"/>
            <w:shd w:val="clear" w:color="auto" w:fill="auto"/>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72"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144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700</w:t>
            </w:r>
          </w:p>
        </w:tc>
        <w:tc>
          <w:tcPr>
            <w:tcW w:w="10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3.92%</w:t>
            </w:r>
          </w:p>
        </w:tc>
        <w:tc>
          <w:tcPr>
            <w:tcW w:w="1107"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11.30%</w:t>
            </w:r>
          </w:p>
        </w:tc>
        <w:tc>
          <w:tcPr>
            <w:tcW w:w="9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0.7 </w:t>
            </w:r>
          </w:p>
        </w:tc>
        <w:tc>
          <w:tcPr>
            <w:tcW w:w="9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 </w:t>
            </w:r>
          </w:p>
        </w:tc>
        <w:tc>
          <w:tcPr>
            <w:tcW w:w="1215"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742.92 </w:t>
            </w:r>
          </w:p>
        </w:tc>
        <w:tc>
          <w:tcPr>
            <w:tcW w:w="0" w:type="auto"/>
            <w:vMerge w:val="continue"/>
            <w:shd w:val="clear" w:color="auto" w:fill="auto"/>
            <w:noWrap/>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72"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144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700</w:t>
            </w:r>
          </w:p>
        </w:tc>
        <w:tc>
          <w:tcPr>
            <w:tcW w:w="1053"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3.92%</w:t>
            </w:r>
          </w:p>
        </w:tc>
        <w:tc>
          <w:tcPr>
            <w:tcW w:w="1107"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11.30%</w:t>
            </w:r>
          </w:p>
        </w:tc>
        <w:tc>
          <w:tcPr>
            <w:tcW w:w="9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0.7 </w:t>
            </w:r>
          </w:p>
        </w:tc>
        <w:tc>
          <w:tcPr>
            <w:tcW w:w="900"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0.0 </w:t>
            </w:r>
          </w:p>
        </w:tc>
        <w:tc>
          <w:tcPr>
            <w:tcW w:w="1215" w:type="dxa"/>
            <w:shd w:val="clear" w:color="auto" w:fill="auto"/>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721.57 </w:t>
            </w:r>
          </w:p>
        </w:tc>
        <w:tc>
          <w:tcPr>
            <w:tcW w:w="0" w:type="auto"/>
            <w:vMerge w:val="continue"/>
            <w:shd w:val="clear" w:color="auto" w:fill="auto"/>
            <w:noWrap/>
            <w:vAlign w:val="center"/>
          </w:tcPr>
          <w:p>
            <w:pPr>
              <w:spacing w:line="360" w:lineRule="auto"/>
              <w:jc w:val="center"/>
              <w:rPr>
                <w:rFonts w:hint="eastAsia" w:ascii="楷体" w:hAnsi="楷体" w:eastAsia="楷体" w:cs="楷体"/>
                <w:i w:val="0"/>
                <w:iCs w:val="0"/>
                <w:color w:val="000000"/>
                <w:sz w:val="21"/>
                <w:szCs w:val="21"/>
                <w:u w:val="none"/>
              </w:rPr>
            </w:pP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61"/>
        <w:spacing w:line="360" w:lineRule="auto"/>
        <w:ind w:left="0" w:leftChars="0" w:firstLine="0" w:firstLineChars="0"/>
        <w:rPr>
          <w:rFonts w:hint="eastAsia" w:ascii="楷体" w:hAnsi="楷体" w:eastAsia="楷体" w:cs="楷体"/>
          <w:color w:val="auto"/>
          <w:sz w:val="28"/>
          <w:szCs w:val="28"/>
          <w:lang w:val="en-US" w:eastAsia="zh-CN"/>
        </w:rPr>
      </w:pPr>
    </w:p>
    <w:p>
      <w:pPr>
        <w:pStyle w:val="61"/>
        <w:spacing w:line="360" w:lineRule="auto"/>
        <w:ind w:left="0" w:leftChars="0" w:firstLine="0" w:firstLineChars="0"/>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③砖木结构</w:t>
      </w:r>
    </w:p>
    <w:p>
      <w:pPr>
        <w:pStyle w:val="61"/>
        <w:spacing w:line="360" w:lineRule="auto"/>
        <w:ind w:left="0" w:leftChars="0" w:firstLine="0" w:firstLineChars="0"/>
        <w:rPr>
          <w:rFonts w:hint="eastAsia" w:ascii="楷体" w:hAnsi="楷体" w:eastAsia="楷体" w:cs="楷体"/>
          <w:color w:val="auto"/>
          <w:sz w:val="21"/>
          <w:szCs w:val="21"/>
          <w:lang w:val="en-US" w:eastAsia="zh-CN"/>
        </w:rPr>
      </w:pPr>
    </w:p>
    <w:p>
      <w:pPr>
        <w:pStyle w:val="61"/>
        <w:spacing w:line="360" w:lineRule="auto"/>
        <w:ind w:left="0" w:leftChars="0" w:firstLine="0" w:firstLineChars="0"/>
        <w:jc w:val="center"/>
        <w:outlineLvl w:val="2"/>
        <w:rPr>
          <w:rFonts w:hint="eastAsia" w:ascii="楷体" w:hAnsi="楷体" w:eastAsia="楷体" w:cs="楷体"/>
          <w:color w:val="auto"/>
          <w:sz w:val="24"/>
          <w:szCs w:val="24"/>
          <w:lang w:val="en-US" w:eastAsia="zh-CN"/>
        </w:rPr>
      </w:pPr>
      <w:r>
        <w:rPr>
          <w:rFonts w:hint="eastAsia" w:ascii="楷体" w:hAnsi="楷体" w:eastAsia="楷体" w:cs="楷体"/>
          <w:i w:val="0"/>
          <w:iCs w:val="0"/>
          <w:color w:val="000000"/>
          <w:kern w:val="0"/>
          <w:sz w:val="24"/>
          <w:szCs w:val="24"/>
          <w:u w:val="none"/>
          <w:lang w:val="en-US" w:eastAsia="zh-CN" w:bidi="ar"/>
        </w:rPr>
        <w:t>9-15 砖木结构主要材料数量和价格表</w:t>
      </w:r>
    </w:p>
    <w:tbl>
      <w:tblPr>
        <w:tblStyle w:val="45"/>
        <w:tblW w:w="6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7"/>
        <w:gridCol w:w="1860"/>
        <w:gridCol w:w="1517"/>
        <w:gridCol w:w="648"/>
        <w:gridCol w:w="779"/>
        <w:gridCol w:w="779"/>
        <w:gridCol w:w="785"/>
        <w:gridCol w:w="793"/>
        <w:gridCol w:w="1038"/>
        <w:gridCol w:w="845"/>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000" w:type="pct"/>
            <w:gridSpan w:val="11"/>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砖木结构主要材料数量和价格表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376" w:type="pct"/>
            <w:vMerge w:val="restar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序号</w:t>
            </w:r>
          </w:p>
        </w:tc>
        <w:tc>
          <w:tcPr>
            <w:tcW w:w="827" w:type="pct"/>
            <w:vMerge w:val="restar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材料名称</w:t>
            </w:r>
          </w:p>
        </w:tc>
        <w:tc>
          <w:tcPr>
            <w:tcW w:w="674" w:type="pct"/>
            <w:vMerge w:val="restar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规格、型号等特殊 要求</w:t>
            </w:r>
          </w:p>
        </w:tc>
        <w:tc>
          <w:tcPr>
            <w:tcW w:w="1330" w:type="pct"/>
            <w:gridSpan w:val="4"/>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数量</w:t>
            </w:r>
          </w:p>
        </w:tc>
        <w:tc>
          <w:tcPr>
            <w:tcW w:w="352"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2020年1月1日材料价格</w:t>
            </w:r>
          </w:p>
        </w:tc>
        <w:tc>
          <w:tcPr>
            <w:tcW w:w="1437" w:type="pct"/>
            <w:gridSpan w:val="3"/>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jc w:val="center"/>
        </w:trPr>
        <w:tc>
          <w:tcPr>
            <w:tcW w:w="376" w:type="pct"/>
            <w:vMerge w:val="continue"/>
            <w:shd w:val="clear" w:color="FFFFFF"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827" w:type="pct"/>
            <w:vMerge w:val="continue"/>
            <w:shd w:val="clear" w:color="FFFFFF"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674" w:type="pct"/>
            <w:vMerge w:val="continue"/>
            <w:shd w:val="clear" w:color="FFFFFF"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单位</w:t>
            </w:r>
          </w:p>
        </w:tc>
        <w:tc>
          <w:tcPr>
            <w:tcW w:w="34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34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34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352"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461"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375"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599"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7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82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热轧带肋钢筋</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HRB400，φ8~10mm</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吨</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0.5950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0.4518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0.5273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4530</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2695.35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2046.55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2388.81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热轧带肋钢筋</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HRB400，φ8~10mm</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吨</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0.8330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0.6300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0.7373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4530</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3773.49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2853.90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3340.11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热轧带肋钢筋</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HRB400，φ12~14mm</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吨</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0.3094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0.2585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0.3079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4650</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1438.71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1202.09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1431.55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热轧带肋钢筋</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HRB400，φ16~25mm</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吨</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4.9980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4.0153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4.6858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4460</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22291.08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17908.25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20898.66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矿渣硅酸盐水泥</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P.S 32.5</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吨</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13.9468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10.5706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12.3340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4811.65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3646.86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4255.23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细砂 </w:t>
            </w: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35.7428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27.0520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31.5630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124</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4432.11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3354.45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3913.81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标准砖 </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240×115×53</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千块</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31.9586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24.2429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28.2876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492</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15723.65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11927.52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13917.50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原木 (综合)</w:t>
            </w: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6.4260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4.8795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5.6931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11843.12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8992.99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10492.36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原木 </w:t>
            </w: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1.1369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0.8619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1.0059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2095.35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1588.42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1853.93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原木 </w:t>
            </w: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2.2205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1.6961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1.9803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4092.46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3125.99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3649.70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原木 </w:t>
            </w: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1.1926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0.9218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1.0756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2197.99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1698.86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1982.39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原木 </w:t>
            </w: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1.9461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1.4740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1.7220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3586.71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2716.56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3173.57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铝合金推拉窗 普通玻璃</w:t>
            </w: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141.6362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107.3013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125.2059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390</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55238.11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41847.51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48830.29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76"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w:t>
            </w:r>
          </w:p>
        </w:tc>
        <w:tc>
          <w:tcPr>
            <w:tcW w:w="827" w:type="pct"/>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钢制防盗门 </w:t>
            </w: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11.8179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8.9526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10.4464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996</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11770.62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8916.82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10404.63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4" w:hRule="atLeast"/>
          <w:jc w:val="center"/>
        </w:trPr>
        <w:tc>
          <w:tcPr>
            <w:tcW w:w="3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w:t>
            </w:r>
          </w:p>
        </w:tc>
        <w:tc>
          <w:tcPr>
            <w:tcW w:w="82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密封胶 </w:t>
            </w: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公斤</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58.8069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44.4882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51.9071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21.06</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1238.47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936.92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1093.16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w:t>
            </w:r>
          </w:p>
        </w:tc>
        <w:tc>
          <w:tcPr>
            <w:tcW w:w="82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小青瓦 8寸筒瓦</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230×135</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千块</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3.3503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2.5366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2.9635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1970</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6600.14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4997.06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5838.18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w:t>
            </w:r>
          </w:p>
        </w:tc>
        <w:tc>
          <w:tcPr>
            <w:tcW w:w="82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大号板瓦</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230×220</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千块</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5.0244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3.8049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4.4399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2280</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11455.73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8675.10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10122.87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w:t>
            </w:r>
          </w:p>
        </w:tc>
        <w:tc>
          <w:tcPr>
            <w:tcW w:w="82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预拌混凝土</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C15</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4.8182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3.6480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4.2574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350</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1686.36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1276.79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1490.10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w:t>
            </w:r>
          </w:p>
        </w:tc>
        <w:tc>
          <w:tcPr>
            <w:tcW w:w="82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预拌混凝土</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C25</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25.1564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19.0412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22.2172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366</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9207.23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6969.06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8131.50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37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w:t>
            </w:r>
          </w:p>
        </w:tc>
        <w:tc>
          <w:tcPr>
            <w:tcW w:w="827"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预拌细石混凝土</w:t>
            </w:r>
          </w:p>
        </w:tc>
        <w:tc>
          <w:tcPr>
            <w:tcW w:w="67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C25</w:t>
            </w:r>
          </w:p>
        </w:tc>
        <w:tc>
          <w:tcPr>
            <w:tcW w:w="28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立方米</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3.9611 </w:t>
            </w:r>
          </w:p>
        </w:tc>
        <w:tc>
          <w:tcPr>
            <w:tcW w:w="34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2.9969 </w:t>
            </w:r>
          </w:p>
        </w:tc>
        <w:tc>
          <w:tcPr>
            <w:tcW w:w="34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3.4970 </w:t>
            </w: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360</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1426.00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1078.88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1258.92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376" w:type="pct"/>
            <w:shd w:val="clear" w:color="auto" w:fill="FFFFFF"/>
            <w:noWrap/>
            <w:vAlign w:val="bottom"/>
          </w:tcPr>
          <w:p>
            <w:pPr>
              <w:spacing w:line="360" w:lineRule="auto"/>
              <w:rPr>
                <w:rFonts w:hint="eastAsia" w:ascii="楷体" w:hAnsi="楷体" w:eastAsia="楷体" w:cs="楷体"/>
                <w:i w:val="0"/>
                <w:iCs w:val="0"/>
                <w:color w:val="000000"/>
                <w:sz w:val="21"/>
                <w:szCs w:val="21"/>
                <w:u w:val="none"/>
              </w:rPr>
            </w:pPr>
          </w:p>
        </w:tc>
        <w:tc>
          <w:tcPr>
            <w:tcW w:w="827" w:type="pct"/>
            <w:shd w:val="clear" w:color="auto" w:fill="FFFFFF"/>
            <w:noWrap/>
            <w:vAlign w:val="bottom"/>
          </w:tcPr>
          <w:p>
            <w:pPr>
              <w:spacing w:line="360" w:lineRule="auto"/>
              <w:rPr>
                <w:rFonts w:hint="eastAsia" w:ascii="楷体" w:hAnsi="楷体" w:eastAsia="楷体" w:cs="楷体"/>
                <w:i w:val="0"/>
                <w:iCs w:val="0"/>
                <w:color w:val="000000"/>
                <w:sz w:val="21"/>
                <w:szCs w:val="21"/>
                <w:u w:val="none"/>
              </w:rPr>
            </w:pPr>
          </w:p>
        </w:tc>
        <w:tc>
          <w:tcPr>
            <w:tcW w:w="674"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288"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346"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346"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349" w:type="pct"/>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35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单位平方</w:t>
            </w:r>
          </w:p>
        </w:tc>
        <w:tc>
          <w:tcPr>
            <w:tcW w:w="4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746.24 </w:t>
            </w:r>
          </w:p>
        </w:tc>
        <w:tc>
          <w:tcPr>
            <w:tcW w:w="37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754.23 </w:t>
            </w:r>
          </w:p>
        </w:tc>
        <w:tc>
          <w:tcPr>
            <w:tcW w:w="5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754.61 </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 xml:space="preserve">9-16 </w:t>
      </w:r>
      <w:r>
        <w:rPr>
          <w:rFonts w:hint="eastAsia" w:ascii="楷体" w:hAnsi="楷体" w:eastAsia="楷体" w:cs="楷体"/>
          <w:i w:val="0"/>
          <w:iCs w:val="0"/>
          <w:color w:val="000000"/>
          <w:kern w:val="0"/>
          <w:sz w:val="24"/>
          <w:szCs w:val="24"/>
          <w:u w:val="none"/>
          <w:lang w:val="en-US" w:eastAsia="zh-CN" w:bidi="ar"/>
        </w:rPr>
        <w:t>建安综合造价指标</w:t>
      </w:r>
    </w:p>
    <w:tbl>
      <w:tblPr>
        <w:tblStyle w:val="45"/>
        <w:tblW w:w="10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1"/>
        <w:gridCol w:w="2034"/>
        <w:gridCol w:w="2940"/>
        <w:gridCol w:w="1786"/>
        <w:gridCol w:w="2058"/>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639" w:type="dxa"/>
            <w:gridSpan w:val="5"/>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建安综合造价指标</w:t>
            </w:r>
          </w:p>
        </w:tc>
        <w:tc>
          <w:tcPr>
            <w:tcW w:w="1350" w:type="dxa"/>
            <w:shd w:val="clear" w:color="auto" w:fill="FFFFFF"/>
            <w:noWrap/>
            <w:vAlign w:val="center"/>
          </w:tcPr>
          <w:p>
            <w:pPr>
              <w:spacing w:line="360" w:lineRule="auto"/>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1" w:type="dxa"/>
            <w:shd w:val="clear" w:color="auto" w:fill="FFFFFF"/>
            <w:noWrap/>
            <w:vAlign w:val="bottom"/>
          </w:tcPr>
          <w:p>
            <w:pPr>
              <w:spacing w:line="360" w:lineRule="auto"/>
              <w:rPr>
                <w:rFonts w:hint="eastAsia" w:ascii="楷体" w:hAnsi="楷体" w:eastAsia="楷体" w:cs="楷体"/>
                <w:i w:val="0"/>
                <w:iCs w:val="0"/>
                <w:color w:val="000000"/>
                <w:sz w:val="21"/>
                <w:szCs w:val="21"/>
                <w:u w:val="none"/>
              </w:rPr>
            </w:pPr>
          </w:p>
        </w:tc>
        <w:tc>
          <w:tcPr>
            <w:tcW w:w="2034"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建筑面积（平方米）</w:t>
            </w:r>
          </w:p>
        </w:tc>
        <w:tc>
          <w:tcPr>
            <w:tcW w:w="294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总工日（天）</w:t>
            </w:r>
          </w:p>
        </w:tc>
        <w:tc>
          <w:tcPr>
            <w:tcW w:w="178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人工取费标准(元/工日)</w:t>
            </w:r>
          </w:p>
        </w:tc>
        <w:tc>
          <w:tcPr>
            <w:tcW w:w="205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机械费取费标准（元/平方米）</w:t>
            </w:r>
          </w:p>
        </w:tc>
        <w:tc>
          <w:tcPr>
            <w:tcW w:w="135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人工费（工日/平方米）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21"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2034"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238</w:t>
            </w:r>
          </w:p>
        </w:tc>
        <w:tc>
          <w:tcPr>
            <w:tcW w:w="294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600</w:t>
            </w:r>
          </w:p>
        </w:tc>
        <w:tc>
          <w:tcPr>
            <w:tcW w:w="1786"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63.88</w:t>
            </w:r>
          </w:p>
        </w:tc>
        <w:tc>
          <w:tcPr>
            <w:tcW w:w="2058"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135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21"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2034"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180</w:t>
            </w:r>
          </w:p>
        </w:tc>
        <w:tc>
          <w:tcPr>
            <w:tcW w:w="294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550</w:t>
            </w:r>
          </w:p>
        </w:tc>
        <w:tc>
          <w:tcPr>
            <w:tcW w:w="1786"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63.88</w:t>
            </w:r>
          </w:p>
        </w:tc>
        <w:tc>
          <w:tcPr>
            <w:tcW w:w="2058"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135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21"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2034"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210</w:t>
            </w:r>
          </w:p>
        </w:tc>
        <w:tc>
          <w:tcPr>
            <w:tcW w:w="294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500</w:t>
            </w:r>
          </w:p>
        </w:tc>
        <w:tc>
          <w:tcPr>
            <w:tcW w:w="1786"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63.88</w:t>
            </w:r>
          </w:p>
        </w:tc>
        <w:tc>
          <w:tcPr>
            <w:tcW w:w="2058"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1350" w:type="dxa"/>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15.84%</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 xml:space="preserve">9-17 </w:t>
      </w:r>
      <w:r>
        <w:rPr>
          <w:rFonts w:hint="eastAsia" w:ascii="楷体" w:hAnsi="楷体" w:eastAsia="楷体" w:cs="楷体"/>
          <w:i w:val="0"/>
          <w:iCs w:val="0"/>
          <w:color w:val="000000"/>
          <w:kern w:val="0"/>
          <w:sz w:val="24"/>
          <w:szCs w:val="24"/>
          <w:u w:val="none"/>
          <w:lang w:val="en-US" w:eastAsia="zh-CN" w:bidi="ar"/>
        </w:rPr>
        <w:t>建安综合造价计算结果表</w:t>
      </w:r>
    </w:p>
    <w:tbl>
      <w:tblPr>
        <w:tblStyle w:val="45"/>
        <w:tblW w:w="58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8"/>
        <w:gridCol w:w="1608"/>
        <w:gridCol w:w="4299"/>
        <w:gridCol w:w="934"/>
        <w:gridCol w:w="1114"/>
        <w:gridCol w:w="1114"/>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5000" w:type="pct"/>
            <w:gridSpan w:val="7"/>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建安综合造价计算结果表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费   用   名  称</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计算式(或原价格)</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费(税)率</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案例1</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案例2</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案例3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1.1+1.2+1.3+1.4+1.5</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238,478.99</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191,204.29</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209,305.61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人工费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∑(分部分项工程量×定额人工费)</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38,328.00</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35,134.00</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31,940.00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材料费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∑(分部分项工程量×材料消耗量×材料单价)</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177,604.33</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135,760.58</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158,467.28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机械费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∑(分部分项工程量×机械台班消耗量×定额台班单价)</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2,142.00</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1,620.00</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1,890.00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管理费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（定额人工费+定额机械费×8%）×管理费费率</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33.00%</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12,704.79</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11,636.99</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10,590.10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利润</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（定额人工费+定额机械费×8%）×利润费费率</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20.00%</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7,699.87</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7,052.72</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6,418.24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措施项目费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2.1+2.2</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8,315.86</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7,616.94</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6,931.70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总价措施项目费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8,315.86</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7,616.94</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6,931.70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2.1.1</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安全文明施工费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（定额人工费+定额机械费×8%）×费率</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15.65%</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6,025.15</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5,518.75</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5,022.27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2.1.2</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二次搬运费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4"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2.1.3</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冬雨季施工增加，生产工具用具使用，工程定位复测、工程点交、场地清理等</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（定额人工费+定额机械费×8%）×费率</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5.95%</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2,290.71</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2,098.18</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2.1.4</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已完工程及设备保护费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2.1.5</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地上、地下设施、建筑物临时保护设施</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2.1.6</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夜间施工增加费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2.1.7</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非夜间施工照明</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2.1.8</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特殊地区施工增加费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（定额人工费+定额机械费）×费率</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2.1.9</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单价措施项目费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2.2.1</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土石方及桩基工程</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2.2.2</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脚手架工程</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2.2.3</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模板及支架工程</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2.2.4</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垂直运输</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2.2.5</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超高增加费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2.2.6</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大型机械进退场费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2.2.7</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施工排水、降水</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2.2.8</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高层增加费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其他项目费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10,731.84</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9,837.52</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8,943.20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3.1</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暂列金额</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暂估价</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计日工</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总承包服务费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10,731.84</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9,837.52</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8,943.20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3.5.1</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人工费调差</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按实计算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28.00%</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10,731.84</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9,837.52</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8,943.20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3.5.2</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机械费调差</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3.5.3</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风险费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3.5.4</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变更、停工、窝工等</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3.5.5</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双方协商认定的其他费用</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规费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10,348.56</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9,486.18</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8,623.80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4.1</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社会保障及住房公积金</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定额人工费×费率</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26.00%</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9,965.28</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9,134.84</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8,304.40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4.2</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危险作业意外伤害险</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定额人工费×费率</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383.28</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351.34</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319.40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4.3</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工程排污费</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按有关规定计算</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税金</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[1+2+3+4-按规定不计税的工程设备费]×费率</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10.36%</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27,751.88</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22,599.81</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24,222.13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工程造价（含税）</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1+2+3+4+5</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295,627.13</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240,744.74</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258,026.44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工程造价（不含税）</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1+2+3+4</w:t>
            </w: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267,875.25</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218,144.92</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233,804.31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建筑面积</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238.00</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180.00</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1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73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工程单价（含税）</w:t>
            </w:r>
          </w:p>
        </w:tc>
        <w:tc>
          <w:tcPr>
            <w:tcW w:w="197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1,242</w:t>
            </w:r>
          </w:p>
        </w:tc>
        <w:tc>
          <w:tcPr>
            <w:tcW w:w="5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1,337</w:t>
            </w:r>
          </w:p>
        </w:tc>
        <w:tc>
          <w:tcPr>
            <w:tcW w:w="51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1,229</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 xml:space="preserve">9-18 </w:t>
      </w:r>
      <w:r>
        <w:rPr>
          <w:rFonts w:hint="eastAsia" w:ascii="楷体" w:hAnsi="楷体" w:eastAsia="楷体" w:cs="楷体"/>
          <w:i w:val="0"/>
          <w:iCs w:val="0"/>
          <w:color w:val="000000"/>
          <w:kern w:val="0"/>
          <w:sz w:val="24"/>
          <w:szCs w:val="24"/>
          <w:u w:val="none"/>
          <w:lang w:val="en-US" w:eastAsia="zh-CN" w:bidi="ar"/>
        </w:rPr>
        <w:t>重置成本测算结果表</w:t>
      </w:r>
    </w:p>
    <w:tbl>
      <w:tblPr>
        <w:tblStyle w:val="45"/>
        <w:tblW w:w="11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6"/>
        <w:gridCol w:w="1503"/>
        <w:gridCol w:w="871"/>
        <w:gridCol w:w="1290"/>
        <w:gridCol w:w="1290"/>
        <w:gridCol w:w="728"/>
        <w:gridCol w:w="966"/>
        <w:gridCol w:w="1408"/>
        <w:gridCol w:w="818"/>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11149" w:type="dxa"/>
            <w:gridSpan w:val="10"/>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重置成本测算结果表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w:t>
            </w:r>
          </w:p>
        </w:tc>
        <w:tc>
          <w:tcPr>
            <w:tcW w:w="150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建安造价（元/平方米）</w:t>
            </w:r>
          </w:p>
        </w:tc>
        <w:tc>
          <w:tcPr>
            <w:tcW w:w="87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前期费用费率</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前期费用</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一年期银行贷款利率</w:t>
            </w:r>
          </w:p>
        </w:tc>
        <w:tc>
          <w:tcPr>
            <w:tcW w:w="72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利息</w:t>
            </w:r>
          </w:p>
        </w:tc>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投资利润</w:t>
            </w:r>
          </w:p>
        </w:tc>
        <w:tc>
          <w:tcPr>
            <w:tcW w:w="140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重置成本（元/平方米）</w:t>
            </w:r>
          </w:p>
        </w:tc>
        <w:tc>
          <w:tcPr>
            <w:tcW w:w="81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权重</w:t>
            </w:r>
          </w:p>
        </w:tc>
        <w:tc>
          <w:tcPr>
            <w:tcW w:w="130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县域重置成本（元/平方米）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jc w:val="center"/>
        </w:trPr>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150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1242</w:t>
            </w:r>
          </w:p>
        </w:tc>
        <w:tc>
          <w:tcPr>
            <w:tcW w:w="87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7.08%</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87.94 </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4.35%</w:t>
            </w:r>
          </w:p>
        </w:tc>
        <w:tc>
          <w:tcPr>
            <w:tcW w:w="72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57.86 </w:t>
            </w:r>
          </w:p>
        </w:tc>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不计</w:t>
            </w:r>
          </w:p>
        </w:tc>
        <w:tc>
          <w:tcPr>
            <w:tcW w:w="140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1387.93 </w:t>
            </w:r>
          </w:p>
        </w:tc>
        <w:tc>
          <w:tcPr>
            <w:tcW w:w="81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0.33 </w:t>
            </w:r>
          </w:p>
        </w:tc>
        <w:tc>
          <w:tcPr>
            <w:tcW w:w="1309" w:type="dxa"/>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1406.76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150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1337</w:t>
            </w:r>
          </w:p>
        </w:tc>
        <w:tc>
          <w:tcPr>
            <w:tcW w:w="87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5.47%</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73.16 </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4.35%</w:t>
            </w:r>
          </w:p>
        </w:tc>
        <w:tc>
          <w:tcPr>
            <w:tcW w:w="72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61.36 </w:t>
            </w:r>
          </w:p>
        </w:tc>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不计</w:t>
            </w:r>
          </w:p>
        </w:tc>
        <w:tc>
          <w:tcPr>
            <w:tcW w:w="140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1471.99 </w:t>
            </w:r>
          </w:p>
        </w:tc>
        <w:tc>
          <w:tcPr>
            <w:tcW w:w="81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0.33 </w:t>
            </w:r>
          </w:p>
        </w:tc>
        <w:tc>
          <w:tcPr>
            <w:tcW w:w="1309" w:type="dxa"/>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1503"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1229</w:t>
            </w:r>
          </w:p>
        </w:tc>
        <w:tc>
          <w:tcPr>
            <w:tcW w:w="871"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6.10%</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74.95 </w:t>
            </w:r>
          </w:p>
        </w:tc>
        <w:tc>
          <w:tcPr>
            <w:tcW w:w="129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4.35%</w:t>
            </w:r>
          </w:p>
        </w:tc>
        <w:tc>
          <w:tcPr>
            <w:tcW w:w="72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56.71 </w:t>
            </w:r>
          </w:p>
        </w:tc>
        <w:tc>
          <w:tcPr>
            <w:tcW w:w="966"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不计</w:t>
            </w:r>
          </w:p>
        </w:tc>
        <w:tc>
          <w:tcPr>
            <w:tcW w:w="140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1360.36 </w:t>
            </w:r>
          </w:p>
        </w:tc>
        <w:tc>
          <w:tcPr>
            <w:tcW w:w="818"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0.33 </w:t>
            </w:r>
          </w:p>
        </w:tc>
        <w:tc>
          <w:tcPr>
            <w:tcW w:w="1309" w:type="dxa"/>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color w:val="auto"/>
          <w:sz w:val="24"/>
          <w:szCs w:val="24"/>
          <w:highlight w:val="none"/>
          <w:lang w:val="en-US" w:eastAsia="zh-CN"/>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 xml:space="preserve">9-19 </w:t>
      </w:r>
      <w:r>
        <w:rPr>
          <w:rFonts w:hint="eastAsia" w:ascii="楷体" w:hAnsi="楷体" w:eastAsia="楷体" w:cs="楷体"/>
          <w:i w:val="0"/>
          <w:iCs w:val="0"/>
          <w:color w:val="000000"/>
          <w:kern w:val="0"/>
          <w:sz w:val="24"/>
          <w:szCs w:val="24"/>
          <w:u w:val="none"/>
          <w:lang w:val="en-US" w:eastAsia="zh-CN" w:bidi="ar"/>
        </w:rPr>
        <w:t>材料价格指数测算结果表</w:t>
      </w:r>
    </w:p>
    <w:tbl>
      <w:tblPr>
        <w:tblStyle w:val="45"/>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0"/>
        <w:gridCol w:w="2430"/>
        <w:gridCol w:w="1251"/>
        <w:gridCol w:w="951"/>
        <w:gridCol w:w="1056"/>
        <w:gridCol w:w="1056"/>
        <w:gridCol w:w="105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576" w:type="dxa"/>
            <w:gridSpan w:val="8"/>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材料价格指数测算结果表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99"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序号</w:t>
            </w:r>
          </w:p>
        </w:tc>
        <w:tc>
          <w:tcPr>
            <w:tcW w:w="2430"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名称、规格、型号</w:t>
            </w:r>
          </w:p>
        </w:tc>
        <w:tc>
          <w:tcPr>
            <w:tcW w:w="1251"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材料价值汇总（元）</w:t>
            </w:r>
          </w:p>
        </w:tc>
        <w:tc>
          <w:tcPr>
            <w:tcW w:w="900" w:type="dxa"/>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材料价值平均占比</w:t>
            </w:r>
          </w:p>
        </w:tc>
        <w:tc>
          <w:tcPr>
            <w:tcW w:w="0" w:type="auto"/>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材料价格（元）</w:t>
            </w:r>
          </w:p>
        </w:tc>
        <w:tc>
          <w:tcPr>
            <w:tcW w:w="0" w:type="auto"/>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价格指数</w:t>
            </w:r>
          </w:p>
        </w:tc>
        <w:tc>
          <w:tcPr>
            <w:tcW w:w="0" w:type="auto"/>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jc w:val="center"/>
        </w:trPr>
        <w:tc>
          <w:tcPr>
            <w:tcW w:w="999"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2430"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251"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900" w:type="dxa"/>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历史价格</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评估时点</w:t>
            </w:r>
          </w:p>
        </w:tc>
        <w:tc>
          <w:tcPr>
            <w:tcW w:w="0" w:type="auto"/>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0" w:type="auto"/>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2430"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热轧带肋钢筋</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7130.71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1.51%</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4760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4530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-4.83%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热轧带肋钢筋</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9967.50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2.11%</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4760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4530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-4.83%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热轧带肋钢筋</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4072.35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0.86%</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4890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4650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-4.91%</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热轧带肋钢筋</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61097.99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12.95%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4680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4460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-4.70%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矿渣硅酸盐水泥</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12713.74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2.69%</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-11.54%</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细砂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11700.37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2.48%</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116</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124</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6.90%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标准砖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41568.67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8.81%</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492</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492</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原木 (综合)</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31328.47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6.64%</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1740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5.92%</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原木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5537.71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1.17%</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1740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5.92%</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原木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10868.15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1740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5.92%</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原木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5879.24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1740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5.92%</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原木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9476.84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2.01%</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1740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1843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5.92%</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铝合金推拉窗 普通玻璃</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145915.91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30.93%</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385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390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jc w:val="center"/>
        </w:trPr>
        <w:tc>
          <w:tcPr>
            <w:tcW w:w="999"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w:t>
            </w:r>
          </w:p>
        </w:tc>
        <w:tc>
          <w:tcPr>
            <w:tcW w:w="2430" w:type="dxa"/>
            <w:shd w:val="clear" w:color="FFFFFF"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钢制防盗门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31092.07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6.59%</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994</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996</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0.20%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4"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密封胶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3268.56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0.69%</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22</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21.06</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-4.27%</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小青瓦 8寸筒瓦</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17435.38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3.70%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1950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1970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大号板瓦</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30253.69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6.41%</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2280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2280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预拌混凝土</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4453.24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0.94%</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-1.41%</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预拌混凝土</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24307.79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5.15%</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371</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366</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-1.35%</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预拌细石混凝土</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3763.79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0.80%</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363</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360</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-0.83%</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合计</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471832.18 </w:t>
            </w: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100.00%</w:t>
            </w:r>
          </w:p>
        </w:tc>
        <w:tc>
          <w:tcPr>
            <w:tcW w:w="0" w:type="auto"/>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0" w:type="auto"/>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0" w:type="auto"/>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0.36%</w:t>
            </w:r>
          </w:p>
        </w:tc>
        <w:tc>
          <w:tcPr>
            <w:tcW w:w="999" w:type="dxa"/>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0.16%</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outlineLvl w:val="2"/>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 xml:space="preserve">9-20 </w:t>
      </w:r>
      <w:r>
        <w:rPr>
          <w:rFonts w:hint="eastAsia" w:ascii="楷体" w:hAnsi="楷体" w:eastAsia="楷体" w:cs="楷体"/>
          <w:i w:val="0"/>
          <w:iCs w:val="0"/>
          <w:color w:val="000000"/>
          <w:kern w:val="0"/>
          <w:sz w:val="24"/>
          <w:szCs w:val="24"/>
          <w:u w:val="none"/>
          <w:lang w:val="en-US" w:eastAsia="zh-CN" w:bidi="ar"/>
        </w:rPr>
        <w:t>价格指数测算结果表</w:t>
      </w:r>
    </w:p>
    <w:tbl>
      <w:tblPr>
        <w:tblStyle w:val="45"/>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72"/>
        <w:gridCol w:w="1440"/>
        <w:gridCol w:w="1008"/>
        <w:gridCol w:w="1008"/>
        <w:gridCol w:w="900"/>
        <w:gridCol w:w="900"/>
        <w:gridCol w:w="1215"/>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856"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价格指数测算结果表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7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w:t>
            </w:r>
          </w:p>
        </w:tc>
        <w:tc>
          <w:tcPr>
            <w:tcW w:w="144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历史补偿标准（元/平方米）</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价格指数</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权重</w:t>
            </w:r>
          </w:p>
        </w:tc>
        <w:tc>
          <w:tcPr>
            <w:tcW w:w="1215"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修正后价格</w:t>
            </w:r>
          </w:p>
        </w:tc>
        <w:tc>
          <w:tcPr>
            <w:tcW w:w="141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县域价格指数法平均价格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44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0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材料价格指数</w:t>
            </w:r>
          </w:p>
        </w:tc>
        <w:tc>
          <w:tcPr>
            <w:tcW w:w="10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人工费调整指数</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材料</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人工</w:t>
            </w:r>
          </w:p>
        </w:tc>
        <w:tc>
          <w:tcPr>
            <w:tcW w:w="121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41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案例1</w:t>
            </w:r>
          </w:p>
        </w:tc>
        <w:tc>
          <w:tcPr>
            <w:tcW w:w="14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500</w:t>
            </w:r>
          </w:p>
        </w:tc>
        <w:tc>
          <w:tcPr>
            <w:tcW w:w="10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0.16%</w:t>
            </w:r>
          </w:p>
        </w:tc>
        <w:tc>
          <w:tcPr>
            <w:tcW w:w="10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11.30%</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0.8 </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0.2 </w:t>
            </w:r>
          </w:p>
        </w:tc>
        <w:tc>
          <w:tcPr>
            <w:tcW w:w="12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511.94 </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案例2</w:t>
            </w:r>
          </w:p>
        </w:tc>
        <w:tc>
          <w:tcPr>
            <w:tcW w:w="14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500</w:t>
            </w:r>
          </w:p>
        </w:tc>
        <w:tc>
          <w:tcPr>
            <w:tcW w:w="10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0.16%</w:t>
            </w:r>
          </w:p>
        </w:tc>
        <w:tc>
          <w:tcPr>
            <w:tcW w:w="10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11.30%</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0.8 </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0.2 </w:t>
            </w:r>
          </w:p>
        </w:tc>
        <w:tc>
          <w:tcPr>
            <w:tcW w:w="12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511.94 </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案例3</w:t>
            </w:r>
          </w:p>
        </w:tc>
        <w:tc>
          <w:tcPr>
            <w:tcW w:w="14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500</w:t>
            </w:r>
          </w:p>
        </w:tc>
        <w:tc>
          <w:tcPr>
            <w:tcW w:w="10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0.16%</w:t>
            </w:r>
          </w:p>
        </w:tc>
        <w:tc>
          <w:tcPr>
            <w:tcW w:w="10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11.30%</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0.8 </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0.2 </w:t>
            </w:r>
          </w:p>
        </w:tc>
        <w:tc>
          <w:tcPr>
            <w:tcW w:w="12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511.94 </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8"/>
          <w:szCs w:val="28"/>
          <w:highlight w:val="none"/>
          <w:lang w:val="en-US" w:eastAsia="zh-CN"/>
        </w:rPr>
      </w:pPr>
    </w:p>
    <w:p>
      <w:pPr>
        <w:pStyle w:val="61"/>
        <w:numPr>
          <w:ilvl w:val="0"/>
          <w:numId w:val="12"/>
        </w:numPr>
        <w:spacing w:line="360" w:lineRule="auto"/>
        <w:ind w:left="0" w:leftChars="0" w:firstLine="0" w:firstLineChars="0"/>
        <w:outlineLvl w:val="1"/>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构筑物测算过程表</w:t>
      </w:r>
    </w:p>
    <w:p>
      <w:pPr>
        <w:pStyle w:val="61"/>
        <w:spacing w:line="360" w:lineRule="auto"/>
        <w:ind w:left="0" w:leftChars="0" w:firstLine="0" w:firstLineChars="0"/>
        <w:jc w:val="center"/>
        <w:rPr>
          <w:rFonts w:hint="eastAsia" w:ascii="楷体" w:hAnsi="楷体" w:eastAsia="楷体" w:cs="楷体"/>
          <w:color w:val="auto"/>
          <w:sz w:val="24"/>
          <w:szCs w:val="24"/>
          <w:lang w:val="en-US" w:eastAsia="zh-CN"/>
        </w:rPr>
      </w:pPr>
      <w:r>
        <w:rPr>
          <w:rFonts w:hint="eastAsia" w:ascii="楷体" w:hAnsi="楷体" w:eastAsia="楷体" w:cs="楷体"/>
          <w:i w:val="0"/>
          <w:iCs w:val="0"/>
          <w:color w:val="000000"/>
          <w:kern w:val="0"/>
          <w:sz w:val="24"/>
          <w:szCs w:val="24"/>
          <w:u w:val="none"/>
          <w:lang w:val="en-US" w:eastAsia="zh-CN" w:bidi="ar"/>
        </w:rPr>
        <w:t xml:space="preserve">-21 </w:t>
      </w:r>
      <w:r>
        <w:rPr>
          <w:rFonts w:hint="eastAsia" w:ascii="楷体" w:hAnsi="楷体" w:eastAsia="楷体" w:cs="楷体"/>
          <w:color w:val="auto"/>
          <w:sz w:val="24"/>
          <w:szCs w:val="24"/>
          <w:lang w:val="en-US" w:eastAsia="zh-CN"/>
        </w:rPr>
        <w:t>构筑物测算过程表</w:t>
      </w:r>
    </w:p>
    <w:tbl>
      <w:tblPr>
        <w:tblStyle w:val="45"/>
        <w:tblW w:w="5477" w:type="pct"/>
        <w:tblInd w:w="-8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1368"/>
        <w:gridCol w:w="1186"/>
        <w:gridCol w:w="477"/>
        <w:gridCol w:w="764"/>
        <w:gridCol w:w="845"/>
        <w:gridCol w:w="1188"/>
        <w:gridCol w:w="846"/>
        <w:gridCol w:w="953"/>
        <w:gridCol w:w="984"/>
        <w:gridCol w:w="8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补偿项目</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规格</w:t>
            </w:r>
          </w:p>
        </w:tc>
        <w:tc>
          <w:tcPr>
            <w:tcW w:w="23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说明</w:t>
            </w: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单位</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主材费</w:t>
            </w:r>
          </w:p>
        </w:tc>
        <w:tc>
          <w:tcPr>
            <w:tcW w:w="58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人工及辅料费</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管理费（4%）</w:t>
            </w: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利润（不计）</w:t>
            </w:r>
          </w:p>
        </w:tc>
        <w:tc>
          <w:tcPr>
            <w:tcW w:w="48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补偿标准</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补偿标准（十位向上取整）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砖石围墙</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标准围墙</w:t>
            </w:r>
          </w:p>
        </w:tc>
        <w:tc>
          <w:tcPr>
            <w:tcW w:w="23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米</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108</w:t>
            </w:r>
          </w:p>
        </w:tc>
        <w:tc>
          <w:tcPr>
            <w:tcW w:w="58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10.72</w:t>
            </w: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279</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土围墙</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标准围墙</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米</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68</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水井水池</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个</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180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499</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石挡墙</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立方米</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68</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5.12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133</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自来水</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户</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9.6</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250</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检修槽</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395</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9"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铁大门</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特指院坝铁门</w:t>
            </w: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道</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900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249</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45.96</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1195</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9"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有线电视迁改</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户</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9.6</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250</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9"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居民电源电线</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户</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186</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13.44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349</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电话移机</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户</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35</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109</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太阳能</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65</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296</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9"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钢筋砼化粪池</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立方米</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330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145</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494</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9"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砖砌化粪池</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立方米</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105</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180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296</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简易铁棚</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5.68</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148</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5"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排水沟（有盖板）</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米</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69</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5"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排水沟（无盖板）</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米</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23</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17</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砖砌花台</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米</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18</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18</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石灰池</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个</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180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499</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水泥地坪</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1.72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45</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简易房</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53</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3.72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97</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灶台</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个</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146</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140</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11.44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297</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22</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渡槽</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立方米</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180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203</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15.32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398</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3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23</w:t>
            </w:r>
          </w:p>
        </w:tc>
        <w:tc>
          <w:tcPr>
            <w:tcW w:w="6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室外厕所</w:t>
            </w:r>
          </w:p>
        </w:tc>
        <w:tc>
          <w:tcPr>
            <w:tcW w:w="58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3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37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座</w:t>
            </w:r>
          </w:p>
        </w:tc>
        <w:tc>
          <w:tcPr>
            <w:tcW w:w="4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140</w:t>
            </w:r>
          </w:p>
        </w:tc>
        <w:tc>
          <w:tcPr>
            <w:tcW w:w="5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143</w:t>
            </w:r>
          </w:p>
        </w:tc>
        <w:tc>
          <w:tcPr>
            <w:tcW w:w="4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11.32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294</w:t>
            </w:r>
          </w:p>
        </w:tc>
        <w:tc>
          <w:tcPr>
            <w:tcW w:w="4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w:t>
            </w:r>
          </w:p>
        </w:tc>
      </w:tr>
    </w:tbl>
    <w:p>
      <w:pPr>
        <w:pStyle w:val="61"/>
        <w:spacing w:line="360" w:lineRule="auto"/>
        <w:ind w:left="0" w:leftChars="0" w:firstLine="0" w:firstLineChars="0"/>
        <w:jc w:val="center"/>
        <w:rPr>
          <w:rFonts w:hint="eastAsia" w:ascii="楷体" w:hAnsi="楷体" w:eastAsia="楷体" w:cs="楷体"/>
          <w:color w:val="auto"/>
          <w:sz w:val="21"/>
          <w:szCs w:val="21"/>
          <w:lang w:val="en-US" w:eastAsia="zh-CN"/>
        </w:rPr>
      </w:pPr>
    </w:p>
    <w:p>
      <w:pPr>
        <w:pStyle w:val="61"/>
        <w:numPr>
          <w:ilvl w:val="0"/>
          <w:numId w:val="0"/>
        </w:numPr>
        <w:spacing w:line="360" w:lineRule="auto"/>
        <w:ind w:left="210" w:leftChars="0"/>
        <w:rPr>
          <w:rFonts w:hint="eastAsia" w:ascii="楷体" w:hAnsi="楷体" w:eastAsia="楷体" w:cs="楷体"/>
          <w:color w:val="auto"/>
          <w:sz w:val="21"/>
          <w:szCs w:val="21"/>
          <w:lang w:val="en-US" w:eastAsia="zh-CN"/>
        </w:rPr>
      </w:pPr>
    </w:p>
    <w:p>
      <w:pPr>
        <w:pStyle w:val="61"/>
        <w:numPr>
          <w:ilvl w:val="0"/>
          <w:numId w:val="0"/>
        </w:numPr>
        <w:spacing w:line="360" w:lineRule="auto"/>
        <w:ind w:leftChars="0"/>
        <w:rPr>
          <w:rFonts w:hint="eastAsia" w:ascii="楷体" w:hAnsi="楷体" w:eastAsia="楷体" w:cs="楷体"/>
          <w:color w:val="auto"/>
          <w:sz w:val="21"/>
          <w:szCs w:val="21"/>
          <w:lang w:val="en-US" w:eastAsia="zh-CN"/>
        </w:rPr>
      </w:pPr>
    </w:p>
    <w:p>
      <w:pPr>
        <w:pStyle w:val="61"/>
        <w:numPr>
          <w:ilvl w:val="0"/>
          <w:numId w:val="0"/>
        </w:numPr>
        <w:spacing w:line="360" w:lineRule="auto"/>
        <w:ind w:leftChars="0"/>
        <w:rPr>
          <w:rFonts w:hint="eastAsia" w:ascii="楷体" w:hAnsi="楷体" w:eastAsia="楷体" w:cs="楷体"/>
          <w:color w:val="auto"/>
          <w:sz w:val="21"/>
          <w:szCs w:val="21"/>
          <w:lang w:val="en-US" w:eastAsia="zh-CN"/>
        </w:rPr>
      </w:pPr>
    </w:p>
    <w:p>
      <w:pPr>
        <w:pStyle w:val="61"/>
        <w:numPr>
          <w:ilvl w:val="0"/>
          <w:numId w:val="0"/>
        </w:numPr>
        <w:spacing w:line="360" w:lineRule="auto"/>
        <w:rPr>
          <w:rFonts w:hint="eastAsia" w:ascii="楷体" w:hAnsi="楷体" w:eastAsia="楷体" w:cs="楷体"/>
          <w:color w:val="auto"/>
          <w:sz w:val="21"/>
          <w:szCs w:val="21"/>
          <w:lang w:val="en-US" w:eastAsia="zh-CN"/>
        </w:rPr>
      </w:pPr>
    </w:p>
    <w:p>
      <w:pPr>
        <w:pStyle w:val="61"/>
        <w:numPr>
          <w:ilvl w:val="0"/>
          <w:numId w:val="0"/>
        </w:numPr>
        <w:spacing w:line="360" w:lineRule="auto"/>
        <w:rPr>
          <w:rFonts w:hint="eastAsia" w:ascii="楷体" w:hAnsi="楷体" w:eastAsia="楷体" w:cs="楷体"/>
          <w:color w:val="auto"/>
          <w:sz w:val="21"/>
          <w:szCs w:val="21"/>
          <w:lang w:val="en-US" w:eastAsia="zh-CN"/>
        </w:rPr>
        <w:sectPr>
          <w:pgSz w:w="11905" w:h="16838"/>
          <w:pgMar w:top="1417" w:right="1247" w:bottom="1417" w:left="1587" w:header="851" w:footer="992" w:gutter="0"/>
          <w:pgNumType w:fmt="decimal"/>
          <w:cols w:space="0" w:num="1"/>
          <w:rtlGutter w:val="0"/>
          <w:docGrid w:type="lines" w:linePitch="312" w:charSpace="0"/>
        </w:sectPr>
      </w:pPr>
    </w:p>
    <w:p>
      <w:pPr>
        <w:pStyle w:val="61"/>
        <w:numPr>
          <w:ilvl w:val="0"/>
          <w:numId w:val="0"/>
        </w:numPr>
        <w:spacing w:line="360" w:lineRule="auto"/>
        <w:outlineLvl w:val="1"/>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3、林（果）木测算过程表</w:t>
      </w:r>
    </w:p>
    <w:p>
      <w:pPr>
        <w:pStyle w:val="61"/>
        <w:numPr>
          <w:ilvl w:val="0"/>
          <w:numId w:val="0"/>
        </w:numPr>
        <w:spacing w:line="360" w:lineRule="auto"/>
        <w:ind w:leftChars="0"/>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lang w:val="en-US" w:eastAsia="zh-CN"/>
        </w:rPr>
        <w:t>①林木</w:t>
      </w:r>
    </w:p>
    <w:p>
      <w:pPr>
        <w:pStyle w:val="61"/>
        <w:numPr>
          <w:ilvl w:val="0"/>
          <w:numId w:val="0"/>
        </w:numPr>
        <w:spacing w:line="360" w:lineRule="auto"/>
        <w:ind w:leftChars="0"/>
        <w:jc w:val="center"/>
        <w:rPr>
          <w:rFonts w:hint="eastAsia" w:ascii="楷体" w:hAnsi="楷体" w:eastAsia="楷体" w:cs="楷体"/>
          <w:b w:val="0"/>
          <w:bCs w:val="0"/>
          <w:color w:val="auto"/>
          <w:sz w:val="24"/>
          <w:szCs w:val="24"/>
          <w:lang w:val="en-US" w:eastAsia="zh-CN"/>
        </w:rPr>
      </w:pPr>
      <w:r>
        <w:rPr>
          <w:rFonts w:hint="eastAsia" w:ascii="楷体" w:hAnsi="楷体" w:eastAsia="楷体" w:cs="楷体"/>
          <w:b w:val="0"/>
          <w:bCs w:val="0"/>
          <w:i w:val="0"/>
          <w:iCs w:val="0"/>
          <w:color w:val="000000"/>
          <w:kern w:val="0"/>
          <w:sz w:val="24"/>
          <w:szCs w:val="24"/>
          <w:u w:val="none"/>
          <w:lang w:val="en-US" w:eastAsia="zh-CN" w:bidi="ar"/>
        </w:rPr>
        <w:t>9-22 幼龄林测算结果表</w:t>
      </w:r>
    </w:p>
    <w:tbl>
      <w:tblPr>
        <w:tblStyle w:val="45"/>
        <w:tblW w:w="56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1"/>
        <w:gridCol w:w="764"/>
        <w:gridCol w:w="518"/>
        <w:gridCol w:w="600"/>
        <w:gridCol w:w="613"/>
        <w:gridCol w:w="560"/>
        <w:gridCol w:w="490"/>
        <w:gridCol w:w="505"/>
        <w:gridCol w:w="559"/>
        <w:gridCol w:w="505"/>
        <w:gridCol w:w="494"/>
        <w:gridCol w:w="316"/>
        <w:gridCol w:w="319"/>
        <w:gridCol w:w="415"/>
        <w:gridCol w:w="316"/>
        <w:gridCol w:w="316"/>
        <w:gridCol w:w="415"/>
        <w:gridCol w:w="324"/>
        <w:gridCol w:w="466"/>
        <w:gridCol w:w="519"/>
        <w:gridCol w:w="428"/>
        <w:gridCol w:w="316"/>
        <w:gridCol w:w="319"/>
        <w:gridCol w:w="415"/>
        <w:gridCol w:w="316"/>
        <w:gridCol w:w="620"/>
        <w:gridCol w:w="415"/>
        <w:gridCol w:w="324"/>
        <w:gridCol w:w="466"/>
        <w:gridCol w:w="435"/>
        <w:gridCol w:w="344"/>
        <w:gridCol w:w="358"/>
        <w:gridCol w:w="333"/>
        <w:gridCol w:w="344"/>
        <w:gridCol w:w="344"/>
        <w:gridCol w:w="321"/>
        <w:gridCol w:w="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1801" w:type="pct"/>
            <w:gridSpan w:val="10"/>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林木主要技术指标表</w:t>
            </w:r>
          </w:p>
        </w:tc>
        <w:tc>
          <w:tcPr>
            <w:tcW w:w="2468" w:type="pct"/>
            <w:gridSpan w:val="20"/>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林木造林单位投资构成表</w:t>
            </w:r>
          </w:p>
        </w:tc>
        <w:tc>
          <w:tcPr>
            <w:tcW w:w="106" w:type="pct"/>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11" w:type="pct"/>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03" w:type="pct"/>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06" w:type="pct"/>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06" w:type="pct"/>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99" w:type="pct"/>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94" w:type="pct"/>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21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工时费</w:t>
            </w:r>
          </w:p>
        </w:tc>
        <w:tc>
          <w:tcPr>
            <w:tcW w:w="2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100元/工日</w:t>
            </w:r>
          </w:p>
        </w:tc>
        <w:tc>
          <w:tcPr>
            <w:tcW w:w="16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复合肥</w:t>
            </w:r>
          </w:p>
        </w:tc>
        <w:tc>
          <w:tcPr>
            <w:tcW w:w="18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2元/㎏</w:t>
            </w:r>
          </w:p>
        </w:tc>
        <w:tc>
          <w:tcPr>
            <w:tcW w:w="19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农药</w:t>
            </w:r>
          </w:p>
        </w:tc>
        <w:tc>
          <w:tcPr>
            <w:tcW w:w="17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30元/亩</w:t>
            </w:r>
          </w:p>
        </w:tc>
        <w:tc>
          <w:tcPr>
            <w:tcW w:w="15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规划设计费</w:t>
            </w: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16元/亩</w:t>
            </w:r>
          </w:p>
        </w:tc>
        <w:tc>
          <w:tcPr>
            <w:tcW w:w="17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管理费用</w:t>
            </w: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12元/亩</w:t>
            </w:r>
          </w:p>
        </w:tc>
        <w:tc>
          <w:tcPr>
            <w:tcW w:w="1210" w:type="pct"/>
            <w:gridSpan w:val="10"/>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第一年造林和抚育成本</w:t>
            </w:r>
          </w:p>
        </w:tc>
        <w:tc>
          <w:tcPr>
            <w:tcW w:w="1258" w:type="pct"/>
            <w:gridSpan w:val="10"/>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第二年至幼龄林林分年龄成本</w:t>
            </w:r>
          </w:p>
        </w:tc>
        <w:tc>
          <w:tcPr>
            <w:tcW w:w="729" w:type="pct"/>
            <w:gridSpan w:val="7"/>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幼龄林测算结果表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jc w:val="center"/>
        </w:trPr>
        <w:tc>
          <w:tcPr>
            <w:tcW w:w="214"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林木名称</w:t>
            </w:r>
          </w:p>
        </w:tc>
        <w:tc>
          <w:tcPr>
            <w:tcW w:w="237"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苗木费（元/株）</w:t>
            </w:r>
          </w:p>
        </w:tc>
        <w:tc>
          <w:tcPr>
            <w:tcW w:w="347" w:type="pct"/>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生态林种植密度（株/亩）</w:t>
            </w:r>
          </w:p>
        </w:tc>
        <w:tc>
          <w:tcPr>
            <w:tcW w:w="364" w:type="pct"/>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商品林种植密度（株/亩）</w:t>
            </w:r>
          </w:p>
        </w:tc>
        <w:tc>
          <w:tcPr>
            <w:tcW w:w="152" w:type="pct"/>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平均种植密度</w:t>
            </w:r>
          </w:p>
        </w:tc>
        <w:tc>
          <w:tcPr>
            <w:tcW w:w="487" w:type="pct"/>
            <w:gridSpan w:val="3"/>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龄组（生长发育阶段）（年）</w:t>
            </w:r>
          </w:p>
        </w:tc>
        <w:tc>
          <w:tcPr>
            <w:tcW w:w="350" w:type="pct"/>
            <w:gridSpan w:val="3"/>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材料费</w:t>
            </w:r>
          </w:p>
        </w:tc>
        <w:tc>
          <w:tcPr>
            <w:tcW w:w="554" w:type="pct"/>
            <w:gridSpan w:val="5"/>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劳务费</w:t>
            </w:r>
          </w:p>
        </w:tc>
        <w:tc>
          <w:tcPr>
            <w:tcW w:w="305" w:type="pct"/>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科技支撑费</w:t>
            </w:r>
          </w:p>
        </w:tc>
        <w:tc>
          <w:tcPr>
            <w:tcW w:w="329" w:type="pct"/>
            <w:gridSpan w:val="3"/>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材料费</w:t>
            </w:r>
          </w:p>
        </w:tc>
        <w:tc>
          <w:tcPr>
            <w:tcW w:w="648" w:type="pct"/>
            <w:gridSpan w:val="5"/>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劳务费</w:t>
            </w:r>
          </w:p>
        </w:tc>
        <w:tc>
          <w:tcPr>
            <w:tcW w:w="279" w:type="pct"/>
            <w:gridSpan w:val="2"/>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科技支撑费</w:t>
            </w:r>
          </w:p>
        </w:tc>
        <w:tc>
          <w:tcPr>
            <w:tcW w:w="106"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综合调整系数（K）</w:t>
            </w:r>
          </w:p>
        </w:tc>
        <w:tc>
          <w:tcPr>
            <w:tcW w:w="111"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第1年生产成本（Ci）</w:t>
            </w:r>
          </w:p>
        </w:tc>
        <w:tc>
          <w:tcPr>
            <w:tcW w:w="103"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第2~n年生产成本（成本一样）</w:t>
            </w:r>
          </w:p>
        </w:tc>
        <w:tc>
          <w:tcPr>
            <w:tcW w:w="106"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林分年龄（n）</w:t>
            </w:r>
          </w:p>
        </w:tc>
        <w:tc>
          <w:tcPr>
            <w:tcW w:w="106"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收益还原率（p）</w:t>
            </w:r>
          </w:p>
        </w:tc>
        <w:tc>
          <w:tcPr>
            <w:tcW w:w="99"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补偿标准（元/亩）</w:t>
            </w:r>
          </w:p>
        </w:tc>
        <w:tc>
          <w:tcPr>
            <w:tcW w:w="94"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补偿标准（元/株）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214"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237"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最低种植密度</w:t>
            </w:r>
          </w:p>
        </w:tc>
        <w:tc>
          <w:tcPr>
            <w:tcW w:w="18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最高种植密度</w:t>
            </w:r>
          </w:p>
        </w:tc>
        <w:tc>
          <w:tcPr>
            <w:tcW w:w="19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最低种植密度</w:t>
            </w:r>
          </w:p>
        </w:tc>
        <w:tc>
          <w:tcPr>
            <w:tcW w:w="1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最高种植密度</w:t>
            </w:r>
          </w:p>
        </w:tc>
        <w:tc>
          <w:tcPr>
            <w:tcW w:w="152" w:type="pct"/>
            <w:vMerge w:val="continue"/>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幼龄林</w:t>
            </w:r>
          </w:p>
        </w:tc>
        <w:tc>
          <w:tcPr>
            <w:tcW w:w="17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中龄林（近熟林）</w:t>
            </w: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成熟林（过熟林）</w:t>
            </w:r>
          </w:p>
        </w:tc>
        <w:tc>
          <w:tcPr>
            <w:tcW w:w="15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种苗</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肥料</w:t>
            </w:r>
          </w:p>
        </w:tc>
        <w:tc>
          <w:tcPr>
            <w:tcW w:w="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农药</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林地清理</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整地</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种植</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抚育施肥</w:t>
            </w:r>
          </w:p>
        </w:tc>
        <w:tc>
          <w:tcPr>
            <w:tcW w:w="1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管护</w:t>
            </w:r>
          </w:p>
        </w:tc>
        <w:tc>
          <w:tcPr>
            <w:tcW w:w="14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规划设计费</w:t>
            </w:r>
          </w:p>
        </w:tc>
        <w:tc>
          <w:tcPr>
            <w:tcW w:w="1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管理费用</w:t>
            </w:r>
          </w:p>
        </w:tc>
        <w:tc>
          <w:tcPr>
            <w:tcW w:w="1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种苗（补栽）</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肥料</w:t>
            </w:r>
          </w:p>
        </w:tc>
        <w:tc>
          <w:tcPr>
            <w:tcW w:w="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农药</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林地清理</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整地</w:t>
            </w:r>
          </w:p>
        </w:tc>
        <w:tc>
          <w:tcPr>
            <w:tcW w:w="19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种植（补植补种）</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抚育施肥</w:t>
            </w:r>
          </w:p>
        </w:tc>
        <w:tc>
          <w:tcPr>
            <w:tcW w:w="1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管护</w:t>
            </w:r>
          </w:p>
        </w:tc>
        <w:tc>
          <w:tcPr>
            <w:tcW w:w="14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规划设计费</w:t>
            </w:r>
          </w:p>
        </w:tc>
        <w:tc>
          <w:tcPr>
            <w:tcW w:w="13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管理费用</w:t>
            </w:r>
          </w:p>
        </w:tc>
        <w:tc>
          <w:tcPr>
            <w:tcW w:w="106"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11"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03"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06"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06"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99"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94"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1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桉树</w:t>
            </w:r>
          </w:p>
        </w:tc>
        <w:tc>
          <w:tcPr>
            <w:tcW w:w="2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w:t>
            </w:r>
          </w:p>
        </w:tc>
        <w:tc>
          <w:tcPr>
            <w:tcW w:w="16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8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210</w:t>
            </w:r>
          </w:p>
        </w:tc>
        <w:tc>
          <w:tcPr>
            <w:tcW w:w="19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15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140</w:t>
            </w: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≤4年</w:t>
            </w:r>
          </w:p>
        </w:tc>
        <w:tc>
          <w:tcPr>
            <w:tcW w:w="17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5-8年</w:t>
            </w: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≥9年</w:t>
            </w:r>
          </w:p>
        </w:tc>
        <w:tc>
          <w:tcPr>
            <w:tcW w:w="15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1400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1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4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16</w:t>
            </w:r>
          </w:p>
        </w:tc>
        <w:tc>
          <w:tcPr>
            <w:tcW w:w="1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140.0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192"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28"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00"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4"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135"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06"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11"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1898</w:t>
            </w:r>
          </w:p>
        </w:tc>
        <w:tc>
          <w:tcPr>
            <w:tcW w:w="103"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442.0</w:t>
            </w:r>
          </w:p>
        </w:tc>
        <w:tc>
          <w:tcPr>
            <w:tcW w:w="106"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w:t>
            </w:r>
          </w:p>
        </w:tc>
        <w:tc>
          <w:tcPr>
            <w:tcW w:w="106"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4.79%</w:t>
            </w:r>
          </w:p>
        </w:tc>
        <w:tc>
          <w:tcPr>
            <w:tcW w:w="99"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6228</w:t>
            </w:r>
          </w:p>
        </w:tc>
        <w:tc>
          <w:tcPr>
            <w:tcW w:w="94"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jc w:val="center"/>
        </w:trPr>
        <w:tc>
          <w:tcPr>
            <w:tcW w:w="21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云南松林</w:t>
            </w:r>
          </w:p>
        </w:tc>
        <w:tc>
          <w:tcPr>
            <w:tcW w:w="2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w:t>
            </w:r>
          </w:p>
        </w:tc>
        <w:tc>
          <w:tcPr>
            <w:tcW w:w="16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8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300</w:t>
            </w:r>
          </w:p>
        </w:tc>
        <w:tc>
          <w:tcPr>
            <w:tcW w:w="19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300</w:t>
            </w:r>
          </w:p>
        </w:tc>
        <w:tc>
          <w:tcPr>
            <w:tcW w:w="15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≤4年</w:t>
            </w:r>
          </w:p>
        </w:tc>
        <w:tc>
          <w:tcPr>
            <w:tcW w:w="17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5-10年</w:t>
            </w: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≥11年</w:t>
            </w:r>
          </w:p>
        </w:tc>
        <w:tc>
          <w:tcPr>
            <w:tcW w:w="15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1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w:t>
            </w:r>
          </w:p>
        </w:tc>
        <w:tc>
          <w:tcPr>
            <w:tcW w:w="14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16</w:t>
            </w:r>
          </w:p>
        </w:tc>
        <w:tc>
          <w:tcPr>
            <w:tcW w:w="1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192"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28"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100"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4"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135"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06"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11"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2499</w:t>
            </w:r>
          </w:p>
        </w:tc>
        <w:tc>
          <w:tcPr>
            <w:tcW w:w="103"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552.0</w:t>
            </w:r>
          </w:p>
        </w:tc>
        <w:tc>
          <w:tcPr>
            <w:tcW w:w="106"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w:t>
            </w:r>
          </w:p>
        </w:tc>
        <w:tc>
          <w:tcPr>
            <w:tcW w:w="106"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4.779%</w:t>
            </w:r>
          </w:p>
        </w:tc>
        <w:tc>
          <w:tcPr>
            <w:tcW w:w="99"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7954</w:t>
            </w:r>
          </w:p>
        </w:tc>
        <w:tc>
          <w:tcPr>
            <w:tcW w:w="94"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1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华山松林</w:t>
            </w:r>
          </w:p>
        </w:tc>
        <w:tc>
          <w:tcPr>
            <w:tcW w:w="2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w:t>
            </w:r>
          </w:p>
        </w:tc>
        <w:tc>
          <w:tcPr>
            <w:tcW w:w="16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86"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210</w:t>
            </w:r>
          </w:p>
        </w:tc>
        <w:tc>
          <w:tcPr>
            <w:tcW w:w="19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110</w:t>
            </w:r>
          </w:p>
        </w:tc>
        <w:tc>
          <w:tcPr>
            <w:tcW w:w="17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300</w:t>
            </w:r>
          </w:p>
        </w:tc>
        <w:tc>
          <w:tcPr>
            <w:tcW w:w="15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w:t>
            </w: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≤4年</w:t>
            </w:r>
          </w:p>
        </w:tc>
        <w:tc>
          <w:tcPr>
            <w:tcW w:w="17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5-10年</w:t>
            </w:r>
          </w:p>
        </w:tc>
        <w:tc>
          <w:tcPr>
            <w:tcW w:w="156"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≥11年</w:t>
            </w:r>
          </w:p>
        </w:tc>
        <w:tc>
          <w:tcPr>
            <w:tcW w:w="153"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10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w:t>
            </w:r>
          </w:p>
        </w:tc>
        <w:tc>
          <w:tcPr>
            <w:tcW w:w="144"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16</w:t>
            </w:r>
          </w:p>
        </w:tc>
        <w:tc>
          <w:tcPr>
            <w:tcW w:w="16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32"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9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2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9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192"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28"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100"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4"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w:t>
            </w:r>
          </w:p>
        </w:tc>
        <w:tc>
          <w:tcPr>
            <w:tcW w:w="135"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06"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11"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2299</w:t>
            </w:r>
          </w:p>
        </w:tc>
        <w:tc>
          <w:tcPr>
            <w:tcW w:w="103"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532.0</w:t>
            </w:r>
          </w:p>
        </w:tc>
        <w:tc>
          <w:tcPr>
            <w:tcW w:w="106"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w:t>
            </w:r>
          </w:p>
        </w:tc>
        <w:tc>
          <w:tcPr>
            <w:tcW w:w="106"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4.79%</w:t>
            </w:r>
          </w:p>
        </w:tc>
        <w:tc>
          <w:tcPr>
            <w:tcW w:w="99"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7516</w:t>
            </w:r>
          </w:p>
        </w:tc>
        <w:tc>
          <w:tcPr>
            <w:tcW w:w="94"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42</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61"/>
        <w:numPr>
          <w:ilvl w:val="0"/>
          <w:numId w:val="0"/>
        </w:numPr>
        <w:spacing w:line="360" w:lineRule="auto"/>
        <w:ind w:leftChars="0"/>
        <w:jc w:val="center"/>
        <w:rPr>
          <w:rFonts w:hint="eastAsia"/>
          <w:lang w:val="en-US" w:eastAsia="zh-CN"/>
        </w:rPr>
      </w:pPr>
      <w:r>
        <w:rPr>
          <w:rFonts w:hint="eastAsia" w:ascii="楷体" w:hAnsi="楷体" w:eastAsia="楷体" w:cs="楷体"/>
          <w:b w:val="0"/>
          <w:bCs w:val="0"/>
          <w:color w:val="auto"/>
          <w:sz w:val="24"/>
          <w:szCs w:val="24"/>
          <w:highlight w:val="none"/>
          <w:lang w:val="en-US" w:eastAsia="zh-CN"/>
        </w:rPr>
        <w:t>9-23</w:t>
      </w:r>
      <w:r>
        <w:rPr>
          <w:rFonts w:hint="eastAsia" w:ascii="楷体" w:hAnsi="楷体" w:eastAsia="楷体" w:cs="楷体"/>
          <w:b w:val="0"/>
          <w:bCs w:val="0"/>
          <w:i w:val="0"/>
          <w:iCs w:val="0"/>
          <w:color w:val="000000"/>
          <w:kern w:val="0"/>
          <w:sz w:val="24"/>
          <w:szCs w:val="24"/>
          <w:u w:val="none"/>
          <w:lang w:val="en-US" w:eastAsia="zh-CN" w:bidi="ar"/>
        </w:rPr>
        <w:t>中龄林测算结果表</w:t>
      </w:r>
    </w:p>
    <w:tbl>
      <w:tblPr>
        <w:tblStyle w:val="45"/>
        <w:tblpPr w:leftFromText="180" w:rightFromText="180" w:vertAnchor="text" w:horzAnchor="page" w:tblpXSpec="center" w:tblpY="599"/>
        <w:tblOverlap w:val="never"/>
        <w:tblW w:w="54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2"/>
        <w:gridCol w:w="600"/>
        <w:gridCol w:w="847"/>
        <w:gridCol w:w="582"/>
        <w:gridCol w:w="563"/>
        <w:gridCol w:w="458"/>
        <w:gridCol w:w="630"/>
        <w:gridCol w:w="458"/>
        <w:gridCol w:w="711"/>
        <w:gridCol w:w="473"/>
        <w:gridCol w:w="563"/>
        <w:gridCol w:w="458"/>
        <w:gridCol w:w="458"/>
        <w:gridCol w:w="470"/>
        <w:gridCol w:w="693"/>
        <w:gridCol w:w="693"/>
        <w:gridCol w:w="693"/>
        <w:gridCol w:w="765"/>
        <w:gridCol w:w="428"/>
        <w:gridCol w:w="759"/>
        <w:gridCol w:w="343"/>
        <w:gridCol w:w="437"/>
        <w:gridCol w:w="410"/>
        <w:gridCol w:w="626"/>
        <w:gridCol w:w="519"/>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234" w:type="pct"/>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3424" w:type="pct"/>
            <w:gridSpan w:val="18"/>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林木相关技术经济指标表</w:t>
            </w:r>
          </w:p>
        </w:tc>
        <w:tc>
          <w:tcPr>
            <w:tcW w:w="1340" w:type="pct"/>
            <w:gridSpan w:val="7"/>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中龄林测算结果表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234" w:type="pct"/>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林木名称</w:t>
            </w:r>
          </w:p>
        </w:tc>
        <w:tc>
          <w:tcPr>
            <w:tcW w:w="1575" w:type="pct"/>
            <w:gridSpan w:val="8"/>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木材销售总收入</w:t>
            </w:r>
          </w:p>
        </w:tc>
        <w:tc>
          <w:tcPr>
            <w:tcW w:w="786" w:type="pct"/>
            <w:gridSpan w:val="5"/>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木材生产经营成本</w:t>
            </w:r>
          </w:p>
        </w:tc>
        <w:tc>
          <w:tcPr>
            <w:tcW w:w="923" w:type="pct"/>
            <w:gridSpan w:val="4"/>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39" w:type="pct"/>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246"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林分主伐净收益</w:t>
            </w:r>
          </w:p>
        </w:tc>
        <w:tc>
          <w:tcPr>
            <w:tcW w:w="111"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用材林主伐年龄</w:t>
            </w:r>
          </w:p>
        </w:tc>
        <w:tc>
          <w:tcPr>
            <w:tcW w:w="141"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林分年龄</w:t>
            </w:r>
          </w:p>
        </w:tc>
        <w:tc>
          <w:tcPr>
            <w:tcW w:w="133"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年管护费</w:t>
            </w:r>
          </w:p>
        </w:tc>
        <w:tc>
          <w:tcPr>
            <w:tcW w:w="203"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收益还原率</w:t>
            </w:r>
          </w:p>
        </w:tc>
        <w:tc>
          <w:tcPr>
            <w:tcW w:w="168"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补偿标准（元/亩）</w:t>
            </w:r>
          </w:p>
        </w:tc>
        <w:tc>
          <w:tcPr>
            <w:tcW w:w="335"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补偿标准（元/株）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234" w:type="pct"/>
            <w:vMerge w:val="continue"/>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9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树龄（年）</w:t>
            </w:r>
          </w:p>
        </w:tc>
        <w:tc>
          <w:tcPr>
            <w:tcW w:w="27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平均胸径（厘米）</w:t>
            </w:r>
          </w:p>
        </w:tc>
        <w:tc>
          <w:tcPr>
            <w:tcW w:w="18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平均树高（米）</w:t>
            </w:r>
          </w:p>
        </w:tc>
        <w:tc>
          <w:tcPr>
            <w:tcW w:w="18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二元立木材积（立方米）</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种植密度（株/亩）</w:t>
            </w:r>
          </w:p>
        </w:tc>
        <w:tc>
          <w:tcPr>
            <w:tcW w:w="20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材积（立方米/亩）</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木材单价（元/立方米）</w:t>
            </w:r>
          </w:p>
        </w:tc>
        <w:tc>
          <w:tcPr>
            <w:tcW w:w="23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木材销售总收入（元/亩）</w:t>
            </w:r>
          </w:p>
        </w:tc>
        <w:tc>
          <w:tcPr>
            <w:tcW w:w="15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第一年造林成本（元/亩）</w:t>
            </w:r>
          </w:p>
        </w:tc>
        <w:tc>
          <w:tcPr>
            <w:tcW w:w="18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第二年至中龄林成本（元/亩）</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采伐成本（元/亩）</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集材成本（元/亩）</w:t>
            </w:r>
          </w:p>
        </w:tc>
        <w:tc>
          <w:tcPr>
            <w:tcW w:w="15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运输成本（元/亩）</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木材经营利润</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林业经营生产税</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其他不可预见费</w:t>
            </w:r>
          </w:p>
        </w:tc>
        <w:tc>
          <w:tcPr>
            <w:tcW w:w="2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主伐净收益</w:t>
            </w:r>
          </w:p>
        </w:tc>
        <w:tc>
          <w:tcPr>
            <w:tcW w:w="13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年管护费</w:t>
            </w:r>
          </w:p>
        </w:tc>
        <w:tc>
          <w:tcPr>
            <w:tcW w:w="246"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11"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41"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33"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203"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68"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335" w:type="pct"/>
            <w:vMerge w:val="continue"/>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4"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桉树</w:t>
            </w:r>
          </w:p>
        </w:tc>
        <w:tc>
          <w:tcPr>
            <w:tcW w:w="19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5-8年</w:t>
            </w:r>
          </w:p>
        </w:tc>
        <w:tc>
          <w:tcPr>
            <w:tcW w:w="27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15~25</w:t>
            </w:r>
          </w:p>
        </w:tc>
        <w:tc>
          <w:tcPr>
            <w:tcW w:w="18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10~15</w:t>
            </w:r>
          </w:p>
        </w:tc>
        <w:tc>
          <w:tcPr>
            <w:tcW w:w="18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0.2563</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155</w:t>
            </w:r>
          </w:p>
        </w:tc>
        <w:tc>
          <w:tcPr>
            <w:tcW w:w="20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39.7265</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700</w:t>
            </w:r>
          </w:p>
        </w:tc>
        <w:tc>
          <w:tcPr>
            <w:tcW w:w="23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27808.55</w:t>
            </w:r>
          </w:p>
        </w:tc>
        <w:tc>
          <w:tcPr>
            <w:tcW w:w="15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1583</w:t>
            </w:r>
          </w:p>
        </w:tc>
        <w:tc>
          <w:tcPr>
            <w:tcW w:w="18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2873.5</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700</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5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2780.855</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834.2565</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278.0855</w:t>
            </w:r>
          </w:p>
        </w:tc>
        <w:tc>
          <w:tcPr>
            <w:tcW w:w="2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18458.853</w:t>
            </w:r>
          </w:p>
        </w:tc>
        <w:tc>
          <w:tcPr>
            <w:tcW w:w="13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360</w:t>
            </w:r>
          </w:p>
        </w:tc>
        <w:tc>
          <w:tcPr>
            <w:tcW w:w="246"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18458.853</w:t>
            </w:r>
          </w:p>
        </w:tc>
        <w:tc>
          <w:tcPr>
            <w:tcW w:w="111"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w:t>
            </w:r>
          </w:p>
        </w:tc>
        <w:tc>
          <w:tcPr>
            <w:tcW w:w="141"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14.0</w:t>
            </w:r>
          </w:p>
        </w:tc>
        <w:tc>
          <w:tcPr>
            <w:tcW w:w="133"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360</w:t>
            </w:r>
          </w:p>
        </w:tc>
        <w:tc>
          <w:tcPr>
            <w:tcW w:w="203"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4.79%</w:t>
            </w:r>
          </w:p>
        </w:tc>
        <w:tc>
          <w:tcPr>
            <w:tcW w:w="168"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12701</w:t>
            </w:r>
          </w:p>
        </w:tc>
        <w:tc>
          <w:tcPr>
            <w:tcW w:w="335"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4"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云南松林</w:t>
            </w:r>
          </w:p>
        </w:tc>
        <w:tc>
          <w:tcPr>
            <w:tcW w:w="19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5-10年</w:t>
            </w:r>
          </w:p>
        </w:tc>
        <w:tc>
          <w:tcPr>
            <w:tcW w:w="27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15~25</w:t>
            </w:r>
          </w:p>
        </w:tc>
        <w:tc>
          <w:tcPr>
            <w:tcW w:w="18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10~15</w:t>
            </w:r>
          </w:p>
        </w:tc>
        <w:tc>
          <w:tcPr>
            <w:tcW w:w="18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0.2256</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20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45.12</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600</w:t>
            </w:r>
          </w:p>
        </w:tc>
        <w:tc>
          <w:tcPr>
            <w:tcW w:w="23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27072</w:t>
            </w:r>
          </w:p>
        </w:tc>
        <w:tc>
          <w:tcPr>
            <w:tcW w:w="15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2499</w:t>
            </w:r>
          </w:p>
        </w:tc>
        <w:tc>
          <w:tcPr>
            <w:tcW w:w="18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2208</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700</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5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2707.2</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812.16</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270.72</w:t>
            </w:r>
          </w:p>
        </w:tc>
        <w:tc>
          <w:tcPr>
            <w:tcW w:w="2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17574.92</w:t>
            </w:r>
          </w:p>
        </w:tc>
        <w:tc>
          <w:tcPr>
            <w:tcW w:w="13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360</w:t>
            </w:r>
          </w:p>
        </w:tc>
        <w:tc>
          <w:tcPr>
            <w:tcW w:w="246"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17574.92</w:t>
            </w:r>
          </w:p>
        </w:tc>
        <w:tc>
          <w:tcPr>
            <w:tcW w:w="111"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w:t>
            </w:r>
          </w:p>
        </w:tc>
        <w:tc>
          <w:tcPr>
            <w:tcW w:w="141"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w:t>
            </w:r>
          </w:p>
        </w:tc>
        <w:tc>
          <w:tcPr>
            <w:tcW w:w="133"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360</w:t>
            </w:r>
          </w:p>
        </w:tc>
        <w:tc>
          <w:tcPr>
            <w:tcW w:w="203" w:type="pct"/>
            <w:shd w:val="clear" w:color="auto" w:fill="FFFFFF"/>
            <w:vAlign w:val="center"/>
          </w:tcPr>
          <w:p>
            <w:pPr>
              <w:keepNext w:val="0"/>
              <w:keepLines w:val="0"/>
              <w:widowControl/>
              <w:suppressLineNumbers w:val="0"/>
              <w:spacing w:line="360" w:lineRule="auto"/>
              <w:jc w:val="both"/>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4.79%</w:t>
            </w:r>
          </w:p>
        </w:tc>
        <w:tc>
          <w:tcPr>
            <w:tcW w:w="168"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12843</w:t>
            </w:r>
          </w:p>
        </w:tc>
        <w:tc>
          <w:tcPr>
            <w:tcW w:w="335"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4"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华山松林</w:t>
            </w:r>
          </w:p>
        </w:tc>
        <w:tc>
          <w:tcPr>
            <w:tcW w:w="19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5-10年</w:t>
            </w:r>
          </w:p>
        </w:tc>
        <w:tc>
          <w:tcPr>
            <w:tcW w:w="27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15~25</w:t>
            </w:r>
          </w:p>
        </w:tc>
        <w:tc>
          <w:tcPr>
            <w:tcW w:w="18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10~15</w:t>
            </w:r>
          </w:p>
        </w:tc>
        <w:tc>
          <w:tcPr>
            <w:tcW w:w="18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0.2356</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w:t>
            </w:r>
          </w:p>
        </w:tc>
        <w:tc>
          <w:tcPr>
            <w:tcW w:w="204"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42.408</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700</w:t>
            </w:r>
          </w:p>
        </w:tc>
        <w:tc>
          <w:tcPr>
            <w:tcW w:w="230"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29685.6</w:t>
            </w:r>
          </w:p>
        </w:tc>
        <w:tc>
          <w:tcPr>
            <w:tcW w:w="153"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2299</w:t>
            </w:r>
          </w:p>
        </w:tc>
        <w:tc>
          <w:tcPr>
            <w:tcW w:w="18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2660</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700</w:t>
            </w:r>
          </w:p>
        </w:tc>
        <w:tc>
          <w:tcPr>
            <w:tcW w:w="1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52"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2968.56</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890.568</w:t>
            </w:r>
          </w:p>
        </w:tc>
        <w:tc>
          <w:tcPr>
            <w:tcW w:w="225"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296.856</w:t>
            </w:r>
          </w:p>
        </w:tc>
        <w:tc>
          <w:tcPr>
            <w:tcW w:w="248"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19570.616</w:t>
            </w:r>
          </w:p>
        </w:tc>
        <w:tc>
          <w:tcPr>
            <w:tcW w:w="139"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360</w:t>
            </w:r>
          </w:p>
        </w:tc>
        <w:tc>
          <w:tcPr>
            <w:tcW w:w="246"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19570.616</w:t>
            </w:r>
          </w:p>
        </w:tc>
        <w:tc>
          <w:tcPr>
            <w:tcW w:w="111"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w:t>
            </w:r>
          </w:p>
        </w:tc>
        <w:tc>
          <w:tcPr>
            <w:tcW w:w="141"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w:t>
            </w:r>
          </w:p>
        </w:tc>
        <w:tc>
          <w:tcPr>
            <w:tcW w:w="133"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360</w:t>
            </w:r>
          </w:p>
        </w:tc>
        <w:tc>
          <w:tcPr>
            <w:tcW w:w="203"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4.79%</w:t>
            </w:r>
          </w:p>
        </w:tc>
        <w:tc>
          <w:tcPr>
            <w:tcW w:w="168" w:type="pct"/>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14483</w:t>
            </w:r>
          </w:p>
        </w:tc>
        <w:tc>
          <w:tcPr>
            <w:tcW w:w="335" w:type="pct"/>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80</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61"/>
        <w:numPr>
          <w:ilvl w:val="0"/>
          <w:numId w:val="0"/>
        </w:numPr>
        <w:spacing w:line="360" w:lineRule="auto"/>
        <w:ind w:leftChars="0"/>
        <w:jc w:val="center"/>
        <w:rPr>
          <w:rFonts w:hint="eastAsia"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highlight w:val="none"/>
          <w:lang w:val="en-US" w:eastAsia="zh-CN"/>
        </w:rPr>
        <w:t xml:space="preserve">9-24 </w:t>
      </w:r>
      <w:r>
        <w:rPr>
          <w:rFonts w:hint="eastAsia" w:ascii="楷体" w:hAnsi="楷体" w:eastAsia="楷体" w:cs="楷体"/>
          <w:b w:val="0"/>
          <w:bCs w:val="0"/>
          <w:i w:val="0"/>
          <w:iCs w:val="0"/>
          <w:color w:val="000000"/>
          <w:kern w:val="0"/>
          <w:sz w:val="24"/>
          <w:szCs w:val="24"/>
          <w:u w:val="none"/>
          <w:lang w:val="en-US" w:eastAsia="zh-CN" w:bidi="ar"/>
        </w:rPr>
        <w:t>成熟林测算结果表</w:t>
      </w:r>
    </w:p>
    <w:tbl>
      <w:tblPr>
        <w:tblStyle w:val="45"/>
        <w:tblW w:w="5271" w:type="pct"/>
        <w:tblInd w:w="-7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4"/>
        <w:gridCol w:w="612"/>
        <w:gridCol w:w="546"/>
        <w:gridCol w:w="612"/>
        <w:gridCol w:w="613"/>
        <w:gridCol w:w="481"/>
        <w:gridCol w:w="679"/>
        <w:gridCol w:w="481"/>
        <w:gridCol w:w="679"/>
        <w:gridCol w:w="481"/>
        <w:gridCol w:w="613"/>
        <w:gridCol w:w="481"/>
        <w:gridCol w:w="481"/>
        <w:gridCol w:w="481"/>
        <w:gridCol w:w="745"/>
        <w:gridCol w:w="679"/>
        <w:gridCol w:w="745"/>
        <w:gridCol w:w="547"/>
        <w:gridCol w:w="547"/>
        <w:gridCol w:w="679"/>
        <w:gridCol w:w="811"/>
        <w:gridCol w:w="679"/>
        <w:gridCol w:w="547"/>
        <w:gridCol w:w="547"/>
        <w:gridCol w:w="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spacing w:line="360" w:lineRule="auto"/>
              <w:rPr>
                <w:rFonts w:hint="eastAsia" w:ascii="楷体" w:hAnsi="楷体" w:eastAsia="楷体" w:cs="楷体"/>
                <w:b w:val="0"/>
                <w:bCs w:val="0"/>
                <w:i w:val="0"/>
                <w:iCs w:val="0"/>
                <w:color w:val="000000"/>
                <w:sz w:val="21"/>
                <w:szCs w:val="21"/>
                <w:u w:val="none"/>
              </w:rPr>
            </w:pPr>
          </w:p>
        </w:tc>
        <w:tc>
          <w:tcPr>
            <w:tcW w:w="3144" w:type="pct"/>
            <w:gridSpan w:val="17"/>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林木相关技术经济指标表</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184" w:type="pct"/>
            <w:gridSpan w:val="6"/>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中龄林测算结果表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491"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林木名称</w:t>
            </w:r>
          </w:p>
        </w:tc>
        <w:tc>
          <w:tcPr>
            <w:tcW w:w="1486" w:type="pct"/>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木材销售总收入</w:t>
            </w:r>
          </w:p>
        </w:tc>
        <w:tc>
          <w:tcPr>
            <w:tcW w:w="806" w:type="pct"/>
            <w:gridSpan w:val="5"/>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木材生产经营成本</w:t>
            </w:r>
          </w:p>
        </w:tc>
        <w:tc>
          <w:tcPr>
            <w:tcW w:w="672" w:type="pct"/>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hint="eastAsia" w:ascii="楷体" w:hAnsi="楷体" w:eastAsia="楷体" w:cs="楷体"/>
                <w:b w:val="0"/>
                <w:bCs w:val="0"/>
                <w:i w:val="0"/>
                <w:iCs w:val="0"/>
                <w:color w:val="000000"/>
                <w:sz w:val="21"/>
                <w:szCs w:val="21"/>
                <w:u w:val="none"/>
              </w:rPr>
            </w:pP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hint="eastAsia" w:ascii="楷体" w:hAnsi="楷体" w:eastAsia="楷体" w:cs="楷体"/>
                <w:b w:val="0"/>
                <w:bCs w:val="0"/>
                <w:i w:val="0"/>
                <w:iCs w:val="0"/>
                <w:color w:val="000000"/>
                <w:sz w:val="21"/>
                <w:szCs w:val="21"/>
                <w:u w:val="none"/>
              </w:rPr>
            </w:pPr>
          </w:p>
        </w:tc>
        <w:tc>
          <w:tcPr>
            <w:tcW w:w="209"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木材销售总收入</w:t>
            </w:r>
          </w:p>
        </w:tc>
        <w:tc>
          <w:tcPr>
            <w:tcW w:w="25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木材生产经营成本</w:t>
            </w:r>
          </w:p>
        </w:tc>
        <w:tc>
          <w:tcPr>
            <w:tcW w:w="209"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木材经营利润</w:t>
            </w:r>
          </w:p>
        </w:tc>
        <w:tc>
          <w:tcPr>
            <w:tcW w:w="179"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林地地租</w:t>
            </w:r>
          </w:p>
        </w:tc>
        <w:tc>
          <w:tcPr>
            <w:tcW w:w="179"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补偿标准（元/亩）</w:t>
            </w:r>
          </w:p>
        </w:tc>
        <w:tc>
          <w:tcPr>
            <w:tcW w:w="153"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补偿标准（元/株）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91"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9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树龄（年）</w:t>
            </w:r>
          </w:p>
        </w:tc>
        <w:tc>
          <w:tcPr>
            <w:tcW w:w="18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平均胸径（厘米）</w:t>
            </w:r>
          </w:p>
        </w:tc>
        <w:tc>
          <w:tcPr>
            <w:tcW w:w="19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平均树高（米）</w:t>
            </w:r>
          </w:p>
        </w:tc>
        <w:tc>
          <w:tcPr>
            <w:tcW w:w="1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二元立木材积（立方米）</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种植密度（株/亩）</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材积（立方米/亩）</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木材单价（元/立方米）</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木材销售总收入（元/亩）</w:t>
            </w:r>
          </w:p>
        </w:tc>
        <w:tc>
          <w:tcPr>
            <w:tcW w:w="15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第一年造林成本（元/亩）</w:t>
            </w:r>
          </w:p>
        </w:tc>
        <w:tc>
          <w:tcPr>
            <w:tcW w:w="1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第二年至中龄林成本（元/亩）</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采伐成本（元/亩）</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集材成本（元/亩）</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运输成本（元/亩）</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木材经营利润</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林业经营生产税</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其他不可预见费</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管护费用</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林地地租</w:t>
            </w:r>
          </w:p>
        </w:tc>
        <w:tc>
          <w:tcPr>
            <w:tcW w:w="209"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25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209"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79"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79"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53"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49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桉树</w:t>
            </w:r>
          </w:p>
        </w:tc>
        <w:tc>
          <w:tcPr>
            <w:tcW w:w="19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≥9年</w:t>
            </w:r>
          </w:p>
        </w:tc>
        <w:tc>
          <w:tcPr>
            <w:tcW w:w="18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26~35</w:t>
            </w:r>
          </w:p>
        </w:tc>
        <w:tc>
          <w:tcPr>
            <w:tcW w:w="19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16~20</w:t>
            </w:r>
          </w:p>
        </w:tc>
        <w:tc>
          <w:tcPr>
            <w:tcW w:w="1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0.7562</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155</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117.211</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700</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82047.7</w:t>
            </w:r>
          </w:p>
        </w:tc>
        <w:tc>
          <w:tcPr>
            <w:tcW w:w="15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1583</w:t>
            </w:r>
          </w:p>
        </w:tc>
        <w:tc>
          <w:tcPr>
            <w:tcW w:w="1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2873.5</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500</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16409.54</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8204.77</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2461.431</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10800</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18000</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82047.7</w:t>
            </w:r>
          </w:p>
        </w:tc>
        <w:tc>
          <w:tcPr>
            <w:tcW w:w="25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26722.701</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 xml:space="preserve">16409.5 </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18000</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 xml:space="preserve">20915 </w:t>
            </w:r>
          </w:p>
        </w:tc>
        <w:tc>
          <w:tcPr>
            <w:tcW w:w="1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 xml:space="preserve">135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49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云南松林</w:t>
            </w:r>
          </w:p>
        </w:tc>
        <w:tc>
          <w:tcPr>
            <w:tcW w:w="19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≥11年</w:t>
            </w:r>
          </w:p>
        </w:tc>
        <w:tc>
          <w:tcPr>
            <w:tcW w:w="18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26~35</w:t>
            </w:r>
          </w:p>
        </w:tc>
        <w:tc>
          <w:tcPr>
            <w:tcW w:w="19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16~20</w:t>
            </w:r>
          </w:p>
        </w:tc>
        <w:tc>
          <w:tcPr>
            <w:tcW w:w="1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0.7512</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150.24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600</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90144</w:t>
            </w:r>
          </w:p>
        </w:tc>
        <w:tc>
          <w:tcPr>
            <w:tcW w:w="15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2499</w:t>
            </w:r>
          </w:p>
        </w:tc>
        <w:tc>
          <w:tcPr>
            <w:tcW w:w="1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2208</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500</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18028.8</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9014.4</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2704.32</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10800</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18000</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90144</w:t>
            </w:r>
          </w:p>
        </w:tc>
        <w:tc>
          <w:tcPr>
            <w:tcW w:w="25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28025.72</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 xml:space="preserve">18028.8 </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18000</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 xml:space="preserve">26089 </w:t>
            </w:r>
          </w:p>
        </w:tc>
        <w:tc>
          <w:tcPr>
            <w:tcW w:w="1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 xml:space="preserve">130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491"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华山松林</w:t>
            </w:r>
          </w:p>
        </w:tc>
        <w:tc>
          <w:tcPr>
            <w:tcW w:w="19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≥11年</w:t>
            </w:r>
          </w:p>
        </w:tc>
        <w:tc>
          <w:tcPr>
            <w:tcW w:w="18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26~35</w:t>
            </w:r>
          </w:p>
        </w:tc>
        <w:tc>
          <w:tcPr>
            <w:tcW w:w="19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16~20</w:t>
            </w:r>
          </w:p>
        </w:tc>
        <w:tc>
          <w:tcPr>
            <w:tcW w:w="1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0.7516</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135.288</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600</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81172.8</w:t>
            </w:r>
          </w:p>
        </w:tc>
        <w:tc>
          <w:tcPr>
            <w:tcW w:w="15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2299</w:t>
            </w:r>
          </w:p>
        </w:tc>
        <w:tc>
          <w:tcPr>
            <w:tcW w:w="1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2660</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500</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16234.56</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8117.28</w:t>
            </w:r>
          </w:p>
        </w:tc>
        <w:tc>
          <w:tcPr>
            <w:tcW w:w="23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2435.184</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10800</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18000</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81172.8</w:t>
            </w:r>
          </w:p>
        </w:tc>
        <w:tc>
          <w:tcPr>
            <w:tcW w:w="25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27111.464</w:t>
            </w:r>
          </w:p>
        </w:tc>
        <w:tc>
          <w:tcPr>
            <w:tcW w:w="20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 xml:space="preserve">16234.6 </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18000</w:t>
            </w:r>
          </w:p>
        </w:tc>
        <w:tc>
          <w:tcPr>
            <w:tcW w:w="179"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 xml:space="preserve">19827 </w:t>
            </w:r>
          </w:p>
        </w:tc>
        <w:tc>
          <w:tcPr>
            <w:tcW w:w="1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 xml:space="preserve">110 </w:t>
            </w:r>
          </w:p>
        </w:tc>
      </w:tr>
    </w:tbl>
    <w:p>
      <w:pPr>
        <w:pStyle w:val="61"/>
        <w:numPr>
          <w:ilvl w:val="0"/>
          <w:numId w:val="0"/>
        </w:numPr>
        <w:spacing w:line="360" w:lineRule="auto"/>
        <w:ind w:leftChars="0"/>
        <w:rPr>
          <w:rFonts w:hint="eastAsia" w:ascii="楷体" w:hAnsi="楷体" w:eastAsia="楷体" w:cs="楷体"/>
          <w:b w:val="0"/>
          <w:bCs w:val="0"/>
          <w:color w:val="auto"/>
          <w:sz w:val="24"/>
          <w:szCs w:val="24"/>
          <w:lang w:val="en-US" w:eastAsia="zh-CN"/>
        </w:rPr>
      </w:pPr>
      <w:r>
        <w:rPr>
          <w:rFonts w:hint="eastAsia" w:ascii="楷体" w:hAnsi="楷体" w:eastAsia="楷体" w:cs="楷体"/>
          <w:color w:val="auto"/>
          <w:sz w:val="28"/>
          <w:szCs w:val="28"/>
          <w:lang w:val="en-US" w:eastAsia="zh-CN"/>
        </w:rPr>
        <w:t>②果木</w:t>
      </w:r>
    </w:p>
    <w:p>
      <w:pPr>
        <w:pStyle w:val="61"/>
        <w:numPr>
          <w:ilvl w:val="0"/>
          <w:numId w:val="0"/>
        </w:numPr>
        <w:spacing w:line="360" w:lineRule="auto"/>
        <w:ind w:leftChars="0"/>
        <w:jc w:val="center"/>
        <w:rPr>
          <w:rFonts w:hint="eastAsia" w:ascii="楷体" w:hAnsi="楷体" w:eastAsia="楷体" w:cs="楷体"/>
          <w:color w:val="auto"/>
          <w:sz w:val="21"/>
          <w:szCs w:val="21"/>
          <w:lang w:val="en-US" w:eastAsia="zh-CN"/>
        </w:rPr>
      </w:pPr>
      <w:r>
        <w:rPr>
          <w:rFonts w:hint="eastAsia" w:ascii="楷体" w:hAnsi="楷体" w:eastAsia="楷体" w:cs="楷体"/>
          <w:b w:val="0"/>
          <w:bCs w:val="0"/>
          <w:i w:val="0"/>
          <w:iCs w:val="0"/>
          <w:color w:val="000000"/>
          <w:kern w:val="0"/>
          <w:sz w:val="24"/>
          <w:szCs w:val="24"/>
          <w:u w:val="none"/>
          <w:lang w:val="en-US" w:eastAsia="zh-CN" w:bidi="ar"/>
        </w:rPr>
        <w:t>9-25 果木产期期测算结果表</w:t>
      </w:r>
    </w:p>
    <w:tbl>
      <w:tblPr>
        <w:tblStyle w:val="45"/>
        <w:tblW w:w="5400" w:type="pct"/>
        <w:tblInd w:w="-1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1"/>
        <w:gridCol w:w="713"/>
        <w:gridCol w:w="515"/>
        <w:gridCol w:w="497"/>
        <w:gridCol w:w="878"/>
        <w:gridCol w:w="547"/>
        <w:gridCol w:w="445"/>
        <w:gridCol w:w="504"/>
        <w:gridCol w:w="344"/>
        <w:gridCol w:w="448"/>
        <w:gridCol w:w="436"/>
        <w:gridCol w:w="439"/>
        <w:gridCol w:w="436"/>
        <w:gridCol w:w="436"/>
        <w:gridCol w:w="436"/>
        <w:gridCol w:w="439"/>
        <w:gridCol w:w="768"/>
        <w:gridCol w:w="663"/>
        <w:gridCol w:w="436"/>
        <w:gridCol w:w="436"/>
        <w:gridCol w:w="657"/>
        <w:gridCol w:w="660"/>
        <w:gridCol w:w="498"/>
        <w:gridCol w:w="528"/>
        <w:gridCol w:w="473"/>
        <w:gridCol w:w="498"/>
        <w:gridCol w:w="502"/>
        <w:gridCol w:w="449"/>
        <w:gridCol w:w="4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717" w:type="pct"/>
            <w:gridSpan w:val="9"/>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果木主要技术指标表</w:t>
            </w:r>
          </w:p>
        </w:tc>
        <w:tc>
          <w:tcPr>
            <w:tcW w:w="2178" w:type="pct"/>
            <w:gridSpan w:val="1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产前期果木单位投资构成表</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7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5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6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工时费</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100元/工日</w:t>
            </w:r>
          </w:p>
        </w:tc>
        <w:tc>
          <w:tcPr>
            <w:tcW w:w="16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复合肥2元/㎏</w:t>
            </w:r>
          </w:p>
        </w:tc>
        <w:tc>
          <w:tcPr>
            <w:tcW w:w="16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农药</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60元/亩</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规划设计费</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12元/亩</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管理费用</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12元/亩</w:t>
            </w:r>
          </w:p>
        </w:tc>
        <w:tc>
          <w:tcPr>
            <w:tcW w:w="1465" w:type="pct"/>
            <w:gridSpan w:val="9"/>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第一年造林和抚育成本</w:t>
            </w:r>
          </w:p>
        </w:tc>
        <w:tc>
          <w:tcPr>
            <w:tcW w:w="712" w:type="pct"/>
            <w:gridSpan w:val="4"/>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第二年至初产期林分年龄成本</w:t>
            </w:r>
          </w:p>
        </w:tc>
        <w:tc>
          <w:tcPr>
            <w:tcW w:w="1104" w:type="pct"/>
            <w:gridSpan w:val="7"/>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果木产期期测算结果表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70"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果木名称</w:t>
            </w:r>
          </w:p>
        </w:tc>
        <w:tc>
          <w:tcPr>
            <w:tcW w:w="23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苗木费（元/株）</w:t>
            </w:r>
          </w:p>
        </w:tc>
        <w:tc>
          <w:tcPr>
            <w:tcW w:w="329"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种植密度（株/亩）</w:t>
            </w:r>
          </w:p>
        </w:tc>
        <w:tc>
          <w:tcPr>
            <w:tcW w:w="285"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平均种植密度</w:t>
            </w:r>
          </w:p>
        </w:tc>
        <w:tc>
          <w:tcPr>
            <w:tcW w:w="599" w:type="pct"/>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龄组（生长发育阶段）（年）</w:t>
            </w:r>
          </w:p>
        </w:tc>
        <w:tc>
          <w:tcPr>
            <w:tcW w:w="430"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材料费</w:t>
            </w:r>
          </w:p>
        </w:tc>
        <w:tc>
          <w:tcPr>
            <w:tcW w:w="568" w:type="pct"/>
            <w:gridSpan w:val="4"/>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劳务费</w:t>
            </w:r>
          </w:p>
        </w:tc>
        <w:tc>
          <w:tcPr>
            <w:tcW w:w="465" w:type="pct"/>
            <w:gridSpan w:val="2"/>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科技支撑费</w:t>
            </w:r>
          </w:p>
        </w:tc>
        <w:tc>
          <w:tcPr>
            <w:tcW w:w="712" w:type="pct"/>
            <w:gridSpan w:val="4"/>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年抚育成本</w:t>
            </w:r>
          </w:p>
        </w:tc>
        <w:tc>
          <w:tcPr>
            <w:tcW w:w="16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综合调整系数（K）</w:t>
            </w:r>
          </w:p>
        </w:tc>
        <w:tc>
          <w:tcPr>
            <w:tcW w:w="17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第1年生产成本（Ci）</w:t>
            </w:r>
          </w:p>
        </w:tc>
        <w:tc>
          <w:tcPr>
            <w:tcW w:w="153"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第2~n年生产成本（成本一样）</w:t>
            </w:r>
          </w:p>
        </w:tc>
        <w:tc>
          <w:tcPr>
            <w:tcW w:w="16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林分年龄（n）</w:t>
            </w:r>
          </w:p>
        </w:tc>
        <w:tc>
          <w:tcPr>
            <w:tcW w:w="163"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收益还原率（p）</w:t>
            </w:r>
          </w:p>
        </w:tc>
        <w:tc>
          <w:tcPr>
            <w:tcW w:w="14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补偿标准（元/亩）</w:t>
            </w:r>
          </w:p>
        </w:tc>
        <w:tc>
          <w:tcPr>
            <w:tcW w:w="145"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补偿标准（元/株）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70"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23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6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最低种植密度</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最高种植密度</w:t>
            </w:r>
          </w:p>
        </w:tc>
        <w:tc>
          <w:tcPr>
            <w:tcW w:w="285"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产前期</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初产期</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盛产期</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衰产期</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种苗</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肥料</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农药</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清理</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整地</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种植</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管护</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规划设计费</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管理费用</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肥料</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农药</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抚育成本</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管理费用</w:t>
            </w:r>
          </w:p>
        </w:tc>
        <w:tc>
          <w:tcPr>
            <w:tcW w:w="16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7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53"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6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63"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4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c>
          <w:tcPr>
            <w:tcW w:w="145"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苹果</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70</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56</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5-8 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9-30 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3500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4024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7577</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梨</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53</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3-5 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6-30 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3180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3704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6613</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桃子</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65</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35</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51</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52</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6-8 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9-30 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3380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3904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6876</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柿子</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55</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56</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51</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5-8 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9-20 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2805</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3329</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5632</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李子</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6-10 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11-30 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3024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5246</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坚果</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32</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58</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52</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5-8年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9-20年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2600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3124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6345</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核桃</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65</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36</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6-10年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11-30年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3250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3774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6705</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板栗</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32</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58</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6-8年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9-30年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3524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6893</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花椒</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45</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6-8年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9-30年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2250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2774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4930</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松子</w:t>
            </w:r>
          </w:p>
        </w:tc>
        <w:tc>
          <w:tcPr>
            <w:tcW w:w="2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6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58</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6-8年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9-30年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3024</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5718</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7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柑橘</w:t>
            </w:r>
          </w:p>
        </w:tc>
        <w:tc>
          <w:tcPr>
            <w:tcW w:w="2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65</w:t>
            </w:r>
          </w:p>
        </w:tc>
        <w:tc>
          <w:tcPr>
            <w:tcW w:w="16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35</w:t>
            </w:r>
          </w:p>
        </w:tc>
        <w:tc>
          <w:tcPr>
            <w:tcW w:w="16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55</w:t>
            </w:r>
          </w:p>
        </w:tc>
        <w:tc>
          <w:tcPr>
            <w:tcW w:w="2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51</w:t>
            </w:r>
          </w:p>
        </w:tc>
        <w:tc>
          <w:tcPr>
            <w:tcW w:w="1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≤4年</w:t>
            </w:r>
          </w:p>
        </w:tc>
        <w:tc>
          <w:tcPr>
            <w:tcW w:w="14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5-9年</w:t>
            </w:r>
          </w:p>
        </w:tc>
        <w:tc>
          <w:tcPr>
            <w:tcW w:w="164"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10-30年</w:t>
            </w:r>
          </w:p>
        </w:tc>
        <w:tc>
          <w:tcPr>
            <w:tcW w:w="11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≥31年</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3315</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50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200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100</w:t>
            </w:r>
          </w:p>
        </w:tc>
        <w:tc>
          <w:tcPr>
            <w:tcW w:w="1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5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21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60</w:t>
            </w:r>
          </w:p>
        </w:tc>
        <w:tc>
          <w:tcPr>
            <w:tcW w:w="14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30</w:t>
            </w:r>
          </w:p>
        </w:tc>
        <w:tc>
          <w:tcPr>
            <w:tcW w:w="21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150</w:t>
            </w:r>
          </w:p>
        </w:tc>
        <w:tc>
          <w:tcPr>
            <w:tcW w:w="21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12</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w:t>
            </w:r>
          </w:p>
        </w:tc>
        <w:tc>
          <w:tcPr>
            <w:tcW w:w="17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3839</w:t>
            </w:r>
          </w:p>
        </w:tc>
        <w:tc>
          <w:tcPr>
            <w:tcW w:w="15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252.0</w:t>
            </w:r>
          </w:p>
        </w:tc>
        <w:tc>
          <w:tcPr>
            <w:tcW w:w="16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7</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8.79%</w:t>
            </w:r>
          </w:p>
        </w:tc>
        <w:tc>
          <w:tcPr>
            <w:tcW w:w="14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6790</w:t>
            </w:r>
          </w:p>
        </w:tc>
        <w:tc>
          <w:tcPr>
            <w:tcW w:w="14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bottom"/>
              <w:rPr>
                <w:rFonts w:hint="eastAsia" w:ascii="楷体" w:hAnsi="楷体" w:eastAsia="楷体" w:cs="楷体"/>
                <w:b w:val="0"/>
                <w:bCs w:val="0"/>
                <w:i w:val="0"/>
                <w:iCs w:val="0"/>
                <w:color w:val="000000"/>
                <w:sz w:val="21"/>
                <w:szCs w:val="21"/>
                <w:u w:val="none"/>
              </w:rPr>
            </w:pPr>
            <w:r>
              <w:rPr>
                <w:rFonts w:hint="eastAsia" w:ascii="楷体" w:hAnsi="楷体" w:eastAsia="楷体" w:cs="楷体"/>
                <w:b w:val="0"/>
                <w:bCs w:val="0"/>
                <w:i w:val="0"/>
                <w:iCs w:val="0"/>
                <w:color w:val="000000"/>
                <w:kern w:val="0"/>
                <w:sz w:val="21"/>
                <w:szCs w:val="21"/>
                <w:u w:val="none"/>
                <w:lang w:val="en-US" w:eastAsia="zh-CN" w:bidi="ar"/>
              </w:rPr>
              <w:t>133</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9-26</w:t>
      </w:r>
      <w:r>
        <w:rPr>
          <w:rFonts w:hint="eastAsia" w:ascii="楷体" w:hAnsi="楷体" w:eastAsia="楷体" w:cs="楷体"/>
          <w:i w:val="0"/>
          <w:iCs w:val="0"/>
          <w:color w:val="000000"/>
          <w:kern w:val="0"/>
          <w:sz w:val="24"/>
          <w:szCs w:val="24"/>
          <w:u w:val="none"/>
          <w:lang w:val="en-US" w:eastAsia="zh-CN" w:bidi="ar"/>
        </w:rPr>
        <w:t>果木初产期测算结果表</w:t>
      </w:r>
    </w:p>
    <w:tbl>
      <w:tblPr>
        <w:tblStyle w:val="45"/>
        <w:tblW w:w="54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23"/>
        <w:gridCol w:w="967"/>
        <w:gridCol w:w="1317"/>
        <w:gridCol w:w="1800"/>
        <w:gridCol w:w="1245"/>
        <w:gridCol w:w="492"/>
        <w:gridCol w:w="492"/>
        <w:gridCol w:w="773"/>
        <w:gridCol w:w="773"/>
        <w:gridCol w:w="495"/>
        <w:gridCol w:w="538"/>
        <w:gridCol w:w="509"/>
        <w:gridCol w:w="538"/>
        <w:gridCol w:w="355"/>
        <w:gridCol w:w="555"/>
        <w:gridCol w:w="581"/>
        <w:gridCol w:w="651"/>
        <w:gridCol w:w="788"/>
        <w:gridCol w:w="581"/>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975" w:type="pct"/>
            <w:gridSpan w:val="15"/>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果木初产期相关经济技术指标</w:t>
            </w:r>
          </w:p>
        </w:tc>
        <w:tc>
          <w:tcPr>
            <w:tcW w:w="1024" w:type="pct"/>
            <w:gridSpan w:val="5"/>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果木初产期测算结果表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jc w:val="center"/>
        </w:trPr>
        <w:tc>
          <w:tcPr>
            <w:tcW w:w="489"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果木名称</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果木生长发育阶段</w:t>
            </w:r>
          </w:p>
        </w:tc>
        <w:tc>
          <w:tcPr>
            <w:tcW w:w="1401"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果木销售总收入</w:t>
            </w:r>
          </w:p>
        </w:tc>
        <w:tc>
          <w:tcPr>
            <w:tcW w:w="971" w:type="pct"/>
            <w:gridSpan w:val="5"/>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年培育成本</w:t>
            </w:r>
          </w:p>
        </w:tc>
        <w:tc>
          <w:tcPr>
            <w:tcW w:w="17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采摘成本</w:t>
            </w:r>
          </w:p>
        </w:tc>
        <w:tc>
          <w:tcPr>
            <w:tcW w:w="163"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经营利润</w:t>
            </w:r>
          </w:p>
        </w:tc>
        <w:tc>
          <w:tcPr>
            <w:tcW w:w="17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税费</w:t>
            </w:r>
          </w:p>
        </w:tc>
        <w:tc>
          <w:tcPr>
            <w:tcW w:w="114"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租金</w:t>
            </w:r>
          </w:p>
        </w:tc>
        <w:tc>
          <w:tcPr>
            <w:tcW w:w="178"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其他不可预见费用</w:t>
            </w:r>
          </w:p>
        </w:tc>
        <w:tc>
          <w:tcPr>
            <w:tcW w:w="18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年均纯收益（A）</w:t>
            </w:r>
          </w:p>
        </w:tc>
        <w:tc>
          <w:tcPr>
            <w:tcW w:w="209"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收益还原率(P)</w:t>
            </w:r>
          </w:p>
        </w:tc>
        <w:tc>
          <w:tcPr>
            <w:tcW w:w="253"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经济寿命期(u)</w:t>
            </w:r>
          </w:p>
        </w:tc>
        <w:tc>
          <w:tcPr>
            <w:tcW w:w="18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补偿标准（元/亩）</w:t>
            </w:r>
          </w:p>
        </w:tc>
        <w:tc>
          <w:tcPr>
            <w:tcW w:w="189"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补偿标准（元/株）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489"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平均单产（千克/亩）</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平均收购价格（元/千克）</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总收入（元/亩）</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肥料</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农药</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抚育成本</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管理费用</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合计</w:t>
            </w:r>
          </w:p>
        </w:tc>
        <w:tc>
          <w:tcPr>
            <w:tcW w:w="17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63"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7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14"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78"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8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209"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253"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18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89"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苹果</w:t>
            </w:r>
          </w:p>
        </w:tc>
        <w:tc>
          <w:tcPr>
            <w:tcW w:w="3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5-8 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270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6750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135</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1350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202.5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67.5</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4805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15915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梨</w:t>
            </w:r>
          </w:p>
        </w:tc>
        <w:tc>
          <w:tcPr>
            <w:tcW w:w="3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6-8 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270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6480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135</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1296</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194.4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64.8</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4600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15235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桃子</w:t>
            </w:r>
          </w:p>
        </w:tc>
        <w:tc>
          <w:tcPr>
            <w:tcW w:w="3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6-9 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270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6750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135</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1350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202.5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67.5</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4805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15915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柿子</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5-10年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265</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6625</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132.5</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1325</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198.8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66.25</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4713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15608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李子</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5-6年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290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6670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145</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1334</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200.1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66.7</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4734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15680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坚果</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7-10年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28</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6440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115</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1288</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193.2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64.4</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4589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15201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核桃</w:t>
            </w:r>
          </w:p>
        </w:tc>
        <w:tc>
          <w:tcPr>
            <w:tcW w:w="3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 6-10 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270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26</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7020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135</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1404</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210.6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70.2</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5010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16594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板栗</w:t>
            </w:r>
          </w:p>
        </w:tc>
        <w:tc>
          <w:tcPr>
            <w:tcW w:w="3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7-10 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26</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6500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125</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1300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195.0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65</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4625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15319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花椒</w:t>
            </w:r>
          </w:p>
        </w:tc>
        <w:tc>
          <w:tcPr>
            <w:tcW w:w="3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5-10年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220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6600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110</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1320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198.0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66</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4716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15620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松子</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6-10年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280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23</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6440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140</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1288</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193.2 </w:t>
            </w:r>
          </w:p>
        </w:tc>
        <w:tc>
          <w:tcPr>
            <w:tcW w:w="114"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64.4</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4564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15118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柑橘</w:t>
            </w:r>
          </w:p>
        </w:tc>
        <w:tc>
          <w:tcPr>
            <w:tcW w:w="31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6-8 年</w:t>
            </w:r>
          </w:p>
        </w:tc>
        <w:tc>
          <w:tcPr>
            <w:tcW w:w="42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260</w:t>
            </w:r>
          </w:p>
        </w:tc>
        <w:tc>
          <w:tcPr>
            <w:tcW w:w="57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6500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5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5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130</w:t>
            </w:r>
          </w:p>
        </w:tc>
        <w:tc>
          <w:tcPr>
            <w:tcW w:w="163"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1300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195.0 </w:t>
            </w:r>
          </w:p>
        </w:tc>
        <w:tc>
          <w:tcPr>
            <w:tcW w:w="114"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78"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65</w:t>
            </w:r>
          </w:p>
        </w:tc>
        <w:tc>
          <w:tcPr>
            <w:tcW w:w="186" w:type="pc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4620 </w:t>
            </w:r>
          </w:p>
        </w:tc>
        <w:tc>
          <w:tcPr>
            <w:tcW w:w="20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53"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w:t>
            </w:r>
          </w:p>
        </w:tc>
        <w:tc>
          <w:tcPr>
            <w:tcW w:w="186"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15302 </w:t>
            </w:r>
          </w:p>
        </w:tc>
        <w:tc>
          <w:tcPr>
            <w:tcW w:w="189" w:type="pct"/>
            <w:tcBorders>
              <w:top w:val="single" w:color="000000" w:sz="8" w:space="0"/>
              <w:left w:val="single" w:color="000000" w:sz="8" w:space="0"/>
              <w:bottom w:val="single" w:color="000000" w:sz="8" w:space="0"/>
              <w:right w:val="single" w:color="000000" w:sz="8" w:space="0"/>
            </w:tcBorders>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300 </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4"/>
          <w:szCs w:val="24"/>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4"/>
          <w:szCs w:val="24"/>
          <w:u w:val="none"/>
          <w:lang w:val="en-US" w:eastAsia="zh-CN" w:bidi="ar"/>
        </w:rPr>
      </w:pPr>
    </w:p>
    <w:p>
      <w:pPr>
        <w:pStyle w:val="40"/>
        <w:adjustRightInd w:val="0"/>
        <w:spacing w:beforeAutospacing="0" w:afterAutospacing="0" w:line="360" w:lineRule="auto"/>
        <w:jc w:val="center"/>
        <w:rPr>
          <w:rFonts w:hint="eastAsia" w:ascii="楷体" w:hAnsi="楷体" w:eastAsia="楷体" w:cs="楷体"/>
          <w:color w:val="auto"/>
          <w:sz w:val="21"/>
          <w:szCs w:val="21"/>
          <w:highlight w:val="none"/>
          <w:lang w:val="en-US" w:eastAsia="zh-CN"/>
        </w:rPr>
      </w:pPr>
      <w:r>
        <w:rPr>
          <w:rFonts w:hint="eastAsia" w:ascii="楷体" w:hAnsi="楷体" w:eastAsia="楷体" w:cs="楷体"/>
          <w:i w:val="0"/>
          <w:iCs w:val="0"/>
          <w:color w:val="000000"/>
          <w:kern w:val="0"/>
          <w:sz w:val="24"/>
          <w:szCs w:val="24"/>
          <w:u w:val="none"/>
          <w:lang w:val="en-US" w:eastAsia="zh-CN" w:bidi="ar"/>
        </w:rPr>
        <w:t>9-27果木盛产期测算结果表</w:t>
      </w:r>
    </w:p>
    <w:tbl>
      <w:tblPr>
        <w:tblStyle w:val="45"/>
        <w:tblW w:w="5222" w:type="pct"/>
        <w:tblInd w:w="-6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3"/>
        <w:gridCol w:w="801"/>
        <w:gridCol w:w="1224"/>
        <w:gridCol w:w="1913"/>
        <w:gridCol w:w="1328"/>
        <w:gridCol w:w="511"/>
        <w:gridCol w:w="511"/>
        <w:gridCol w:w="805"/>
        <w:gridCol w:w="805"/>
        <w:gridCol w:w="517"/>
        <w:gridCol w:w="585"/>
        <w:gridCol w:w="511"/>
        <w:gridCol w:w="585"/>
        <w:gridCol w:w="362"/>
        <w:gridCol w:w="383"/>
        <w:gridCol w:w="585"/>
        <w:gridCol w:w="888"/>
        <w:gridCol w:w="725"/>
        <w:gridCol w:w="586"/>
        <w:gridCol w:w="5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892" w:type="pct"/>
            <w:gridSpan w:val="15"/>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果木初产期相关经济技术指标</w:t>
            </w:r>
          </w:p>
        </w:tc>
        <w:tc>
          <w:tcPr>
            <w:tcW w:w="1107" w:type="pct"/>
            <w:gridSpan w:val="5"/>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果木盛产期测算结果表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43"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果木名称</w:t>
            </w:r>
          </w:p>
        </w:tc>
        <w:tc>
          <w:tcPr>
            <w:tcW w:w="269"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果木生长发育阶段</w:t>
            </w:r>
          </w:p>
        </w:tc>
        <w:tc>
          <w:tcPr>
            <w:tcW w:w="1502" w:type="pct"/>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果木销售总收入</w:t>
            </w:r>
          </w:p>
        </w:tc>
        <w:tc>
          <w:tcPr>
            <w:tcW w:w="1059" w:type="pct"/>
            <w:gridSpan w:val="5"/>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年培育成本</w:t>
            </w:r>
          </w:p>
        </w:tc>
        <w:tc>
          <w:tcPr>
            <w:tcW w:w="19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采摘成本</w:t>
            </w:r>
          </w:p>
        </w:tc>
        <w:tc>
          <w:tcPr>
            <w:tcW w:w="172"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经营利润</w:t>
            </w:r>
          </w:p>
        </w:tc>
        <w:tc>
          <w:tcPr>
            <w:tcW w:w="19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税费</w:t>
            </w:r>
          </w:p>
        </w:tc>
        <w:tc>
          <w:tcPr>
            <w:tcW w:w="121"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租金</w:t>
            </w:r>
          </w:p>
        </w:tc>
        <w:tc>
          <w:tcPr>
            <w:tcW w:w="128"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其他不可预见费用</w:t>
            </w:r>
          </w:p>
        </w:tc>
        <w:tc>
          <w:tcPr>
            <w:tcW w:w="196"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年均纯收益（A）</w:t>
            </w:r>
          </w:p>
        </w:tc>
        <w:tc>
          <w:tcPr>
            <w:tcW w:w="298"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收益还原率(P)</w:t>
            </w:r>
          </w:p>
        </w:tc>
        <w:tc>
          <w:tcPr>
            <w:tcW w:w="244" w:type="pct"/>
            <w:vMerge w:val="restar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经济寿命期(u)</w:t>
            </w:r>
          </w:p>
        </w:tc>
        <w:tc>
          <w:tcPr>
            <w:tcW w:w="197"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补偿标准（元/亩）</w:t>
            </w:r>
          </w:p>
        </w:tc>
        <w:tc>
          <w:tcPr>
            <w:tcW w:w="170" w:type="pct"/>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补偿标准（元/株）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3"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69"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平均单产（千克/亩）</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平均收购价格（元/千克）</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总收入（元/亩）</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肥料</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农药</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抚育成本</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管理费用</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合计</w:t>
            </w:r>
          </w:p>
        </w:tc>
        <w:tc>
          <w:tcPr>
            <w:tcW w:w="19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17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19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121"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128"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196"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98"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244" w:type="pct"/>
            <w:vMerge w:val="continue"/>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197"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c>
          <w:tcPr>
            <w:tcW w:w="170"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苹果</w:t>
            </w:r>
          </w:p>
        </w:tc>
        <w:tc>
          <w:tcPr>
            <w:tcW w:w="26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9-30 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270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6750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135</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2025</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405.0</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68</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3928</w:t>
            </w:r>
          </w:p>
        </w:tc>
        <w:tc>
          <w:tcPr>
            <w:tcW w:w="29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26354</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梨</w:t>
            </w:r>
          </w:p>
        </w:tc>
        <w:tc>
          <w:tcPr>
            <w:tcW w:w="26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9-30 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280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6720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2016</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403.2</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3904</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26193</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桃子</w:t>
            </w:r>
          </w:p>
        </w:tc>
        <w:tc>
          <w:tcPr>
            <w:tcW w:w="26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10-15 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270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6750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135</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2025</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405.0</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68</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3928</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26354</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柿子</w:t>
            </w:r>
          </w:p>
        </w:tc>
        <w:tc>
          <w:tcPr>
            <w:tcW w:w="2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11-40年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285</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6840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142.5</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2052</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410.4</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68</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3977</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26684</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李子</w:t>
            </w:r>
          </w:p>
        </w:tc>
        <w:tc>
          <w:tcPr>
            <w:tcW w:w="2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7-15年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23</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6670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145</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2001</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400.2</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3867</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25949</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坚果</w:t>
            </w:r>
          </w:p>
        </w:tc>
        <w:tc>
          <w:tcPr>
            <w:tcW w:w="2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11-30年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28</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6720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2016</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403.2</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3924</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26328</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核桃</w:t>
            </w:r>
          </w:p>
        </w:tc>
        <w:tc>
          <w:tcPr>
            <w:tcW w:w="26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11-70 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270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7020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135</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2106</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421.2</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4098</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27495</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板栗</w:t>
            </w:r>
          </w:p>
        </w:tc>
        <w:tc>
          <w:tcPr>
            <w:tcW w:w="26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11-60 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130</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2028</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405.6</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68</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3939</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26430</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花椒</w:t>
            </w:r>
          </w:p>
        </w:tc>
        <w:tc>
          <w:tcPr>
            <w:tcW w:w="26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11-30 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230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29</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6670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115</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2001</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400.2</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3897</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26150</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松子</w:t>
            </w:r>
          </w:p>
        </w:tc>
        <w:tc>
          <w:tcPr>
            <w:tcW w:w="2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11-60年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270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6750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135</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2025</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405.0</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68</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3928</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26354</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43"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柑橘</w:t>
            </w:r>
          </w:p>
        </w:tc>
        <w:tc>
          <w:tcPr>
            <w:tcW w:w="26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9-30 年</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270</w:t>
            </w:r>
          </w:p>
        </w:tc>
        <w:tc>
          <w:tcPr>
            <w:tcW w:w="64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25</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6750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60</w:t>
            </w:r>
          </w:p>
        </w:tc>
        <w:tc>
          <w:tcPr>
            <w:tcW w:w="1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w:t>
            </w:r>
          </w:p>
        </w:tc>
        <w:tc>
          <w:tcPr>
            <w:tcW w:w="2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7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190</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135</w:t>
            </w:r>
          </w:p>
        </w:tc>
        <w:tc>
          <w:tcPr>
            <w:tcW w:w="17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2025</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405.0</w:t>
            </w:r>
          </w:p>
        </w:tc>
        <w:tc>
          <w:tcPr>
            <w:tcW w:w="12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0</w:t>
            </w:r>
          </w:p>
        </w:tc>
        <w:tc>
          <w:tcPr>
            <w:tcW w:w="1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68</w:t>
            </w:r>
          </w:p>
        </w:tc>
        <w:tc>
          <w:tcPr>
            <w:tcW w:w="19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3928</w:t>
            </w:r>
          </w:p>
        </w:tc>
        <w:tc>
          <w:tcPr>
            <w:tcW w:w="88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8.79%</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26354</w:t>
            </w:r>
          </w:p>
        </w:tc>
        <w:tc>
          <w:tcPr>
            <w:tcW w:w="17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517</w:t>
            </w:r>
          </w:p>
        </w:tc>
      </w:tr>
    </w:tbl>
    <w:p>
      <w:pPr>
        <w:pStyle w:val="40"/>
        <w:adjustRightInd w:val="0"/>
        <w:spacing w:beforeAutospacing="0" w:afterAutospacing="0" w:line="360" w:lineRule="auto"/>
        <w:jc w:val="both"/>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i w:val="0"/>
          <w:iCs w:val="0"/>
          <w:color w:val="000000"/>
          <w:kern w:val="0"/>
          <w:sz w:val="21"/>
          <w:szCs w:val="21"/>
          <w:u w:val="none"/>
          <w:lang w:val="en-US" w:eastAsia="zh-CN" w:bidi="ar"/>
        </w:rPr>
      </w:pPr>
    </w:p>
    <w:p>
      <w:pPr>
        <w:pStyle w:val="40"/>
        <w:adjustRightInd w:val="0"/>
        <w:spacing w:beforeAutospacing="0" w:afterAutospacing="0" w:line="360" w:lineRule="auto"/>
        <w:jc w:val="center"/>
        <w:rPr>
          <w:rFonts w:hint="eastAsia" w:ascii="楷体" w:hAnsi="楷体" w:eastAsia="楷体" w:cs="楷体"/>
          <w:color w:val="auto"/>
          <w:sz w:val="24"/>
          <w:szCs w:val="24"/>
          <w:highlight w:val="none"/>
          <w:lang w:val="en-US" w:eastAsia="zh-CN"/>
        </w:rPr>
      </w:pPr>
      <w:r>
        <w:rPr>
          <w:rFonts w:hint="eastAsia" w:ascii="楷体" w:hAnsi="楷体" w:eastAsia="楷体" w:cs="楷体"/>
          <w:i w:val="0"/>
          <w:iCs w:val="0"/>
          <w:color w:val="000000"/>
          <w:kern w:val="0"/>
          <w:sz w:val="24"/>
          <w:szCs w:val="24"/>
          <w:u w:val="none"/>
          <w:lang w:val="en-US" w:eastAsia="zh-CN" w:bidi="ar"/>
        </w:rPr>
        <w:t>9-28果木衰产期测算结果表</w:t>
      </w:r>
    </w:p>
    <w:tbl>
      <w:tblPr>
        <w:tblStyle w:val="45"/>
        <w:tblW w:w="53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23"/>
        <w:gridCol w:w="1186"/>
        <w:gridCol w:w="1396"/>
        <w:gridCol w:w="1897"/>
        <w:gridCol w:w="1308"/>
        <w:gridCol w:w="512"/>
        <w:gridCol w:w="512"/>
        <w:gridCol w:w="805"/>
        <w:gridCol w:w="805"/>
        <w:gridCol w:w="515"/>
        <w:gridCol w:w="370"/>
        <w:gridCol w:w="449"/>
        <w:gridCol w:w="481"/>
        <w:gridCol w:w="361"/>
        <w:gridCol w:w="390"/>
        <w:gridCol w:w="606"/>
        <w:gridCol w:w="896"/>
        <w:gridCol w:w="609"/>
        <w:gridCol w:w="526"/>
        <w:gridCol w:w="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3961" w:type="pct"/>
            <w:gridSpan w:val="15"/>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果木初产期相关经济技术指标</w:t>
            </w:r>
          </w:p>
        </w:tc>
        <w:tc>
          <w:tcPr>
            <w:tcW w:w="1038" w:type="pct"/>
            <w:gridSpan w:val="5"/>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果木衰产期测算结果表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jc w:val="center"/>
        </w:trPr>
        <w:tc>
          <w:tcPr>
            <w:tcW w:w="337"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果木名称</w:t>
            </w:r>
          </w:p>
        </w:tc>
        <w:tc>
          <w:tcPr>
            <w:tcW w:w="391"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果木生长发育阶段</w:t>
            </w:r>
          </w:p>
        </w:tc>
        <w:tc>
          <w:tcPr>
            <w:tcW w:w="1517" w:type="pct"/>
            <w:gridSpan w:val="3"/>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果木销售总收入</w:t>
            </w:r>
          </w:p>
        </w:tc>
        <w:tc>
          <w:tcPr>
            <w:tcW w:w="1038" w:type="pct"/>
            <w:gridSpan w:val="5"/>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年培育成本</w:t>
            </w:r>
          </w:p>
        </w:tc>
        <w:tc>
          <w:tcPr>
            <w:tcW w:w="122"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采摘成本</w:t>
            </w:r>
          </w:p>
        </w:tc>
        <w:tc>
          <w:tcPr>
            <w:tcW w:w="148"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经营利润</w:t>
            </w:r>
          </w:p>
        </w:tc>
        <w:tc>
          <w:tcPr>
            <w:tcW w:w="158"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税费</w:t>
            </w:r>
          </w:p>
        </w:tc>
        <w:tc>
          <w:tcPr>
            <w:tcW w:w="119"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租金</w:t>
            </w:r>
          </w:p>
        </w:tc>
        <w:tc>
          <w:tcPr>
            <w:tcW w:w="128"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其他不可预见费用</w:t>
            </w:r>
          </w:p>
        </w:tc>
        <w:tc>
          <w:tcPr>
            <w:tcW w:w="199"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年均纯收益（A）</w:t>
            </w:r>
          </w:p>
        </w:tc>
        <w:tc>
          <w:tcPr>
            <w:tcW w:w="295"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收益还原率(P)</w:t>
            </w:r>
          </w:p>
        </w:tc>
        <w:tc>
          <w:tcPr>
            <w:tcW w:w="200" w:type="pct"/>
            <w:vMerge w:val="restar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经济寿命期(u)</w:t>
            </w:r>
          </w:p>
        </w:tc>
        <w:tc>
          <w:tcPr>
            <w:tcW w:w="173"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补偿标准（元/亩）</w:t>
            </w:r>
          </w:p>
        </w:tc>
        <w:tc>
          <w:tcPr>
            <w:tcW w:w="168" w:type="pct"/>
            <w:vMerge w:val="restar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补偿标准（元/株）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337"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391"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平均单产（千克/亩）</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平均收购价格（元/千克）</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总收入（元/亩）</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肥料</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农药</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抚育成本</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管理费用</w:t>
            </w:r>
          </w:p>
        </w:tc>
        <w:tc>
          <w:tcPr>
            <w:tcW w:w="169"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合计</w:t>
            </w:r>
          </w:p>
        </w:tc>
        <w:tc>
          <w:tcPr>
            <w:tcW w:w="122"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48"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58"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19"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28"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99"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295"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200" w:type="pct"/>
            <w:vMerge w:val="continue"/>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173"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c>
          <w:tcPr>
            <w:tcW w:w="168" w:type="pct"/>
            <w:vMerge w:val="continue"/>
            <w:shd w:val="clear" w:color="auto" w:fill="FFFFFF"/>
            <w:vAlign w:val="center"/>
          </w:tcPr>
          <w:p>
            <w:pPr>
              <w:spacing w:line="360" w:lineRule="auto"/>
              <w:jc w:val="center"/>
              <w:rPr>
                <w:rFonts w:hint="eastAsia" w:ascii="楷体" w:hAnsi="楷体" w:eastAsia="楷体" w:cs="楷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苹果</w:t>
            </w:r>
          </w:p>
        </w:tc>
        <w:tc>
          <w:tcPr>
            <w:tcW w:w="391"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1800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180</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54.0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18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1308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8777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梨</w:t>
            </w:r>
          </w:p>
        </w:tc>
        <w:tc>
          <w:tcPr>
            <w:tcW w:w="391"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1280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40</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128</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38.4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871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5843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桃子</w:t>
            </w:r>
          </w:p>
        </w:tc>
        <w:tc>
          <w:tcPr>
            <w:tcW w:w="391"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1700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170</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51.0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17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1222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8200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柿子</w:t>
            </w:r>
          </w:p>
        </w:tc>
        <w:tc>
          <w:tcPr>
            <w:tcW w:w="39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≥41年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126</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37.8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849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5694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李子</w:t>
            </w:r>
          </w:p>
        </w:tc>
        <w:tc>
          <w:tcPr>
            <w:tcW w:w="39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1300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130</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39.0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878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5891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坚果</w:t>
            </w:r>
          </w:p>
        </w:tc>
        <w:tc>
          <w:tcPr>
            <w:tcW w:w="39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1080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108</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32.4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709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4756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核桃</w:t>
            </w:r>
          </w:p>
        </w:tc>
        <w:tc>
          <w:tcPr>
            <w:tcW w:w="391"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≥71年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1800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180</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54.0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18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1308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8777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板栗</w:t>
            </w:r>
          </w:p>
        </w:tc>
        <w:tc>
          <w:tcPr>
            <w:tcW w:w="391"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≥61年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1620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162</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48.6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16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1158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7772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花椒</w:t>
            </w:r>
          </w:p>
        </w:tc>
        <w:tc>
          <w:tcPr>
            <w:tcW w:w="391"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850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25</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85</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25.5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516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3462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松子</w:t>
            </w:r>
          </w:p>
        </w:tc>
        <w:tc>
          <w:tcPr>
            <w:tcW w:w="39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≥61年</w:t>
            </w:r>
          </w:p>
        </w:tc>
        <w:tc>
          <w:tcPr>
            <w:tcW w:w="460"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70</w:t>
            </w:r>
          </w:p>
        </w:tc>
        <w:tc>
          <w:tcPr>
            <w:tcW w:w="62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1050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35</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105</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31.5 </w:t>
            </w:r>
          </w:p>
        </w:tc>
        <w:tc>
          <w:tcPr>
            <w:tcW w:w="11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11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678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4549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7" w:type="pct"/>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柑橘</w:t>
            </w:r>
          </w:p>
        </w:tc>
        <w:tc>
          <w:tcPr>
            <w:tcW w:w="39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≥31年</w:t>
            </w:r>
          </w:p>
        </w:tc>
        <w:tc>
          <w:tcPr>
            <w:tcW w:w="46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w:t>
            </w:r>
          </w:p>
        </w:tc>
        <w:tc>
          <w:tcPr>
            <w:tcW w:w="62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17</w:t>
            </w:r>
          </w:p>
        </w:tc>
        <w:tc>
          <w:tcPr>
            <w:tcW w:w="431"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1530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w:t>
            </w:r>
          </w:p>
        </w:tc>
        <w:tc>
          <w:tcPr>
            <w:tcW w:w="168"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w:t>
            </w:r>
          </w:p>
        </w:tc>
        <w:tc>
          <w:tcPr>
            <w:tcW w:w="265" w:type="pct"/>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w:t>
            </w:r>
          </w:p>
        </w:tc>
        <w:tc>
          <w:tcPr>
            <w:tcW w:w="16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190</w:t>
            </w:r>
          </w:p>
        </w:tc>
        <w:tc>
          <w:tcPr>
            <w:tcW w:w="122"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w:t>
            </w:r>
          </w:p>
        </w:tc>
        <w:tc>
          <w:tcPr>
            <w:tcW w:w="14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153</w:t>
            </w:r>
          </w:p>
        </w:tc>
        <w:tc>
          <w:tcPr>
            <w:tcW w:w="15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45.9 </w:t>
            </w:r>
          </w:p>
        </w:tc>
        <w:tc>
          <w:tcPr>
            <w:tcW w:w="119"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0</w:t>
            </w:r>
          </w:p>
        </w:tc>
        <w:tc>
          <w:tcPr>
            <w:tcW w:w="128"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15 </w:t>
            </w:r>
          </w:p>
        </w:tc>
        <w:tc>
          <w:tcPr>
            <w:tcW w:w="199" w:type="pct"/>
            <w:shd w:val="clear" w:color="auto" w:fill="FFFFFF"/>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1081 </w:t>
            </w:r>
          </w:p>
        </w:tc>
        <w:tc>
          <w:tcPr>
            <w:tcW w:w="295"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8.79%</w:t>
            </w:r>
          </w:p>
        </w:tc>
        <w:tc>
          <w:tcPr>
            <w:tcW w:w="200"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w:t>
            </w:r>
          </w:p>
        </w:tc>
        <w:tc>
          <w:tcPr>
            <w:tcW w:w="173"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7252 </w:t>
            </w:r>
          </w:p>
        </w:tc>
        <w:tc>
          <w:tcPr>
            <w:tcW w:w="168" w:type="pct"/>
            <w:shd w:val="clear" w:color="auto" w:fill="FFFFFF"/>
            <w:noWrap/>
            <w:vAlign w:val="bottom"/>
          </w:tcPr>
          <w:p>
            <w:pPr>
              <w:keepNext w:val="0"/>
              <w:keepLines w:val="0"/>
              <w:widowControl/>
              <w:suppressLineNumbers w:val="0"/>
              <w:spacing w:line="360" w:lineRule="auto"/>
              <w:jc w:val="center"/>
              <w:textAlignment w:val="bottom"/>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 xml:space="preserve">142 </w:t>
            </w:r>
          </w:p>
        </w:tc>
      </w:tr>
    </w:tbl>
    <w:p>
      <w:pPr>
        <w:rPr>
          <w:rFonts w:hint="eastAsia"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lang w:val="en-US" w:eastAsia="zh-CN"/>
        </w:rPr>
        <w:br w:type="page"/>
      </w:r>
    </w:p>
    <w:p>
      <w:pPr>
        <w:pStyle w:val="61"/>
        <w:numPr>
          <w:ilvl w:val="0"/>
          <w:numId w:val="0"/>
        </w:numPr>
        <w:spacing w:line="360" w:lineRule="auto"/>
        <w:ind w:left="210" w:leftChars="0"/>
        <w:outlineLvl w:val="1"/>
        <w:rPr>
          <w:rFonts w:hint="eastAsia" w:ascii="楷体" w:hAnsi="楷体" w:eastAsia="楷体" w:cs="楷体"/>
          <w:color w:val="auto"/>
          <w:sz w:val="24"/>
          <w:szCs w:val="24"/>
          <w:lang w:val="en-US" w:eastAsia="zh-CN"/>
        </w:rPr>
      </w:pPr>
      <w:r>
        <w:rPr>
          <w:rFonts w:hint="eastAsia" w:ascii="楷体" w:hAnsi="楷体" w:eastAsia="楷体" w:cs="楷体"/>
          <w:color w:val="auto"/>
          <w:sz w:val="28"/>
          <w:szCs w:val="28"/>
          <w:lang w:val="en-US" w:eastAsia="zh-CN"/>
        </w:rPr>
        <w:t>4、坟墓测算过程表</w:t>
      </w:r>
    </w:p>
    <w:p>
      <w:pPr>
        <w:pStyle w:val="61"/>
        <w:numPr>
          <w:ilvl w:val="0"/>
          <w:numId w:val="0"/>
        </w:numPr>
        <w:spacing w:line="360" w:lineRule="auto"/>
        <w:ind w:leftChars="0"/>
        <w:jc w:val="center"/>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9-29坟墓测算过程表</w:t>
      </w:r>
    </w:p>
    <w:tbl>
      <w:tblPr>
        <w:tblStyle w:val="4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636"/>
        <w:gridCol w:w="636"/>
        <w:gridCol w:w="741"/>
        <w:gridCol w:w="1056"/>
        <w:gridCol w:w="636"/>
        <w:gridCol w:w="1491"/>
        <w:gridCol w:w="1056"/>
        <w:gridCol w:w="1250"/>
        <w:gridCol w:w="953"/>
        <w:gridCol w:w="734"/>
        <w:gridCol w:w="532"/>
        <w:gridCol w:w="676"/>
        <w:gridCol w:w="637"/>
        <w:gridCol w:w="637"/>
        <w:gridCol w:w="532"/>
        <w:gridCol w:w="647"/>
        <w:gridCol w:w="7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000" w:type="pct"/>
            <w:gridSpan w:val="18"/>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坟墓迁移补偿标准表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64" w:hRule="atLeast"/>
        </w:trPr>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序号</w:t>
            </w:r>
          </w:p>
        </w:tc>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类型</w:t>
            </w:r>
          </w:p>
        </w:tc>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说明</w:t>
            </w:r>
          </w:p>
        </w:tc>
        <w:tc>
          <w:tcPr>
            <w:tcW w:w="26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单位</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w:t>
            </w:r>
          </w:p>
        </w:tc>
        <w:tc>
          <w:tcPr>
            <w:tcW w:w="2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备注</w:t>
            </w:r>
          </w:p>
        </w:tc>
        <w:tc>
          <w:tcPr>
            <w:tcW w:w="5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前期建造成本</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迁坟成本</w:t>
            </w:r>
          </w:p>
        </w:tc>
        <w:tc>
          <w:tcPr>
            <w:tcW w:w="447"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墓穴建造人工费</w:t>
            </w:r>
          </w:p>
        </w:tc>
        <w:tc>
          <w:tcPr>
            <w:tcW w:w="34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沙石材料费、运输费</w:t>
            </w:r>
          </w:p>
        </w:tc>
        <w:tc>
          <w:tcPr>
            <w:tcW w:w="26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坟墓搬迁工时费</w:t>
            </w:r>
          </w:p>
        </w:tc>
        <w:tc>
          <w:tcPr>
            <w:tcW w:w="19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坟墓搬迁运输费</w:t>
            </w:r>
          </w:p>
        </w:tc>
        <w:tc>
          <w:tcPr>
            <w:tcW w:w="24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墓碑材料费、制作安装费</w:t>
            </w:r>
          </w:p>
        </w:tc>
        <w:tc>
          <w:tcPr>
            <w:tcW w:w="22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骨灰盒</w:t>
            </w:r>
          </w:p>
        </w:tc>
        <w:tc>
          <w:tcPr>
            <w:tcW w:w="229"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花瓶、狮子、香灰炉（三件套）</w:t>
            </w:r>
          </w:p>
        </w:tc>
        <w:tc>
          <w:tcPr>
            <w:tcW w:w="191"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坟墓用地面积费</w:t>
            </w:r>
          </w:p>
        </w:tc>
        <w:tc>
          <w:tcPr>
            <w:tcW w:w="24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公墓管理费（按20年算、每月300元）</w:t>
            </w:r>
          </w:p>
        </w:tc>
        <w:tc>
          <w:tcPr>
            <w:tcW w:w="25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补偿标准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w:t>
            </w:r>
          </w:p>
        </w:tc>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坟墓</w:t>
            </w:r>
          </w:p>
        </w:tc>
        <w:tc>
          <w:tcPr>
            <w:tcW w:w="22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单葬</w:t>
            </w:r>
          </w:p>
        </w:tc>
        <w:tc>
          <w:tcPr>
            <w:tcW w:w="26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元/冢</w:t>
            </w:r>
          </w:p>
        </w:tc>
        <w:tc>
          <w:tcPr>
            <w:tcW w:w="383"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4500</w:t>
            </w:r>
          </w:p>
        </w:tc>
        <w:tc>
          <w:tcPr>
            <w:tcW w:w="2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spacing w:line="360" w:lineRule="auto"/>
              <w:jc w:val="center"/>
              <w:rPr>
                <w:rFonts w:hint="eastAsia" w:ascii="楷体" w:hAnsi="楷体" w:eastAsia="楷体" w:cs="楷体"/>
                <w:i w:val="0"/>
                <w:iCs w:val="0"/>
                <w:color w:val="000000"/>
                <w:sz w:val="21"/>
                <w:szCs w:val="21"/>
                <w:u w:val="none"/>
              </w:rPr>
            </w:pPr>
          </w:p>
        </w:tc>
        <w:tc>
          <w:tcPr>
            <w:tcW w:w="540"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6000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8822</w:t>
            </w:r>
          </w:p>
        </w:tc>
        <w:tc>
          <w:tcPr>
            <w:tcW w:w="44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900</w:t>
            </w:r>
          </w:p>
        </w:tc>
        <w:tc>
          <w:tcPr>
            <w:tcW w:w="3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800</w:t>
            </w:r>
          </w:p>
        </w:tc>
        <w:tc>
          <w:tcPr>
            <w:tcW w:w="2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500</w:t>
            </w:r>
          </w:p>
        </w:tc>
        <w:tc>
          <w:tcPr>
            <w:tcW w:w="248"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1670</w:t>
            </w:r>
          </w:p>
        </w:tc>
        <w:tc>
          <w:tcPr>
            <w:tcW w:w="2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w:t>
            </w:r>
          </w:p>
        </w:tc>
        <w:tc>
          <w:tcPr>
            <w:tcW w:w="229"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900</w:t>
            </w:r>
          </w:p>
        </w:tc>
        <w:tc>
          <w:tcPr>
            <w:tcW w:w="19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612</w:t>
            </w:r>
          </w:p>
        </w:tc>
        <w:tc>
          <w:tcPr>
            <w:tcW w:w="24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1440</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spacing w:line="360" w:lineRule="auto"/>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5072</w:t>
            </w:r>
          </w:p>
        </w:tc>
      </w:tr>
    </w:tbl>
    <w:p>
      <w:pPr>
        <w:pStyle w:val="40"/>
        <w:adjustRightInd w:val="0"/>
        <w:spacing w:beforeAutospacing="0" w:afterAutospacing="0" w:line="360" w:lineRule="auto"/>
        <w:jc w:val="both"/>
        <w:rPr>
          <w:rFonts w:hint="eastAsia" w:ascii="楷体" w:hAnsi="楷体" w:eastAsia="楷体" w:cs="楷体"/>
          <w:color w:val="auto"/>
          <w:sz w:val="21"/>
          <w:szCs w:val="21"/>
          <w:highlight w:val="none"/>
          <w:lang w:val="en-US" w:eastAsia="zh-CN"/>
        </w:rPr>
      </w:pPr>
    </w:p>
    <w:sectPr>
      <w:pgSz w:w="16838" w:h="11905" w:orient="landscape"/>
      <w:pgMar w:top="1417" w:right="1247" w:bottom="1417"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
    <w:altName w:val="Times New Roman"/>
    <w:panose1 w:val="00000000000000000000"/>
    <w:charset w:val="00"/>
    <w:family w:val="roman"/>
    <w:pitch w:val="default"/>
    <w:sig w:usb0="00000000" w:usb1="00000000" w:usb2="00000000" w:usb3="00000000" w:csb0="00000001"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FZFSK--GBK1-0">
    <w:altName w:val="Times New Roman"/>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MS Sans Serif">
    <w:altName w:val="Microsoft Sans Serif"/>
    <w:panose1 w:val="00000000000000000000"/>
    <w:charset w:val="00"/>
    <w:family w:val="auto"/>
    <w:pitch w:val="default"/>
    <w:sig w:usb0="00000000" w:usb1="00000000" w:usb2="00000000" w:usb3="00000000" w:csb0="00040001" w:csb1="00000000"/>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rPr>
        <w:rFonts w:hint="eastAsia" w:ascii="Times New Roman" w:hAnsi="Times New Roman" w:eastAsia="宋体" w:cs="Times New Roman"/>
        <w:szCs w:val="21"/>
        <w:lang w:val="en-US" w:eastAsia="zh-CN"/>
      </w:rPr>
    </w:pPr>
    <w:r>
      <w:rPr>
        <w:sz w:val="21"/>
      </w:rPr>
      <w:pict>
        <v:shape id="_x0000_s2059" o:spid="_x0000_s205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sz w:val="21"/>
        <w:szCs w:val="21"/>
      </w:rPr>
    </w:pPr>
    <w:r>
      <w:rPr>
        <w:rFonts w:hint="eastAsia" w:ascii="仿宋_GB2312" w:eastAsia="仿宋_GB2312"/>
        <w:sz w:val="21"/>
        <w:szCs w:val="21"/>
      </w:rPr>
      <w:fldChar w:fldCharType="begin"/>
    </w:r>
    <w:r>
      <w:rPr>
        <w:rFonts w:hint="eastAsia" w:ascii="仿宋_GB2312" w:eastAsia="仿宋_GB2312"/>
        <w:sz w:val="21"/>
        <w:szCs w:val="21"/>
      </w:rPr>
      <w:instrText xml:space="preserve">PAGE   \* MERGEFORMAT</w:instrText>
    </w:r>
    <w:r>
      <w:rPr>
        <w:rFonts w:hint="eastAsia" w:ascii="仿宋_GB2312" w:eastAsia="仿宋_GB2312"/>
        <w:sz w:val="21"/>
        <w:szCs w:val="21"/>
      </w:rPr>
      <w:fldChar w:fldCharType="separate"/>
    </w:r>
    <w:r>
      <w:rPr>
        <w:rFonts w:hint="eastAsia" w:ascii="仿宋_GB2312" w:eastAsia="仿宋_GB2312"/>
        <w:sz w:val="21"/>
        <w:szCs w:val="21"/>
        <w:lang w:val="zh-CN"/>
      </w:rPr>
      <w:t>19</w:t>
    </w:r>
    <w:r>
      <w:rPr>
        <w:rFonts w:hint="eastAsia" w:ascii="仿宋_GB2312" w:eastAsia="仿宋_GB2312"/>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ascii="仿宋_GB2312" w:eastAsia="仿宋_GB2312"/>
        <w:szCs w:val="21"/>
      </w:rPr>
    </w:pPr>
    <w:r>
      <w:rPr>
        <w:sz w:val="21"/>
      </w:rPr>
      <w:pict>
        <v:shape id="_x0000_s2060" o:spid="_x0000_s206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4</w:t>
                </w:r>
                <w:r>
                  <w:fldChar w:fldCharType="end"/>
                </w:r>
              </w:p>
            </w:txbxContent>
          </v:textbox>
        </v:shape>
      </w:pict>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ascii="仿宋_GB2312" w:eastAsia="仿宋_GB2312"/>
        <w:szCs w:val="21"/>
      </w:rPr>
    </w:pPr>
    <w:r>
      <w:rPr>
        <w:sz w:val="21"/>
      </w:rPr>
      <w:pict>
        <v:shape id="_x0000_s2061" o:spid="_x0000_s206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31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8440C"/>
    <w:multiLevelType w:val="singleLevel"/>
    <w:tmpl w:val="9938440C"/>
    <w:lvl w:ilvl="0" w:tentative="0">
      <w:start w:val="2"/>
      <w:numFmt w:val="decimal"/>
      <w:suff w:val="nothing"/>
      <w:lvlText w:val="%1、"/>
      <w:lvlJc w:val="left"/>
    </w:lvl>
  </w:abstractNum>
  <w:abstractNum w:abstractNumId="1">
    <w:nsid w:val="0000000D"/>
    <w:multiLevelType w:val="multilevel"/>
    <w:tmpl w:val="0000000D"/>
    <w:lvl w:ilvl="0" w:tentative="0">
      <w:start w:val="1"/>
      <w:numFmt w:val="decimal"/>
      <w:pStyle w:val="190"/>
      <w:lvlText w:val="(%1)"/>
      <w:lvlJc w:val="left"/>
      <w:pPr>
        <w:tabs>
          <w:tab w:val="left" w:pos="0"/>
        </w:tabs>
        <w:ind w:left="0" w:firstLine="0"/>
      </w:pPr>
      <w:rPr>
        <w:rFonts w:hint="default" w:ascii="宋体" w:hAnsi="宋体" w:eastAsia="宋体"/>
      </w:rPr>
    </w:lvl>
    <w:lvl w:ilvl="1" w:tentative="0">
      <w:start w:val="1"/>
      <w:numFmt w:val="decimalEnclosedCircleChinese"/>
      <w:lvlText w:val="%2"/>
      <w:lvlJc w:val="left"/>
      <w:pPr>
        <w:tabs>
          <w:tab w:val="left" w:pos="840"/>
        </w:tabs>
        <w:ind w:left="840" w:hanging="420"/>
      </w:pPr>
      <w:rPr>
        <w:rFonts w:hint="eastAsia" w:ascii="宋体" w:hAnsi="宋体" w:eastAsia="宋体"/>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0000000E"/>
    <w:multiLevelType w:val="singleLevel"/>
    <w:tmpl w:val="0000000E"/>
    <w:lvl w:ilvl="0" w:tentative="0">
      <w:start w:val="1"/>
      <w:numFmt w:val="bullet"/>
      <w:pStyle w:val="195"/>
      <w:lvlText w:val=""/>
      <w:lvlJc w:val="left"/>
      <w:pPr>
        <w:tabs>
          <w:tab w:val="left" w:pos="420"/>
        </w:tabs>
        <w:ind w:left="420" w:hanging="420"/>
      </w:pPr>
      <w:rPr>
        <w:rFonts w:hint="default" w:ascii="Wingdings" w:hAnsi="Wingdings"/>
      </w:rPr>
    </w:lvl>
  </w:abstractNum>
  <w:abstractNum w:abstractNumId="3">
    <w:nsid w:val="12685185"/>
    <w:multiLevelType w:val="multilevel"/>
    <w:tmpl w:val="1268518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8115B7"/>
    <w:multiLevelType w:val="multilevel"/>
    <w:tmpl w:val="248115B7"/>
    <w:lvl w:ilvl="0" w:tentative="0">
      <w:start w:val="1"/>
      <w:numFmt w:val="decimal"/>
      <w:suff w:val="nothing"/>
      <w:lvlText w:val="（%1）"/>
      <w:lvlJc w:val="left"/>
      <w:pPr>
        <w:ind w:left="420" w:firstLine="0"/>
      </w:pPr>
      <w:rPr>
        <w:rFonts w:hint="eastAsia"/>
      </w:rPr>
    </w:lvl>
    <w:lvl w:ilvl="1" w:tentative="0">
      <w:start w:val="1"/>
      <w:numFmt w:val="lowerLetter"/>
      <w:lvlText w:val="%2)"/>
      <w:lvlJc w:val="left"/>
      <w:pPr>
        <w:ind w:left="1890" w:hanging="420"/>
      </w:pPr>
    </w:lvl>
    <w:lvl w:ilvl="2" w:tentative="0">
      <w:start w:val="1"/>
      <w:numFmt w:val="lowerRoman"/>
      <w:lvlText w:val="%3."/>
      <w:lvlJc w:val="right"/>
      <w:pPr>
        <w:ind w:left="2310" w:hanging="420"/>
      </w:pPr>
    </w:lvl>
    <w:lvl w:ilvl="3" w:tentative="0">
      <w:start w:val="1"/>
      <w:numFmt w:val="decimal"/>
      <w:lvlText w:val="%4."/>
      <w:lvlJc w:val="left"/>
      <w:pPr>
        <w:ind w:left="2730" w:hanging="420"/>
      </w:pPr>
    </w:lvl>
    <w:lvl w:ilvl="4" w:tentative="0">
      <w:start w:val="1"/>
      <w:numFmt w:val="lowerLetter"/>
      <w:lvlText w:val="%5)"/>
      <w:lvlJc w:val="left"/>
      <w:pPr>
        <w:ind w:left="3150" w:hanging="420"/>
      </w:pPr>
    </w:lvl>
    <w:lvl w:ilvl="5" w:tentative="0">
      <w:start w:val="1"/>
      <w:numFmt w:val="lowerRoman"/>
      <w:lvlText w:val="%6."/>
      <w:lvlJc w:val="right"/>
      <w:pPr>
        <w:ind w:left="3570" w:hanging="420"/>
      </w:pPr>
    </w:lvl>
    <w:lvl w:ilvl="6" w:tentative="0">
      <w:start w:val="1"/>
      <w:numFmt w:val="decimal"/>
      <w:lvlText w:val="%7."/>
      <w:lvlJc w:val="left"/>
      <w:pPr>
        <w:ind w:left="3990" w:hanging="420"/>
      </w:pPr>
    </w:lvl>
    <w:lvl w:ilvl="7" w:tentative="0">
      <w:start w:val="1"/>
      <w:numFmt w:val="lowerLetter"/>
      <w:lvlText w:val="%8)"/>
      <w:lvlJc w:val="left"/>
      <w:pPr>
        <w:ind w:left="4410" w:hanging="420"/>
      </w:pPr>
    </w:lvl>
    <w:lvl w:ilvl="8" w:tentative="0">
      <w:start w:val="1"/>
      <w:numFmt w:val="lowerRoman"/>
      <w:lvlText w:val="%9."/>
      <w:lvlJc w:val="right"/>
      <w:pPr>
        <w:ind w:left="4830" w:hanging="420"/>
      </w:pPr>
    </w:lvl>
  </w:abstractNum>
  <w:abstractNum w:abstractNumId="5">
    <w:nsid w:val="2F23388B"/>
    <w:multiLevelType w:val="singleLevel"/>
    <w:tmpl w:val="2F23388B"/>
    <w:lvl w:ilvl="0" w:tentative="0">
      <w:start w:val="2"/>
      <w:numFmt w:val="decimal"/>
      <w:suff w:val="nothing"/>
      <w:lvlText w:val="%1、"/>
      <w:lvlJc w:val="left"/>
      <w:pPr>
        <w:ind w:left="0"/>
      </w:pPr>
    </w:lvl>
  </w:abstractNum>
  <w:abstractNum w:abstractNumId="6">
    <w:nsid w:val="38D33AEF"/>
    <w:multiLevelType w:val="multilevel"/>
    <w:tmpl w:val="38D33AEF"/>
    <w:lvl w:ilvl="0" w:tentative="0">
      <w:start w:val="1"/>
      <w:numFmt w:val="bullet"/>
      <w:pStyle w:val="19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
    <w:nsid w:val="3A9537D0"/>
    <w:multiLevelType w:val="multilevel"/>
    <w:tmpl w:val="3A9537D0"/>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B7DD1C9"/>
    <w:multiLevelType w:val="singleLevel"/>
    <w:tmpl w:val="3B7DD1C9"/>
    <w:lvl w:ilvl="0" w:tentative="0">
      <w:start w:val="1"/>
      <w:numFmt w:val="bullet"/>
      <w:lvlText w:val=""/>
      <w:lvlJc w:val="left"/>
      <w:pPr>
        <w:ind w:left="420" w:hanging="420"/>
      </w:pPr>
      <w:rPr>
        <w:rFonts w:hint="default" w:ascii="Wingdings" w:hAnsi="Wingdings"/>
      </w:rPr>
    </w:lvl>
  </w:abstractNum>
  <w:abstractNum w:abstractNumId="9">
    <w:nsid w:val="5D3D3F67"/>
    <w:multiLevelType w:val="multilevel"/>
    <w:tmpl w:val="5D3D3F67"/>
    <w:lvl w:ilvl="0" w:tentative="0">
      <w:start w:val="1"/>
      <w:numFmt w:val="bullet"/>
      <w:pStyle w:val="35"/>
      <w:lvlText w:val=""/>
      <w:lvlJc w:val="left"/>
      <w:pPr>
        <w:tabs>
          <w:tab w:val="left" w:pos="420"/>
        </w:tabs>
        <w:ind w:left="420" w:hanging="420"/>
      </w:pPr>
      <w:rPr>
        <w:rFonts w:hint="default" w:ascii="Wingdings" w:hAnsi="Wingdings"/>
      </w:rPr>
    </w:lvl>
    <w:lvl w:ilvl="1" w:tentative="0">
      <w:start w:val="1"/>
      <w:numFmt w:val="bullet"/>
      <w:pStyle w:val="19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779D2161"/>
    <w:multiLevelType w:val="multilevel"/>
    <w:tmpl w:val="779D2161"/>
    <w:lvl w:ilvl="0" w:tentative="0">
      <w:start w:val="1"/>
      <w:numFmt w:val="decimal"/>
      <w:pStyle w:val="14"/>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709" w:hanging="709"/>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7FE54769"/>
    <w:multiLevelType w:val="multilevel"/>
    <w:tmpl w:val="7FE54769"/>
    <w:lvl w:ilvl="0" w:tentative="0">
      <w:start w:val="1"/>
      <w:numFmt w:val="decimal"/>
      <w:pStyle w:val="194"/>
      <w:lvlText w:val="第%1章"/>
      <w:lvlJc w:val="left"/>
      <w:pPr>
        <w:tabs>
          <w:tab w:val="left" w:pos="4843"/>
        </w:tabs>
        <w:ind w:left="3835" w:hanging="432"/>
      </w:pPr>
      <w:rPr>
        <w:rFonts w:hint="eastAsia"/>
        <w:color w:val="auto"/>
        <w:sz w:val="36"/>
        <w:szCs w:val="36"/>
      </w:rPr>
    </w:lvl>
    <w:lvl w:ilvl="1" w:tentative="0">
      <w:start w:val="1"/>
      <w:numFmt w:val="decimal"/>
      <w:lvlText w:val="%1.%2"/>
      <w:lvlJc w:val="left"/>
      <w:pPr>
        <w:tabs>
          <w:tab w:val="left" w:pos="576"/>
        </w:tabs>
        <w:ind w:left="576" w:hanging="576"/>
      </w:pPr>
      <w:rPr>
        <w:rFonts w:hint="eastAsia" w:ascii="宋体" w:hAnsi="宋体" w:eastAsia="宋体"/>
      </w:rPr>
    </w:lvl>
    <w:lvl w:ilvl="2" w:tentative="0">
      <w:start w:val="1"/>
      <w:numFmt w:val="decimal"/>
      <w:lvlText w:val="%1.%2.%3"/>
      <w:lvlJc w:val="left"/>
      <w:pPr>
        <w:tabs>
          <w:tab w:val="left" w:pos="1080"/>
        </w:tabs>
        <w:ind w:left="720" w:hanging="720"/>
      </w:pPr>
      <w:rPr>
        <w:rFonts w:hint="eastAsia"/>
        <w:b/>
      </w:rPr>
    </w:lvl>
    <w:lvl w:ilvl="3" w:tentative="0">
      <w:start w:val="1"/>
      <w:numFmt w:val="decimal"/>
      <w:lvlText w:val="%1.%2.%3.%4"/>
      <w:lvlJc w:val="left"/>
      <w:pPr>
        <w:tabs>
          <w:tab w:val="left" w:pos="1440"/>
        </w:tabs>
        <w:ind w:left="864" w:hanging="864"/>
      </w:pPr>
      <w:rPr>
        <w:rFonts w:hint="eastAsia" w:ascii="宋体" w:hAnsi="宋体" w:eastAsia="宋体"/>
        <w:b/>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0"/>
  </w:num>
  <w:num w:numId="2">
    <w:abstractNumId w:val="9"/>
  </w:num>
  <w:num w:numId="3">
    <w:abstractNumId w:val="1"/>
  </w:num>
  <w:num w:numId="4">
    <w:abstractNumId w:val="11"/>
  </w:num>
  <w:num w:numId="5">
    <w:abstractNumId w:val="2"/>
  </w:num>
  <w:num w:numId="6">
    <w:abstractNumId w:val="6"/>
  </w:num>
  <w:num w:numId="7">
    <w:abstractNumId w:val="4"/>
  </w:num>
  <w:num w:numId="8">
    <w:abstractNumId w:val="0"/>
  </w:num>
  <w:num w:numId="9">
    <w:abstractNumId w:val="8"/>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6B41"/>
    <w:rsid w:val="00010AFE"/>
    <w:rsid w:val="00011ED9"/>
    <w:rsid w:val="0002179E"/>
    <w:rsid w:val="0003466E"/>
    <w:rsid w:val="0004045F"/>
    <w:rsid w:val="000453B1"/>
    <w:rsid w:val="00054F6B"/>
    <w:rsid w:val="00066730"/>
    <w:rsid w:val="00071723"/>
    <w:rsid w:val="00071D21"/>
    <w:rsid w:val="0007254A"/>
    <w:rsid w:val="00074B66"/>
    <w:rsid w:val="00077400"/>
    <w:rsid w:val="000806AC"/>
    <w:rsid w:val="000807DA"/>
    <w:rsid w:val="00095183"/>
    <w:rsid w:val="000B2610"/>
    <w:rsid w:val="000C45F4"/>
    <w:rsid w:val="000D0C8E"/>
    <w:rsid w:val="000D7D2D"/>
    <w:rsid w:val="000F457B"/>
    <w:rsid w:val="0010382F"/>
    <w:rsid w:val="00111303"/>
    <w:rsid w:val="00122287"/>
    <w:rsid w:val="001276D1"/>
    <w:rsid w:val="00132E43"/>
    <w:rsid w:val="00137BE5"/>
    <w:rsid w:val="0014127D"/>
    <w:rsid w:val="00145245"/>
    <w:rsid w:val="0015028E"/>
    <w:rsid w:val="00160999"/>
    <w:rsid w:val="00172A27"/>
    <w:rsid w:val="00175F36"/>
    <w:rsid w:val="0018060C"/>
    <w:rsid w:val="001A2293"/>
    <w:rsid w:val="001A3404"/>
    <w:rsid w:val="001A72B6"/>
    <w:rsid w:val="001B78D0"/>
    <w:rsid w:val="001C6F09"/>
    <w:rsid w:val="001D095D"/>
    <w:rsid w:val="001D5A27"/>
    <w:rsid w:val="001E28DE"/>
    <w:rsid w:val="001E3E43"/>
    <w:rsid w:val="001F39DB"/>
    <w:rsid w:val="001F4A57"/>
    <w:rsid w:val="001F6D86"/>
    <w:rsid w:val="001F6EA3"/>
    <w:rsid w:val="001F7AEB"/>
    <w:rsid w:val="002112CE"/>
    <w:rsid w:val="00211F8D"/>
    <w:rsid w:val="00215ABF"/>
    <w:rsid w:val="00220089"/>
    <w:rsid w:val="00226FD6"/>
    <w:rsid w:val="0023364A"/>
    <w:rsid w:val="00241283"/>
    <w:rsid w:val="002478A3"/>
    <w:rsid w:val="0025137A"/>
    <w:rsid w:val="002534DB"/>
    <w:rsid w:val="0026042E"/>
    <w:rsid w:val="00270C3F"/>
    <w:rsid w:val="002730A8"/>
    <w:rsid w:val="00276660"/>
    <w:rsid w:val="00284348"/>
    <w:rsid w:val="00297139"/>
    <w:rsid w:val="002A2DB7"/>
    <w:rsid w:val="002A4B82"/>
    <w:rsid w:val="002C2864"/>
    <w:rsid w:val="002D3511"/>
    <w:rsid w:val="002E169D"/>
    <w:rsid w:val="002F7F97"/>
    <w:rsid w:val="003016B5"/>
    <w:rsid w:val="00304857"/>
    <w:rsid w:val="0030506C"/>
    <w:rsid w:val="00306046"/>
    <w:rsid w:val="00306232"/>
    <w:rsid w:val="00314BFB"/>
    <w:rsid w:val="003228D1"/>
    <w:rsid w:val="00324C1F"/>
    <w:rsid w:val="003319C3"/>
    <w:rsid w:val="00335A8E"/>
    <w:rsid w:val="00337B0F"/>
    <w:rsid w:val="0034755F"/>
    <w:rsid w:val="0035310B"/>
    <w:rsid w:val="003559EF"/>
    <w:rsid w:val="00357325"/>
    <w:rsid w:val="00360E8E"/>
    <w:rsid w:val="003633CE"/>
    <w:rsid w:val="00365DD8"/>
    <w:rsid w:val="00375150"/>
    <w:rsid w:val="003800E2"/>
    <w:rsid w:val="0039405A"/>
    <w:rsid w:val="003A02E1"/>
    <w:rsid w:val="003A1125"/>
    <w:rsid w:val="003A171C"/>
    <w:rsid w:val="003A581C"/>
    <w:rsid w:val="003B0649"/>
    <w:rsid w:val="003B068B"/>
    <w:rsid w:val="003B0974"/>
    <w:rsid w:val="003B0C08"/>
    <w:rsid w:val="003B12E9"/>
    <w:rsid w:val="003B2433"/>
    <w:rsid w:val="003B38A8"/>
    <w:rsid w:val="003B7509"/>
    <w:rsid w:val="003C1DB6"/>
    <w:rsid w:val="003C3AC5"/>
    <w:rsid w:val="003C53F7"/>
    <w:rsid w:val="003C6A93"/>
    <w:rsid w:val="003D2338"/>
    <w:rsid w:val="003E3820"/>
    <w:rsid w:val="00404136"/>
    <w:rsid w:val="00404D78"/>
    <w:rsid w:val="004108AA"/>
    <w:rsid w:val="00411A59"/>
    <w:rsid w:val="00411AC7"/>
    <w:rsid w:val="0041722F"/>
    <w:rsid w:val="00417846"/>
    <w:rsid w:val="0043458B"/>
    <w:rsid w:val="00447768"/>
    <w:rsid w:val="004604CB"/>
    <w:rsid w:val="0046103F"/>
    <w:rsid w:val="00465E99"/>
    <w:rsid w:val="00471312"/>
    <w:rsid w:val="0047298A"/>
    <w:rsid w:val="0047650A"/>
    <w:rsid w:val="00476D44"/>
    <w:rsid w:val="0048159F"/>
    <w:rsid w:val="00494915"/>
    <w:rsid w:val="004A2840"/>
    <w:rsid w:val="004A7EB7"/>
    <w:rsid w:val="004B1508"/>
    <w:rsid w:val="004B3A33"/>
    <w:rsid w:val="004B5799"/>
    <w:rsid w:val="004C58BE"/>
    <w:rsid w:val="004D0866"/>
    <w:rsid w:val="004D172E"/>
    <w:rsid w:val="004E05E3"/>
    <w:rsid w:val="004E381C"/>
    <w:rsid w:val="004E7012"/>
    <w:rsid w:val="004F0EC3"/>
    <w:rsid w:val="004F6E2B"/>
    <w:rsid w:val="00503303"/>
    <w:rsid w:val="005119B4"/>
    <w:rsid w:val="00527674"/>
    <w:rsid w:val="005420F8"/>
    <w:rsid w:val="00545346"/>
    <w:rsid w:val="00546D56"/>
    <w:rsid w:val="00551667"/>
    <w:rsid w:val="00556ED4"/>
    <w:rsid w:val="0056242D"/>
    <w:rsid w:val="00571943"/>
    <w:rsid w:val="005820F6"/>
    <w:rsid w:val="005836B2"/>
    <w:rsid w:val="00587145"/>
    <w:rsid w:val="00590BD7"/>
    <w:rsid w:val="00590C08"/>
    <w:rsid w:val="00590E5A"/>
    <w:rsid w:val="0059234D"/>
    <w:rsid w:val="00593B39"/>
    <w:rsid w:val="005971BA"/>
    <w:rsid w:val="005A2A69"/>
    <w:rsid w:val="005A558D"/>
    <w:rsid w:val="005B1731"/>
    <w:rsid w:val="005B7876"/>
    <w:rsid w:val="005C0491"/>
    <w:rsid w:val="005D0025"/>
    <w:rsid w:val="005D7509"/>
    <w:rsid w:val="005E44C9"/>
    <w:rsid w:val="005F6319"/>
    <w:rsid w:val="005F7F5B"/>
    <w:rsid w:val="00605A0A"/>
    <w:rsid w:val="006100CC"/>
    <w:rsid w:val="006254E2"/>
    <w:rsid w:val="006264DF"/>
    <w:rsid w:val="00647230"/>
    <w:rsid w:val="0065048D"/>
    <w:rsid w:val="006504F6"/>
    <w:rsid w:val="006520AE"/>
    <w:rsid w:val="006572CB"/>
    <w:rsid w:val="00661429"/>
    <w:rsid w:val="00664E60"/>
    <w:rsid w:val="0066500F"/>
    <w:rsid w:val="00667E5F"/>
    <w:rsid w:val="00677554"/>
    <w:rsid w:val="006821F2"/>
    <w:rsid w:val="00683A5D"/>
    <w:rsid w:val="00685885"/>
    <w:rsid w:val="00692468"/>
    <w:rsid w:val="006A214C"/>
    <w:rsid w:val="006A3DD1"/>
    <w:rsid w:val="006C4674"/>
    <w:rsid w:val="006D518C"/>
    <w:rsid w:val="006E4ED1"/>
    <w:rsid w:val="006E65B2"/>
    <w:rsid w:val="006E786B"/>
    <w:rsid w:val="007029FA"/>
    <w:rsid w:val="00704369"/>
    <w:rsid w:val="00707E72"/>
    <w:rsid w:val="00721AAB"/>
    <w:rsid w:val="007232F5"/>
    <w:rsid w:val="00732C20"/>
    <w:rsid w:val="00733E29"/>
    <w:rsid w:val="0073564E"/>
    <w:rsid w:val="007453AD"/>
    <w:rsid w:val="0074571E"/>
    <w:rsid w:val="00746421"/>
    <w:rsid w:val="0074738C"/>
    <w:rsid w:val="00747876"/>
    <w:rsid w:val="00750BF2"/>
    <w:rsid w:val="007546CC"/>
    <w:rsid w:val="007562F6"/>
    <w:rsid w:val="007569C0"/>
    <w:rsid w:val="00763D2C"/>
    <w:rsid w:val="00772AAD"/>
    <w:rsid w:val="0077358B"/>
    <w:rsid w:val="007744FE"/>
    <w:rsid w:val="00783248"/>
    <w:rsid w:val="0079005B"/>
    <w:rsid w:val="0079348C"/>
    <w:rsid w:val="007A4286"/>
    <w:rsid w:val="007A59D2"/>
    <w:rsid w:val="007B3BF4"/>
    <w:rsid w:val="007C0F29"/>
    <w:rsid w:val="007C26A6"/>
    <w:rsid w:val="007C2E61"/>
    <w:rsid w:val="007D3A8E"/>
    <w:rsid w:val="007E2477"/>
    <w:rsid w:val="007E2A6B"/>
    <w:rsid w:val="007E4E55"/>
    <w:rsid w:val="007E55C6"/>
    <w:rsid w:val="007F1CB6"/>
    <w:rsid w:val="007F7EC2"/>
    <w:rsid w:val="008034EB"/>
    <w:rsid w:val="00807D93"/>
    <w:rsid w:val="00811365"/>
    <w:rsid w:val="00813C96"/>
    <w:rsid w:val="0081666E"/>
    <w:rsid w:val="0082107A"/>
    <w:rsid w:val="008235A1"/>
    <w:rsid w:val="00823975"/>
    <w:rsid w:val="00834494"/>
    <w:rsid w:val="008346AD"/>
    <w:rsid w:val="00850088"/>
    <w:rsid w:val="008538D7"/>
    <w:rsid w:val="0085490A"/>
    <w:rsid w:val="00855432"/>
    <w:rsid w:val="00855EF2"/>
    <w:rsid w:val="00862E10"/>
    <w:rsid w:val="008657AD"/>
    <w:rsid w:val="00866C75"/>
    <w:rsid w:val="008671CD"/>
    <w:rsid w:val="00871AEC"/>
    <w:rsid w:val="00872CB4"/>
    <w:rsid w:val="00876286"/>
    <w:rsid w:val="00880652"/>
    <w:rsid w:val="00880F3E"/>
    <w:rsid w:val="008872A3"/>
    <w:rsid w:val="00890DB5"/>
    <w:rsid w:val="008940D8"/>
    <w:rsid w:val="008A0ED2"/>
    <w:rsid w:val="008A2C32"/>
    <w:rsid w:val="008A7E22"/>
    <w:rsid w:val="008B33A3"/>
    <w:rsid w:val="008B449F"/>
    <w:rsid w:val="008B5346"/>
    <w:rsid w:val="008C29E9"/>
    <w:rsid w:val="008C332A"/>
    <w:rsid w:val="008D24A8"/>
    <w:rsid w:val="008D664F"/>
    <w:rsid w:val="008E268C"/>
    <w:rsid w:val="008E79B0"/>
    <w:rsid w:val="008F5EC3"/>
    <w:rsid w:val="008F6AFF"/>
    <w:rsid w:val="008F75FF"/>
    <w:rsid w:val="00912CC7"/>
    <w:rsid w:val="009227A2"/>
    <w:rsid w:val="00923D29"/>
    <w:rsid w:val="00924732"/>
    <w:rsid w:val="00926A68"/>
    <w:rsid w:val="00926CC9"/>
    <w:rsid w:val="00935D73"/>
    <w:rsid w:val="00951280"/>
    <w:rsid w:val="00974AD2"/>
    <w:rsid w:val="009948C9"/>
    <w:rsid w:val="00997359"/>
    <w:rsid w:val="00997CC4"/>
    <w:rsid w:val="009A0A7C"/>
    <w:rsid w:val="009A2431"/>
    <w:rsid w:val="009B043D"/>
    <w:rsid w:val="009B5AA7"/>
    <w:rsid w:val="009B6D93"/>
    <w:rsid w:val="009C71B7"/>
    <w:rsid w:val="009D785C"/>
    <w:rsid w:val="009D7AC9"/>
    <w:rsid w:val="009F5595"/>
    <w:rsid w:val="009F7589"/>
    <w:rsid w:val="00A0173E"/>
    <w:rsid w:val="00A02C94"/>
    <w:rsid w:val="00A05928"/>
    <w:rsid w:val="00A077F1"/>
    <w:rsid w:val="00A130ED"/>
    <w:rsid w:val="00A13CF5"/>
    <w:rsid w:val="00A155AA"/>
    <w:rsid w:val="00A22FB7"/>
    <w:rsid w:val="00A34D92"/>
    <w:rsid w:val="00A50330"/>
    <w:rsid w:val="00A5312E"/>
    <w:rsid w:val="00A57BF0"/>
    <w:rsid w:val="00A60B2E"/>
    <w:rsid w:val="00A65093"/>
    <w:rsid w:val="00A7174E"/>
    <w:rsid w:val="00A72607"/>
    <w:rsid w:val="00A7444E"/>
    <w:rsid w:val="00A751A6"/>
    <w:rsid w:val="00A80A99"/>
    <w:rsid w:val="00A83136"/>
    <w:rsid w:val="00A877C2"/>
    <w:rsid w:val="00A97F14"/>
    <w:rsid w:val="00AA5CE1"/>
    <w:rsid w:val="00AB7509"/>
    <w:rsid w:val="00AC05AC"/>
    <w:rsid w:val="00AE6ABD"/>
    <w:rsid w:val="00AF373F"/>
    <w:rsid w:val="00B04CCA"/>
    <w:rsid w:val="00B14168"/>
    <w:rsid w:val="00B16C23"/>
    <w:rsid w:val="00B20C14"/>
    <w:rsid w:val="00B21359"/>
    <w:rsid w:val="00B25D87"/>
    <w:rsid w:val="00B26269"/>
    <w:rsid w:val="00B32D9C"/>
    <w:rsid w:val="00B46B21"/>
    <w:rsid w:val="00B55FC1"/>
    <w:rsid w:val="00B56584"/>
    <w:rsid w:val="00B60DF9"/>
    <w:rsid w:val="00B61474"/>
    <w:rsid w:val="00B6763A"/>
    <w:rsid w:val="00B70342"/>
    <w:rsid w:val="00B80918"/>
    <w:rsid w:val="00B8328A"/>
    <w:rsid w:val="00B833CA"/>
    <w:rsid w:val="00B964E7"/>
    <w:rsid w:val="00BA1E82"/>
    <w:rsid w:val="00BA4591"/>
    <w:rsid w:val="00BC1B5C"/>
    <w:rsid w:val="00BC3EF4"/>
    <w:rsid w:val="00BD040C"/>
    <w:rsid w:val="00BD6CBB"/>
    <w:rsid w:val="00BD77B4"/>
    <w:rsid w:val="00BE3EB0"/>
    <w:rsid w:val="00BF63EB"/>
    <w:rsid w:val="00C00A2D"/>
    <w:rsid w:val="00C06552"/>
    <w:rsid w:val="00C06A6F"/>
    <w:rsid w:val="00C13683"/>
    <w:rsid w:val="00C23838"/>
    <w:rsid w:val="00C33681"/>
    <w:rsid w:val="00C401CB"/>
    <w:rsid w:val="00C456DC"/>
    <w:rsid w:val="00C465E7"/>
    <w:rsid w:val="00C47F26"/>
    <w:rsid w:val="00C64C2C"/>
    <w:rsid w:val="00C66814"/>
    <w:rsid w:val="00C74D73"/>
    <w:rsid w:val="00C7515E"/>
    <w:rsid w:val="00C856B3"/>
    <w:rsid w:val="00C9650F"/>
    <w:rsid w:val="00C97C7E"/>
    <w:rsid w:val="00CA24B5"/>
    <w:rsid w:val="00CA4E90"/>
    <w:rsid w:val="00CB7706"/>
    <w:rsid w:val="00CC2DAC"/>
    <w:rsid w:val="00CC32B2"/>
    <w:rsid w:val="00CD1009"/>
    <w:rsid w:val="00CD3D48"/>
    <w:rsid w:val="00CD6C30"/>
    <w:rsid w:val="00CE73D7"/>
    <w:rsid w:val="00D003FB"/>
    <w:rsid w:val="00D00F5B"/>
    <w:rsid w:val="00D02C41"/>
    <w:rsid w:val="00D115BA"/>
    <w:rsid w:val="00D26473"/>
    <w:rsid w:val="00D31781"/>
    <w:rsid w:val="00D36C24"/>
    <w:rsid w:val="00D40414"/>
    <w:rsid w:val="00D43F02"/>
    <w:rsid w:val="00D45423"/>
    <w:rsid w:val="00D52703"/>
    <w:rsid w:val="00D560F9"/>
    <w:rsid w:val="00D67168"/>
    <w:rsid w:val="00D71B84"/>
    <w:rsid w:val="00D7459B"/>
    <w:rsid w:val="00D74CBE"/>
    <w:rsid w:val="00D87E7C"/>
    <w:rsid w:val="00DA0C44"/>
    <w:rsid w:val="00DA2538"/>
    <w:rsid w:val="00DA2571"/>
    <w:rsid w:val="00DC3A70"/>
    <w:rsid w:val="00DC56B2"/>
    <w:rsid w:val="00DD11CD"/>
    <w:rsid w:val="00DD4E47"/>
    <w:rsid w:val="00DD5533"/>
    <w:rsid w:val="00DE4788"/>
    <w:rsid w:val="00DF0EDD"/>
    <w:rsid w:val="00E031A5"/>
    <w:rsid w:val="00E06E3B"/>
    <w:rsid w:val="00E1755C"/>
    <w:rsid w:val="00E4000C"/>
    <w:rsid w:val="00E5422D"/>
    <w:rsid w:val="00E548C7"/>
    <w:rsid w:val="00E61C68"/>
    <w:rsid w:val="00E65416"/>
    <w:rsid w:val="00E669DA"/>
    <w:rsid w:val="00E70680"/>
    <w:rsid w:val="00E75B0C"/>
    <w:rsid w:val="00E81EB5"/>
    <w:rsid w:val="00E85ED2"/>
    <w:rsid w:val="00E908F5"/>
    <w:rsid w:val="00E97407"/>
    <w:rsid w:val="00EA2C01"/>
    <w:rsid w:val="00EA34BF"/>
    <w:rsid w:val="00EA41F5"/>
    <w:rsid w:val="00EC0A40"/>
    <w:rsid w:val="00EC3995"/>
    <w:rsid w:val="00ED58ED"/>
    <w:rsid w:val="00EF2FDF"/>
    <w:rsid w:val="00EF6BA6"/>
    <w:rsid w:val="00EF7F57"/>
    <w:rsid w:val="00F015F2"/>
    <w:rsid w:val="00F067ED"/>
    <w:rsid w:val="00F1515A"/>
    <w:rsid w:val="00F170C2"/>
    <w:rsid w:val="00F335CF"/>
    <w:rsid w:val="00F44023"/>
    <w:rsid w:val="00F539DC"/>
    <w:rsid w:val="00F53C0B"/>
    <w:rsid w:val="00F56B46"/>
    <w:rsid w:val="00F5760A"/>
    <w:rsid w:val="00F646AA"/>
    <w:rsid w:val="00F66435"/>
    <w:rsid w:val="00F742B5"/>
    <w:rsid w:val="00F777BE"/>
    <w:rsid w:val="00F815F6"/>
    <w:rsid w:val="00F81A8A"/>
    <w:rsid w:val="00F9014D"/>
    <w:rsid w:val="00F90221"/>
    <w:rsid w:val="00F91968"/>
    <w:rsid w:val="00FA474A"/>
    <w:rsid w:val="00FA4BDF"/>
    <w:rsid w:val="00FA537E"/>
    <w:rsid w:val="00FB2818"/>
    <w:rsid w:val="00FB36A1"/>
    <w:rsid w:val="00FB53C6"/>
    <w:rsid w:val="00FB6D85"/>
    <w:rsid w:val="00FC6E86"/>
    <w:rsid w:val="00FD3881"/>
    <w:rsid w:val="00FE7E08"/>
    <w:rsid w:val="01126351"/>
    <w:rsid w:val="01264C1F"/>
    <w:rsid w:val="012D7A21"/>
    <w:rsid w:val="01ED0FAB"/>
    <w:rsid w:val="0201073C"/>
    <w:rsid w:val="02215D0D"/>
    <w:rsid w:val="023F2C4B"/>
    <w:rsid w:val="02512567"/>
    <w:rsid w:val="02A05DD6"/>
    <w:rsid w:val="02D4729F"/>
    <w:rsid w:val="02D60CA6"/>
    <w:rsid w:val="02DD08CD"/>
    <w:rsid w:val="02E31D99"/>
    <w:rsid w:val="02EB58D6"/>
    <w:rsid w:val="03075290"/>
    <w:rsid w:val="032C3812"/>
    <w:rsid w:val="0365463E"/>
    <w:rsid w:val="03AB6044"/>
    <w:rsid w:val="03FD2FA6"/>
    <w:rsid w:val="040A2454"/>
    <w:rsid w:val="04120709"/>
    <w:rsid w:val="04355D3A"/>
    <w:rsid w:val="04D5297F"/>
    <w:rsid w:val="051251CD"/>
    <w:rsid w:val="05143C32"/>
    <w:rsid w:val="051A24BA"/>
    <w:rsid w:val="054E0187"/>
    <w:rsid w:val="056E57D3"/>
    <w:rsid w:val="05737E05"/>
    <w:rsid w:val="057C3B0B"/>
    <w:rsid w:val="05A21C9F"/>
    <w:rsid w:val="05EF0696"/>
    <w:rsid w:val="05F9342F"/>
    <w:rsid w:val="05FA13A2"/>
    <w:rsid w:val="063C5B31"/>
    <w:rsid w:val="073F6C1F"/>
    <w:rsid w:val="076A1119"/>
    <w:rsid w:val="076D1F2A"/>
    <w:rsid w:val="07923168"/>
    <w:rsid w:val="079552E7"/>
    <w:rsid w:val="07B770D9"/>
    <w:rsid w:val="07C17354"/>
    <w:rsid w:val="07C21CDE"/>
    <w:rsid w:val="07D66C16"/>
    <w:rsid w:val="07F346E6"/>
    <w:rsid w:val="08100869"/>
    <w:rsid w:val="083155EA"/>
    <w:rsid w:val="087A354F"/>
    <w:rsid w:val="088C7046"/>
    <w:rsid w:val="08BB1A65"/>
    <w:rsid w:val="08FB5B87"/>
    <w:rsid w:val="09026FC0"/>
    <w:rsid w:val="0923037F"/>
    <w:rsid w:val="096730DE"/>
    <w:rsid w:val="098F28CE"/>
    <w:rsid w:val="09E071BA"/>
    <w:rsid w:val="09F5594B"/>
    <w:rsid w:val="09FD708A"/>
    <w:rsid w:val="0AAD59CA"/>
    <w:rsid w:val="0ADF12A7"/>
    <w:rsid w:val="0AE1636A"/>
    <w:rsid w:val="0AF31773"/>
    <w:rsid w:val="0B0020FF"/>
    <w:rsid w:val="0B120040"/>
    <w:rsid w:val="0B403982"/>
    <w:rsid w:val="0BB1755F"/>
    <w:rsid w:val="0BBA3D65"/>
    <w:rsid w:val="0C235B30"/>
    <w:rsid w:val="0C393CE0"/>
    <w:rsid w:val="0C7C4CDD"/>
    <w:rsid w:val="0C892C86"/>
    <w:rsid w:val="0C9A2512"/>
    <w:rsid w:val="0CD11DBD"/>
    <w:rsid w:val="0D05569B"/>
    <w:rsid w:val="0D684302"/>
    <w:rsid w:val="0DCF432C"/>
    <w:rsid w:val="0E0B0358"/>
    <w:rsid w:val="0E2F47D0"/>
    <w:rsid w:val="0E337F1E"/>
    <w:rsid w:val="0E3F3CEB"/>
    <w:rsid w:val="0EB51F1F"/>
    <w:rsid w:val="0ED21DDC"/>
    <w:rsid w:val="0F2B2CEC"/>
    <w:rsid w:val="0F4D3671"/>
    <w:rsid w:val="0FB25938"/>
    <w:rsid w:val="0FB44531"/>
    <w:rsid w:val="0FBF26F2"/>
    <w:rsid w:val="0FC7427A"/>
    <w:rsid w:val="0FDC5451"/>
    <w:rsid w:val="0FF858C0"/>
    <w:rsid w:val="10283C08"/>
    <w:rsid w:val="10831641"/>
    <w:rsid w:val="10A11A01"/>
    <w:rsid w:val="10D23797"/>
    <w:rsid w:val="10F33C30"/>
    <w:rsid w:val="11074990"/>
    <w:rsid w:val="116D42F7"/>
    <w:rsid w:val="116E7C44"/>
    <w:rsid w:val="11891143"/>
    <w:rsid w:val="11DA3E8E"/>
    <w:rsid w:val="12206B57"/>
    <w:rsid w:val="123C6534"/>
    <w:rsid w:val="12757040"/>
    <w:rsid w:val="12887BEB"/>
    <w:rsid w:val="1326577E"/>
    <w:rsid w:val="133D579F"/>
    <w:rsid w:val="137D3BEA"/>
    <w:rsid w:val="139D654A"/>
    <w:rsid w:val="13B23CD9"/>
    <w:rsid w:val="13B50DED"/>
    <w:rsid w:val="13B832BE"/>
    <w:rsid w:val="13E862D3"/>
    <w:rsid w:val="13F32FDC"/>
    <w:rsid w:val="13F805D7"/>
    <w:rsid w:val="14277605"/>
    <w:rsid w:val="145000ED"/>
    <w:rsid w:val="14D64E4E"/>
    <w:rsid w:val="14FD4328"/>
    <w:rsid w:val="15A03F0C"/>
    <w:rsid w:val="15A6700D"/>
    <w:rsid w:val="15BE1EEE"/>
    <w:rsid w:val="165847CB"/>
    <w:rsid w:val="16675C77"/>
    <w:rsid w:val="16AA1DA7"/>
    <w:rsid w:val="16B80C69"/>
    <w:rsid w:val="16FA0255"/>
    <w:rsid w:val="17734D56"/>
    <w:rsid w:val="183B2076"/>
    <w:rsid w:val="184079D2"/>
    <w:rsid w:val="186463C2"/>
    <w:rsid w:val="190F02F6"/>
    <w:rsid w:val="195729BE"/>
    <w:rsid w:val="19650BA5"/>
    <w:rsid w:val="19AD2F3A"/>
    <w:rsid w:val="19B2463C"/>
    <w:rsid w:val="1A044457"/>
    <w:rsid w:val="1A474CAF"/>
    <w:rsid w:val="1AEA6EB9"/>
    <w:rsid w:val="1B04018B"/>
    <w:rsid w:val="1B11130D"/>
    <w:rsid w:val="1BF020B2"/>
    <w:rsid w:val="1C29398F"/>
    <w:rsid w:val="1C505569"/>
    <w:rsid w:val="1C505B4D"/>
    <w:rsid w:val="1C783BDF"/>
    <w:rsid w:val="1CB23398"/>
    <w:rsid w:val="1CB577E4"/>
    <w:rsid w:val="1CDA3D99"/>
    <w:rsid w:val="1CF13833"/>
    <w:rsid w:val="1CF528AA"/>
    <w:rsid w:val="1D37106D"/>
    <w:rsid w:val="1D5848C4"/>
    <w:rsid w:val="1D5D2FFB"/>
    <w:rsid w:val="1D726558"/>
    <w:rsid w:val="1DD63013"/>
    <w:rsid w:val="1E00327E"/>
    <w:rsid w:val="1E020F3F"/>
    <w:rsid w:val="1E4F350F"/>
    <w:rsid w:val="1EAF1161"/>
    <w:rsid w:val="1EE5577B"/>
    <w:rsid w:val="1F6B0782"/>
    <w:rsid w:val="1FD72BA1"/>
    <w:rsid w:val="1FE42554"/>
    <w:rsid w:val="20284337"/>
    <w:rsid w:val="204F3129"/>
    <w:rsid w:val="205435CF"/>
    <w:rsid w:val="206B51ED"/>
    <w:rsid w:val="210F0EA1"/>
    <w:rsid w:val="2119102A"/>
    <w:rsid w:val="213739B6"/>
    <w:rsid w:val="21547E69"/>
    <w:rsid w:val="21781E9C"/>
    <w:rsid w:val="220E6140"/>
    <w:rsid w:val="2232271C"/>
    <w:rsid w:val="22602513"/>
    <w:rsid w:val="22604E7A"/>
    <w:rsid w:val="22902731"/>
    <w:rsid w:val="22B84554"/>
    <w:rsid w:val="230E338B"/>
    <w:rsid w:val="23244C49"/>
    <w:rsid w:val="233E1C32"/>
    <w:rsid w:val="2366040E"/>
    <w:rsid w:val="236900C6"/>
    <w:rsid w:val="237A4367"/>
    <w:rsid w:val="23C57D38"/>
    <w:rsid w:val="23FA3FF8"/>
    <w:rsid w:val="23FC6CB8"/>
    <w:rsid w:val="242F0315"/>
    <w:rsid w:val="246C44A3"/>
    <w:rsid w:val="24A60605"/>
    <w:rsid w:val="24B503BA"/>
    <w:rsid w:val="24EA0526"/>
    <w:rsid w:val="25333DB9"/>
    <w:rsid w:val="257759E3"/>
    <w:rsid w:val="259863A0"/>
    <w:rsid w:val="25E837C7"/>
    <w:rsid w:val="25F7736E"/>
    <w:rsid w:val="260B1627"/>
    <w:rsid w:val="26AB7BF6"/>
    <w:rsid w:val="26D35752"/>
    <w:rsid w:val="26E225FC"/>
    <w:rsid w:val="27003FF2"/>
    <w:rsid w:val="278C2F40"/>
    <w:rsid w:val="28122881"/>
    <w:rsid w:val="282D0505"/>
    <w:rsid w:val="285C0FE3"/>
    <w:rsid w:val="28763F49"/>
    <w:rsid w:val="289818F0"/>
    <w:rsid w:val="28C03D90"/>
    <w:rsid w:val="291F2D06"/>
    <w:rsid w:val="29353F6B"/>
    <w:rsid w:val="293A3026"/>
    <w:rsid w:val="295215BF"/>
    <w:rsid w:val="295B1407"/>
    <w:rsid w:val="29B54CD9"/>
    <w:rsid w:val="29C46C36"/>
    <w:rsid w:val="2A193F61"/>
    <w:rsid w:val="2A2B5785"/>
    <w:rsid w:val="2A656E3E"/>
    <w:rsid w:val="2A702C95"/>
    <w:rsid w:val="2B012486"/>
    <w:rsid w:val="2B171562"/>
    <w:rsid w:val="2B472E80"/>
    <w:rsid w:val="2B8F1360"/>
    <w:rsid w:val="2BF150E4"/>
    <w:rsid w:val="2C1F40F1"/>
    <w:rsid w:val="2C6E0756"/>
    <w:rsid w:val="2C865905"/>
    <w:rsid w:val="2CAE1BAA"/>
    <w:rsid w:val="2CB26A37"/>
    <w:rsid w:val="2CC84BC1"/>
    <w:rsid w:val="2CD81EF2"/>
    <w:rsid w:val="2D202A04"/>
    <w:rsid w:val="2D3708CB"/>
    <w:rsid w:val="2D4B3946"/>
    <w:rsid w:val="2D795C5D"/>
    <w:rsid w:val="2DB20A21"/>
    <w:rsid w:val="2DDC5862"/>
    <w:rsid w:val="2DFA3272"/>
    <w:rsid w:val="2E173A25"/>
    <w:rsid w:val="2E3937DF"/>
    <w:rsid w:val="2E5464DC"/>
    <w:rsid w:val="2E5575A7"/>
    <w:rsid w:val="2E5D0DDB"/>
    <w:rsid w:val="2EB421EC"/>
    <w:rsid w:val="2EC64D4D"/>
    <w:rsid w:val="2EE57F12"/>
    <w:rsid w:val="2EF22163"/>
    <w:rsid w:val="2F074843"/>
    <w:rsid w:val="2F50624A"/>
    <w:rsid w:val="2F6B4CC1"/>
    <w:rsid w:val="2F9E587D"/>
    <w:rsid w:val="2FBB2D38"/>
    <w:rsid w:val="2FCF4137"/>
    <w:rsid w:val="30095920"/>
    <w:rsid w:val="3023366E"/>
    <w:rsid w:val="3088492E"/>
    <w:rsid w:val="30F81FBD"/>
    <w:rsid w:val="30FD4303"/>
    <w:rsid w:val="3103697D"/>
    <w:rsid w:val="31380183"/>
    <w:rsid w:val="31502EE3"/>
    <w:rsid w:val="315D3B74"/>
    <w:rsid w:val="317E1C70"/>
    <w:rsid w:val="319F526C"/>
    <w:rsid w:val="31B263BB"/>
    <w:rsid w:val="31CD11E5"/>
    <w:rsid w:val="31E7186A"/>
    <w:rsid w:val="32290147"/>
    <w:rsid w:val="32496948"/>
    <w:rsid w:val="326D7956"/>
    <w:rsid w:val="32731C9A"/>
    <w:rsid w:val="329E573F"/>
    <w:rsid w:val="32C40E8C"/>
    <w:rsid w:val="335C2B90"/>
    <w:rsid w:val="33900639"/>
    <w:rsid w:val="3408796B"/>
    <w:rsid w:val="343F061A"/>
    <w:rsid w:val="345A3EEE"/>
    <w:rsid w:val="34C238C4"/>
    <w:rsid w:val="34D12E15"/>
    <w:rsid w:val="34F74438"/>
    <w:rsid w:val="353A03F7"/>
    <w:rsid w:val="35655FC8"/>
    <w:rsid w:val="35A260DF"/>
    <w:rsid w:val="35CA5D57"/>
    <w:rsid w:val="35E44EEC"/>
    <w:rsid w:val="36281263"/>
    <w:rsid w:val="36A945E2"/>
    <w:rsid w:val="36D44DD0"/>
    <w:rsid w:val="36E172CC"/>
    <w:rsid w:val="370F281F"/>
    <w:rsid w:val="379D0D86"/>
    <w:rsid w:val="37C470A2"/>
    <w:rsid w:val="37CA7890"/>
    <w:rsid w:val="385B4AAA"/>
    <w:rsid w:val="38613D8C"/>
    <w:rsid w:val="38980282"/>
    <w:rsid w:val="38C61FC3"/>
    <w:rsid w:val="38CF1AF4"/>
    <w:rsid w:val="39625BCF"/>
    <w:rsid w:val="39A36AFC"/>
    <w:rsid w:val="39D032BD"/>
    <w:rsid w:val="39F536B3"/>
    <w:rsid w:val="3A31119D"/>
    <w:rsid w:val="3A5A4782"/>
    <w:rsid w:val="3A7F27B8"/>
    <w:rsid w:val="3AA473B2"/>
    <w:rsid w:val="3AF76CD7"/>
    <w:rsid w:val="3B7D4C7F"/>
    <w:rsid w:val="3C1C1835"/>
    <w:rsid w:val="3C324B7B"/>
    <w:rsid w:val="3C3307BA"/>
    <w:rsid w:val="3C652CB3"/>
    <w:rsid w:val="3CB712F6"/>
    <w:rsid w:val="3CDC3CD7"/>
    <w:rsid w:val="3CDF770D"/>
    <w:rsid w:val="3D697DD3"/>
    <w:rsid w:val="3D784948"/>
    <w:rsid w:val="3DA51EFA"/>
    <w:rsid w:val="3DAE2380"/>
    <w:rsid w:val="3DB776DC"/>
    <w:rsid w:val="3DF019F1"/>
    <w:rsid w:val="3DF53AA8"/>
    <w:rsid w:val="3E067AAC"/>
    <w:rsid w:val="3E2F2A5C"/>
    <w:rsid w:val="3E547C62"/>
    <w:rsid w:val="3F725877"/>
    <w:rsid w:val="3F7D1825"/>
    <w:rsid w:val="3F8F7381"/>
    <w:rsid w:val="3FEC1078"/>
    <w:rsid w:val="40203FFE"/>
    <w:rsid w:val="406F3D32"/>
    <w:rsid w:val="40781F58"/>
    <w:rsid w:val="40D35923"/>
    <w:rsid w:val="41004D74"/>
    <w:rsid w:val="417C1797"/>
    <w:rsid w:val="41A94F9A"/>
    <w:rsid w:val="41AC2B4D"/>
    <w:rsid w:val="42032F3B"/>
    <w:rsid w:val="42761036"/>
    <w:rsid w:val="42906CCA"/>
    <w:rsid w:val="42917797"/>
    <w:rsid w:val="42AC231C"/>
    <w:rsid w:val="42B43830"/>
    <w:rsid w:val="42C54F0E"/>
    <w:rsid w:val="42EF3D98"/>
    <w:rsid w:val="431D468E"/>
    <w:rsid w:val="43AE5203"/>
    <w:rsid w:val="43DA306F"/>
    <w:rsid w:val="44DD75A5"/>
    <w:rsid w:val="44E651C9"/>
    <w:rsid w:val="45130FBD"/>
    <w:rsid w:val="45221EAC"/>
    <w:rsid w:val="455611ED"/>
    <w:rsid w:val="45606433"/>
    <w:rsid w:val="458F67E8"/>
    <w:rsid w:val="45AF3A4C"/>
    <w:rsid w:val="45B459CE"/>
    <w:rsid w:val="45F427BD"/>
    <w:rsid w:val="460C4937"/>
    <w:rsid w:val="462A6A78"/>
    <w:rsid w:val="465D25CC"/>
    <w:rsid w:val="466633EE"/>
    <w:rsid w:val="46FB29DE"/>
    <w:rsid w:val="47004FF4"/>
    <w:rsid w:val="47081265"/>
    <w:rsid w:val="47377D7D"/>
    <w:rsid w:val="473A4FD3"/>
    <w:rsid w:val="47696D4F"/>
    <w:rsid w:val="478839DD"/>
    <w:rsid w:val="479777D9"/>
    <w:rsid w:val="47CA5854"/>
    <w:rsid w:val="47F554D5"/>
    <w:rsid w:val="487E29D1"/>
    <w:rsid w:val="48CE71A1"/>
    <w:rsid w:val="48E76D97"/>
    <w:rsid w:val="491400D1"/>
    <w:rsid w:val="49251FF0"/>
    <w:rsid w:val="49B74F5D"/>
    <w:rsid w:val="49D943A4"/>
    <w:rsid w:val="49DD1784"/>
    <w:rsid w:val="4A155BFE"/>
    <w:rsid w:val="4A2B6480"/>
    <w:rsid w:val="4A392975"/>
    <w:rsid w:val="4A436317"/>
    <w:rsid w:val="4A557646"/>
    <w:rsid w:val="4A57776F"/>
    <w:rsid w:val="4A784D07"/>
    <w:rsid w:val="4A834B87"/>
    <w:rsid w:val="4A90002F"/>
    <w:rsid w:val="4AA460E4"/>
    <w:rsid w:val="4B712688"/>
    <w:rsid w:val="4BAF1F03"/>
    <w:rsid w:val="4BB54798"/>
    <w:rsid w:val="4C567788"/>
    <w:rsid w:val="4C620539"/>
    <w:rsid w:val="4C690B38"/>
    <w:rsid w:val="4C9900B1"/>
    <w:rsid w:val="4CA1610D"/>
    <w:rsid w:val="4CE01790"/>
    <w:rsid w:val="4CE76870"/>
    <w:rsid w:val="4CF56CAB"/>
    <w:rsid w:val="4D3F465A"/>
    <w:rsid w:val="4D745B01"/>
    <w:rsid w:val="4D9415D1"/>
    <w:rsid w:val="4D957737"/>
    <w:rsid w:val="4D992B4B"/>
    <w:rsid w:val="4DA213EB"/>
    <w:rsid w:val="4E142770"/>
    <w:rsid w:val="4E167AF2"/>
    <w:rsid w:val="4E4941BA"/>
    <w:rsid w:val="4E5C1BE4"/>
    <w:rsid w:val="4E77105F"/>
    <w:rsid w:val="4E855EEC"/>
    <w:rsid w:val="4F77518A"/>
    <w:rsid w:val="4FC23577"/>
    <w:rsid w:val="4FE00975"/>
    <w:rsid w:val="4FE175A7"/>
    <w:rsid w:val="4FE702D2"/>
    <w:rsid w:val="50144B21"/>
    <w:rsid w:val="50A06125"/>
    <w:rsid w:val="50CA75B4"/>
    <w:rsid w:val="50F008ED"/>
    <w:rsid w:val="50FE0151"/>
    <w:rsid w:val="51001AFF"/>
    <w:rsid w:val="51341DE6"/>
    <w:rsid w:val="518E3A65"/>
    <w:rsid w:val="51E43606"/>
    <w:rsid w:val="521B1601"/>
    <w:rsid w:val="521D2803"/>
    <w:rsid w:val="526B5181"/>
    <w:rsid w:val="52A2065F"/>
    <w:rsid w:val="52AE2F98"/>
    <w:rsid w:val="52CF574E"/>
    <w:rsid w:val="52D512B1"/>
    <w:rsid w:val="53291EF4"/>
    <w:rsid w:val="53CA6027"/>
    <w:rsid w:val="54030208"/>
    <w:rsid w:val="54642F67"/>
    <w:rsid w:val="54740853"/>
    <w:rsid w:val="54867F80"/>
    <w:rsid w:val="548C4AE7"/>
    <w:rsid w:val="550D1FC1"/>
    <w:rsid w:val="55113F18"/>
    <w:rsid w:val="5563798C"/>
    <w:rsid w:val="55835522"/>
    <w:rsid w:val="559102BB"/>
    <w:rsid w:val="55F6152B"/>
    <w:rsid w:val="5611678A"/>
    <w:rsid w:val="56733F8F"/>
    <w:rsid w:val="567C407D"/>
    <w:rsid w:val="56954205"/>
    <w:rsid w:val="56EA3212"/>
    <w:rsid w:val="56FE12B4"/>
    <w:rsid w:val="5749306E"/>
    <w:rsid w:val="57D10510"/>
    <w:rsid w:val="57D91E35"/>
    <w:rsid w:val="57F34643"/>
    <w:rsid w:val="57F830B9"/>
    <w:rsid w:val="5821631C"/>
    <w:rsid w:val="586B7E49"/>
    <w:rsid w:val="58A54AB1"/>
    <w:rsid w:val="58B770B5"/>
    <w:rsid w:val="58B96E9F"/>
    <w:rsid w:val="58BF1185"/>
    <w:rsid w:val="58C25AD9"/>
    <w:rsid w:val="58D65A36"/>
    <w:rsid w:val="59400723"/>
    <w:rsid w:val="599E11A2"/>
    <w:rsid w:val="59A2555D"/>
    <w:rsid w:val="59D80E93"/>
    <w:rsid w:val="59E31010"/>
    <w:rsid w:val="59E45A59"/>
    <w:rsid w:val="5A23375F"/>
    <w:rsid w:val="5A444E38"/>
    <w:rsid w:val="5A6C4D48"/>
    <w:rsid w:val="5A766BAA"/>
    <w:rsid w:val="5A7C6A2E"/>
    <w:rsid w:val="5B456A87"/>
    <w:rsid w:val="5BAD4F28"/>
    <w:rsid w:val="5BDD072E"/>
    <w:rsid w:val="5BE71A53"/>
    <w:rsid w:val="5C460A63"/>
    <w:rsid w:val="5C501AC4"/>
    <w:rsid w:val="5C6A1FBC"/>
    <w:rsid w:val="5C8903E1"/>
    <w:rsid w:val="5C955EA2"/>
    <w:rsid w:val="5CCA5428"/>
    <w:rsid w:val="5CCB23BB"/>
    <w:rsid w:val="5CD832B8"/>
    <w:rsid w:val="5CF930C3"/>
    <w:rsid w:val="5D20128A"/>
    <w:rsid w:val="5D53700C"/>
    <w:rsid w:val="5D8E1659"/>
    <w:rsid w:val="5DB253FD"/>
    <w:rsid w:val="5E277235"/>
    <w:rsid w:val="5E5926F0"/>
    <w:rsid w:val="5E6C3D42"/>
    <w:rsid w:val="5E811BD2"/>
    <w:rsid w:val="5EA96AA5"/>
    <w:rsid w:val="5EC11375"/>
    <w:rsid w:val="5ECA17C9"/>
    <w:rsid w:val="5F5A6619"/>
    <w:rsid w:val="5F78150E"/>
    <w:rsid w:val="5F7C14CD"/>
    <w:rsid w:val="5FB52DFF"/>
    <w:rsid w:val="5FBE242E"/>
    <w:rsid w:val="5FCE700E"/>
    <w:rsid w:val="5FE2401A"/>
    <w:rsid w:val="60396962"/>
    <w:rsid w:val="60436449"/>
    <w:rsid w:val="60C327C0"/>
    <w:rsid w:val="611A6DCD"/>
    <w:rsid w:val="61431A40"/>
    <w:rsid w:val="6146222E"/>
    <w:rsid w:val="61697B54"/>
    <w:rsid w:val="61702E45"/>
    <w:rsid w:val="617935D6"/>
    <w:rsid w:val="617B1926"/>
    <w:rsid w:val="61DE3D10"/>
    <w:rsid w:val="620E00FF"/>
    <w:rsid w:val="621333F4"/>
    <w:rsid w:val="621E1160"/>
    <w:rsid w:val="6234563B"/>
    <w:rsid w:val="623D080E"/>
    <w:rsid w:val="623F3C4A"/>
    <w:rsid w:val="624D3D19"/>
    <w:rsid w:val="62AA3278"/>
    <w:rsid w:val="62CB2093"/>
    <w:rsid w:val="62F510AF"/>
    <w:rsid w:val="63563C28"/>
    <w:rsid w:val="63A10BE3"/>
    <w:rsid w:val="63AD4391"/>
    <w:rsid w:val="63C1608D"/>
    <w:rsid w:val="6412144A"/>
    <w:rsid w:val="642851F8"/>
    <w:rsid w:val="64644258"/>
    <w:rsid w:val="648659A1"/>
    <w:rsid w:val="649955FB"/>
    <w:rsid w:val="65440F82"/>
    <w:rsid w:val="65FC6DDF"/>
    <w:rsid w:val="66022772"/>
    <w:rsid w:val="66375246"/>
    <w:rsid w:val="66390CB4"/>
    <w:rsid w:val="66A3074F"/>
    <w:rsid w:val="66AF03F4"/>
    <w:rsid w:val="66CB25A6"/>
    <w:rsid w:val="6735129E"/>
    <w:rsid w:val="678737F0"/>
    <w:rsid w:val="67A755E7"/>
    <w:rsid w:val="67AE412E"/>
    <w:rsid w:val="680C6818"/>
    <w:rsid w:val="68185292"/>
    <w:rsid w:val="68A748FC"/>
    <w:rsid w:val="68F7303D"/>
    <w:rsid w:val="690D0497"/>
    <w:rsid w:val="691032E7"/>
    <w:rsid w:val="692C70FC"/>
    <w:rsid w:val="692F11AE"/>
    <w:rsid w:val="693E403B"/>
    <w:rsid w:val="696950B2"/>
    <w:rsid w:val="696E70E9"/>
    <w:rsid w:val="697400BA"/>
    <w:rsid w:val="69946094"/>
    <w:rsid w:val="6A060E86"/>
    <w:rsid w:val="6A703082"/>
    <w:rsid w:val="6A81712E"/>
    <w:rsid w:val="6A9D0853"/>
    <w:rsid w:val="6AAE2945"/>
    <w:rsid w:val="6AC1686B"/>
    <w:rsid w:val="6B173E20"/>
    <w:rsid w:val="6B714E9D"/>
    <w:rsid w:val="6BD166F9"/>
    <w:rsid w:val="6BEF7B09"/>
    <w:rsid w:val="6C022FF4"/>
    <w:rsid w:val="6C103399"/>
    <w:rsid w:val="6C1132A1"/>
    <w:rsid w:val="6C626B51"/>
    <w:rsid w:val="6C95169C"/>
    <w:rsid w:val="6C9C249F"/>
    <w:rsid w:val="6CAE0735"/>
    <w:rsid w:val="6D150DEF"/>
    <w:rsid w:val="6D35300E"/>
    <w:rsid w:val="6D484D07"/>
    <w:rsid w:val="6D852BA6"/>
    <w:rsid w:val="6D8A58E9"/>
    <w:rsid w:val="6D924FA3"/>
    <w:rsid w:val="6D9602A9"/>
    <w:rsid w:val="6DB84524"/>
    <w:rsid w:val="6E0736CC"/>
    <w:rsid w:val="6E1C735E"/>
    <w:rsid w:val="6E283689"/>
    <w:rsid w:val="6E56679C"/>
    <w:rsid w:val="6E5C5EDC"/>
    <w:rsid w:val="6ECF0E27"/>
    <w:rsid w:val="6EFA1807"/>
    <w:rsid w:val="6F0A75DC"/>
    <w:rsid w:val="6F7C4FAD"/>
    <w:rsid w:val="708E0EF1"/>
    <w:rsid w:val="709146D5"/>
    <w:rsid w:val="70C05F77"/>
    <w:rsid w:val="71061981"/>
    <w:rsid w:val="71493D7F"/>
    <w:rsid w:val="719A7E49"/>
    <w:rsid w:val="71A633F7"/>
    <w:rsid w:val="71ED7FF4"/>
    <w:rsid w:val="72443B45"/>
    <w:rsid w:val="727D67E0"/>
    <w:rsid w:val="73374358"/>
    <w:rsid w:val="73BB55BF"/>
    <w:rsid w:val="741E1973"/>
    <w:rsid w:val="74221419"/>
    <w:rsid w:val="74761E68"/>
    <w:rsid w:val="74A65779"/>
    <w:rsid w:val="74C17B93"/>
    <w:rsid w:val="750061DA"/>
    <w:rsid w:val="75275E36"/>
    <w:rsid w:val="75494576"/>
    <w:rsid w:val="755313EB"/>
    <w:rsid w:val="75C93964"/>
    <w:rsid w:val="761131F1"/>
    <w:rsid w:val="76117EBE"/>
    <w:rsid w:val="769D004D"/>
    <w:rsid w:val="76A54012"/>
    <w:rsid w:val="76C15AC9"/>
    <w:rsid w:val="76E86EB9"/>
    <w:rsid w:val="76F93843"/>
    <w:rsid w:val="771F5490"/>
    <w:rsid w:val="7740217A"/>
    <w:rsid w:val="77B745DB"/>
    <w:rsid w:val="77BD3977"/>
    <w:rsid w:val="78363F2A"/>
    <w:rsid w:val="7845771C"/>
    <w:rsid w:val="78582F13"/>
    <w:rsid w:val="791531DD"/>
    <w:rsid w:val="79337587"/>
    <w:rsid w:val="799B6A3D"/>
    <w:rsid w:val="79BF0969"/>
    <w:rsid w:val="79DA764A"/>
    <w:rsid w:val="7A4240FA"/>
    <w:rsid w:val="7A4943BF"/>
    <w:rsid w:val="7A8024B5"/>
    <w:rsid w:val="7A883B03"/>
    <w:rsid w:val="7A8E7CED"/>
    <w:rsid w:val="7AAE52A7"/>
    <w:rsid w:val="7AFB72A0"/>
    <w:rsid w:val="7B044335"/>
    <w:rsid w:val="7B26128C"/>
    <w:rsid w:val="7BB11B20"/>
    <w:rsid w:val="7BB80F6A"/>
    <w:rsid w:val="7BF3594B"/>
    <w:rsid w:val="7BFF356F"/>
    <w:rsid w:val="7C037E07"/>
    <w:rsid w:val="7CF32151"/>
    <w:rsid w:val="7D154F0D"/>
    <w:rsid w:val="7D197520"/>
    <w:rsid w:val="7D296F47"/>
    <w:rsid w:val="7D667897"/>
    <w:rsid w:val="7DC62549"/>
    <w:rsid w:val="7E1310CF"/>
    <w:rsid w:val="7E227831"/>
    <w:rsid w:val="7F29663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iPriority="0" w:semiHidden="0" w:name="heading 4" w:locked="1"/>
    <w:lsdException w:qFormat="1" w:unhideWhenUsed="0" w:uiPriority="0" w:semiHidden="0" w:name="heading 5" w:locked="1"/>
    <w:lsdException w:qFormat="1"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ocked="1"/>
    <w:lsdException w:qFormat="1" w:unhideWhenUsed="0" w:uiPriority="0"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qFormat="1"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ocked="1"/>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qFormat="1" w:uiPriority="99"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ocked="1"/>
    <w:lsdException w:qFormat="1" w:unhideWhenUsed="0" w:uiPriority="20" w:semiHidden="0" w:name="Emphasis" w:locked="1"/>
    <w:lsdException w:qFormat="1"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99"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link w:val="62"/>
    <w:qFormat/>
    <w:locked/>
    <w:uiPriority w:val="0"/>
    <w:pPr>
      <w:keepNext/>
      <w:keepLines/>
      <w:spacing w:line="520" w:lineRule="exact"/>
      <w:outlineLvl w:val="0"/>
    </w:pPr>
    <w:rPr>
      <w:rFonts w:ascii="黑体" w:hAnsi="黑体" w:eastAsia="黑体" w:cs="黑体"/>
      <w:bCs/>
      <w:kern w:val="44"/>
      <w:sz w:val="24"/>
      <w:szCs w:val="44"/>
    </w:rPr>
  </w:style>
  <w:style w:type="paragraph" w:styleId="3">
    <w:name w:val="heading 2"/>
    <w:basedOn w:val="1"/>
    <w:next w:val="1"/>
    <w:link w:val="109"/>
    <w:unhideWhenUsed/>
    <w:qFormat/>
    <w:locked/>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27"/>
    <w:qFormat/>
    <w:locked/>
    <w:uiPriority w:val="0"/>
    <w:pPr>
      <w:keepNext/>
      <w:keepLines/>
      <w:spacing w:before="60" w:after="60" w:line="400" w:lineRule="exact"/>
      <w:ind w:firstLine="510"/>
      <w:outlineLvl w:val="2"/>
    </w:pPr>
    <w:rPr>
      <w:rFonts w:ascii="宋体" w:hAnsi="Times New Roman" w:cs="Times New Roman"/>
      <w:b/>
      <w:sz w:val="24"/>
      <w:szCs w:val="20"/>
    </w:rPr>
  </w:style>
  <w:style w:type="paragraph" w:styleId="5">
    <w:name w:val="heading 4"/>
    <w:basedOn w:val="1"/>
    <w:next w:val="1"/>
    <w:link w:val="113"/>
    <w:unhideWhenUsed/>
    <w:qFormat/>
    <w:locked/>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link w:val="117"/>
    <w:qFormat/>
    <w:locked/>
    <w:uiPriority w:val="0"/>
    <w:pPr>
      <w:keepNext/>
      <w:keepLines/>
      <w:spacing w:before="280" w:after="290" w:line="376" w:lineRule="auto"/>
      <w:outlineLvl w:val="4"/>
    </w:pPr>
    <w:rPr>
      <w:rFonts w:ascii="Times New Roman" w:hAnsi="Times New Roman" w:cs="Times New Roman"/>
      <w:b/>
      <w:bCs/>
      <w:sz w:val="28"/>
      <w:szCs w:val="28"/>
    </w:rPr>
  </w:style>
  <w:style w:type="paragraph" w:styleId="7">
    <w:name w:val="heading 6"/>
    <w:basedOn w:val="1"/>
    <w:next w:val="1"/>
    <w:link w:val="97"/>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1"/>
    <w:link w:val="98"/>
    <w:qFormat/>
    <w:locked/>
    <w:uiPriority w:val="0"/>
    <w:pPr>
      <w:keepNext/>
      <w:keepLines/>
      <w:spacing w:before="240" w:afterLines="50" w:line="320" w:lineRule="auto"/>
      <w:outlineLvl w:val="6"/>
    </w:pPr>
    <w:rPr>
      <w:rFonts w:ascii="Times New Roman" w:hAnsi="Times New Roman" w:cs="Times New Roman"/>
      <w:b/>
      <w:bCs/>
      <w:sz w:val="24"/>
    </w:rPr>
  </w:style>
  <w:style w:type="paragraph" w:styleId="9">
    <w:name w:val="heading 8"/>
    <w:basedOn w:val="1"/>
    <w:next w:val="1"/>
    <w:link w:val="99"/>
    <w:qFormat/>
    <w:locked/>
    <w:uiPriority w:val="0"/>
    <w:pPr>
      <w:keepNext/>
      <w:keepLines/>
      <w:spacing w:before="240" w:afterLines="50" w:line="320" w:lineRule="auto"/>
      <w:outlineLvl w:val="7"/>
    </w:pPr>
    <w:rPr>
      <w:rFonts w:ascii="Arial" w:hAnsi="Arial" w:eastAsia="黑体" w:cs="Times New Roman"/>
      <w:sz w:val="24"/>
    </w:rPr>
  </w:style>
  <w:style w:type="paragraph" w:styleId="10">
    <w:name w:val="heading 9"/>
    <w:basedOn w:val="1"/>
    <w:next w:val="1"/>
    <w:link w:val="100"/>
    <w:qFormat/>
    <w:locked/>
    <w:uiPriority w:val="0"/>
    <w:pPr>
      <w:keepNext/>
      <w:keepLines/>
      <w:spacing w:before="240" w:afterLines="50" w:line="320" w:lineRule="auto"/>
      <w:outlineLvl w:val="8"/>
    </w:pPr>
    <w:rPr>
      <w:rFonts w:ascii="Arial" w:hAnsi="Arial" w:eastAsia="黑体" w:cs="Times New Roman"/>
      <w:sz w:val="24"/>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Theme="minorHAnsi" w:hAnsiTheme="minorHAnsi" w:cstheme="minorHAnsi"/>
      <w:sz w:val="18"/>
      <w:szCs w:val="18"/>
    </w:rPr>
  </w:style>
  <w:style w:type="paragraph" w:styleId="12">
    <w:name w:val="Normal Indent"/>
    <w:basedOn w:val="1"/>
    <w:link w:val="118"/>
    <w:qFormat/>
    <w:uiPriority w:val="99"/>
    <w:pPr>
      <w:ind w:firstLine="420"/>
    </w:pPr>
    <w:rPr>
      <w:rFonts w:ascii="Times New Roman" w:hAnsi="Times New Roman" w:cs="Times New Roman"/>
      <w:szCs w:val="20"/>
    </w:rPr>
  </w:style>
  <w:style w:type="paragraph" w:styleId="13">
    <w:name w:val="caption"/>
    <w:basedOn w:val="1"/>
    <w:next w:val="1"/>
    <w:link w:val="181"/>
    <w:qFormat/>
    <w:locked/>
    <w:uiPriority w:val="99"/>
    <w:pPr>
      <w:spacing w:before="152" w:after="160"/>
    </w:pPr>
    <w:rPr>
      <w:rFonts w:ascii="Arial" w:hAnsi="Arial" w:eastAsia="黑体" w:cs="Arial"/>
      <w:sz w:val="20"/>
      <w:szCs w:val="20"/>
    </w:rPr>
  </w:style>
  <w:style w:type="paragraph" w:styleId="14">
    <w:name w:val="List Bullet"/>
    <w:basedOn w:val="1"/>
    <w:unhideWhenUsed/>
    <w:qFormat/>
    <w:uiPriority w:val="0"/>
    <w:pPr>
      <w:numPr>
        <w:ilvl w:val="0"/>
        <w:numId w:val="1"/>
      </w:numPr>
      <w:spacing w:line="300" w:lineRule="auto"/>
    </w:pPr>
    <w:rPr>
      <w:rFonts w:ascii="Times New Roman" w:hAnsi="Times New Roman" w:eastAsia="??" w:cs="Times New Roman"/>
      <w:sz w:val="24"/>
    </w:rPr>
  </w:style>
  <w:style w:type="paragraph" w:styleId="15">
    <w:name w:val="Document Map"/>
    <w:basedOn w:val="1"/>
    <w:link w:val="63"/>
    <w:unhideWhenUsed/>
    <w:qFormat/>
    <w:uiPriority w:val="99"/>
    <w:rPr>
      <w:rFonts w:ascii="宋体"/>
      <w:sz w:val="18"/>
      <w:szCs w:val="18"/>
    </w:rPr>
  </w:style>
  <w:style w:type="paragraph" w:styleId="16">
    <w:name w:val="toa heading"/>
    <w:basedOn w:val="1"/>
    <w:next w:val="1"/>
    <w:unhideWhenUsed/>
    <w:qFormat/>
    <w:uiPriority w:val="99"/>
    <w:pPr>
      <w:spacing w:before="120"/>
    </w:pPr>
    <w:rPr>
      <w:rFonts w:ascii="Cambria" w:hAnsi="Cambria" w:cstheme="majorBidi"/>
      <w:sz w:val="24"/>
    </w:rPr>
  </w:style>
  <w:style w:type="paragraph" w:styleId="17">
    <w:name w:val="annotation text"/>
    <w:basedOn w:val="1"/>
    <w:link w:val="64"/>
    <w:qFormat/>
    <w:uiPriority w:val="99"/>
    <w:pPr>
      <w:jc w:val="left"/>
    </w:pPr>
  </w:style>
  <w:style w:type="paragraph" w:styleId="18">
    <w:name w:val="Body Text"/>
    <w:basedOn w:val="1"/>
    <w:link w:val="208"/>
    <w:unhideWhenUsed/>
    <w:qFormat/>
    <w:uiPriority w:val="99"/>
    <w:pPr>
      <w:spacing w:after="120"/>
    </w:pPr>
    <w:rPr>
      <w:rFonts w:cs="Calibri"/>
      <w:sz w:val="28"/>
      <w:szCs w:val="28"/>
    </w:rPr>
  </w:style>
  <w:style w:type="paragraph" w:styleId="19">
    <w:name w:val="Body Text Indent"/>
    <w:basedOn w:val="1"/>
    <w:link w:val="131"/>
    <w:qFormat/>
    <w:uiPriority w:val="0"/>
    <w:pPr>
      <w:spacing w:line="460" w:lineRule="exact"/>
      <w:ind w:firstLine="510"/>
    </w:pPr>
    <w:rPr>
      <w:rFonts w:ascii="Times New Roman" w:hAnsi="Times New Roman" w:cs="Times New Roman"/>
      <w:szCs w:val="20"/>
    </w:rPr>
  </w:style>
  <w:style w:type="paragraph" w:styleId="20">
    <w:name w:val="List Continue"/>
    <w:basedOn w:val="1"/>
    <w:semiHidden/>
    <w:unhideWhenUsed/>
    <w:qFormat/>
    <w:uiPriority w:val="99"/>
    <w:pPr>
      <w:spacing w:after="120"/>
      <w:ind w:left="420" w:leftChars="200"/>
      <w:contextualSpacing/>
    </w:pPr>
    <w:rPr>
      <w:rFonts w:cs="Calibri"/>
      <w:szCs w:val="21"/>
    </w:rPr>
  </w:style>
  <w:style w:type="paragraph" w:styleId="21">
    <w:name w:val="toc 5"/>
    <w:basedOn w:val="1"/>
    <w:next w:val="1"/>
    <w:qFormat/>
    <w:uiPriority w:val="39"/>
    <w:pPr>
      <w:ind w:left="840"/>
      <w:jc w:val="left"/>
    </w:pPr>
    <w:rPr>
      <w:rFonts w:asciiTheme="minorHAnsi" w:hAnsiTheme="minorHAnsi" w:cstheme="minorHAnsi"/>
      <w:sz w:val="18"/>
      <w:szCs w:val="18"/>
    </w:rPr>
  </w:style>
  <w:style w:type="paragraph" w:styleId="22">
    <w:name w:val="toc 3"/>
    <w:basedOn w:val="1"/>
    <w:next w:val="1"/>
    <w:unhideWhenUsed/>
    <w:qFormat/>
    <w:uiPriority w:val="39"/>
    <w:pPr>
      <w:ind w:left="840" w:leftChars="400"/>
    </w:pPr>
  </w:style>
  <w:style w:type="paragraph" w:styleId="23">
    <w:name w:val="Plain Text"/>
    <w:basedOn w:val="1"/>
    <w:next w:val="1"/>
    <w:link w:val="114"/>
    <w:qFormat/>
    <w:uiPriority w:val="99"/>
    <w:rPr>
      <w:rFonts w:ascii="宋体" w:hAnsi="Courier New" w:cs="Courier New"/>
      <w:szCs w:val="21"/>
    </w:rPr>
  </w:style>
  <w:style w:type="paragraph" w:styleId="24">
    <w:name w:val="toc 8"/>
    <w:basedOn w:val="1"/>
    <w:next w:val="1"/>
    <w:unhideWhenUsed/>
    <w:qFormat/>
    <w:uiPriority w:val="39"/>
    <w:pPr>
      <w:ind w:left="1470"/>
      <w:jc w:val="left"/>
    </w:pPr>
    <w:rPr>
      <w:rFonts w:asciiTheme="minorHAnsi" w:hAnsiTheme="minorHAnsi" w:cstheme="minorHAnsi"/>
      <w:sz w:val="18"/>
      <w:szCs w:val="18"/>
    </w:rPr>
  </w:style>
  <w:style w:type="paragraph" w:styleId="25">
    <w:name w:val="Date"/>
    <w:basedOn w:val="1"/>
    <w:next w:val="1"/>
    <w:link w:val="133"/>
    <w:unhideWhenUsed/>
    <w:qFormat/>
    <w:uiPriority w:val="99"/>
    <w:pPr>
      <w:ind w:left="100" w:leftChars="2500"/>
    </w:pPr>
    <w:rPr>
      <w:rFonts w:cs="Times New Roman"/>
      <w:kern w:val="0"/>
      <w:sz w:val="20"/>
      <w:szCs w:val="21"/>
    </w:rPr>
  </w:style>
  <w:style w:type="paragraph" w:styleId="26">
    <w:name w:val="Body Text Indent 2"/>
    <w:basedOn w:val="1"/>
    <w:link w:val="102"/>
    <w:qFormat/>
    <w:uiPriority w:val="0"/>
    <w:pPr>
      <w:spacing w:line="500" w:lineRule="exact"/>
      <w:ind w:firstLine="510"/>
    </w:pPr>
    <w:rPr>
      <w:rFonts w:ascii="宋体" w:hAnsi="Times New Roman" w:cs="Times New Roman"/>
      <w:sz w:val="24"/>
      <w:szCs w:val="20"/>
    </w:rPr>
  </w:style>
  <w:style w:type="paragraph" w:styleId="27">
    <w:name w:val="Balloon Text"/>
    <w:basedOn w:val="1"/>
    <w:link w:val="65"/>
    <w:qFormat/>
    <w:uiPriority w:val="99"/>
    <w:rPr>
      <w:sz w:val="18"/>
      <w:szCs w:val="18"/>
    </w:rPr>
  </w:style>
  <w:style w:type="paragraph" w:styleId="28">
    <w:name w:val="footer"/>
    <w:basedOn w:val="1"/>
    <w:link w:val="66"/>
    <w:qFormat/>
    <w:uiPriority w:val="99"/>
    <w:pPr>
      <w:tabs>
        <w:tab w:val="center" w:pos="4153"/>
        <w:tab w:val="right" w:pos="8306"/>
      </w:tabs>
      <w:snapToGrid w:val="0"/>
      <w:jc w:val="left"/>
    </w:pPr>
    <w:rPr>
      <w:sz w:val="18"/>
    </w:rPr>
  </w:style>
  <w:style w:type="paragraph" w:styleId="29">
    <w:name w:val="header"/>
    <w:basedOn w:val="1"/>
    <w:link w:val="6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0">
    <w:name w:val="toc 1"/>
    <w:basedOn w:val="1"/>
    <w:next w:val="1"/>
    <w:qFormat/>
    <w:uiPriority w:val="39"/>
  </w:style>
  <w:style w:type="paragraph" w:styleId="31">
    <w:name w:val="List Continue 4"/>
    <w:basedOn w:val="20"/>
    <w:qFormat/>
    <w:uiPriority w:val="0"/>
    <w:pPr>
      <w:widowControl/>
      <w:tabs>
        <w:tab w:val="left" w:pos="900"/>
        <w:tab w:val="left" w:pos="1600"/>
        <w:tab w:val="left" w:pos="1680"/>
        <w:tab w:val="left" w:pos="2100"/>
      </w:tabs>
      <w:adjustRightInd w:val="0"/>
      <w:snapToGrid w:val="0"/>
      <w:spacing w:afterLines="50" w:line="230" w:lineRule="atLeast"/>
      <w:ind w:left="2100" w:leftChars="0" w:hanging="420"/>
      <w:contextualSpacing w:val="0"/>
      <w:textAlignment w:val="baseline"/>
    </w:pPr>
    <w:rPr>
      <w:rFonts w:ascii="Arial" w:hAnsi="Arial" w:cs="Arial"/>
      <w:kern w:val="0"/>
      <w:sz w:val="20"/>
      <w:szCs w:val="20"/>
      <w:lang w:val="en-GB"/>
    </w:rPr>
  </w:style>
  <w:style w:type="paragraph" w:styleId="32">
    <w:name w:val="toc 4"/>
    <w:basedOn w:val="1"/>
    <w:next w:val="1"/>
    <w:unhideWhenUsed/>
    <w:qFormat/>
    <w:uiPriority w:val="39"/>
    <w:pPr>
      <w:ind w:left="630"/>
      <w:jc w:val="left"/>
    </w:pPr>
    <w:rPr>
      <w:rFonts w:asciiTheme="minorHAnsi" w:hAnsiTheme="minorHAnsi" w:cstheme="minorHAnsi"/>
      <w:sz w:val="18"/>
      <w:szCs w:val="18"/>
    </w:rPr>
  </w:style>
  <w:style w:type="paragraph" w:styleId="33">
    <w:name w:val="footnote text"/>
    <w:basedOn w:val="1"/>
    <w:link w:val="103"/>
    <w:qFormat/>
    <w:uiPriority w:val="0"/>
    <w:pPr>
      <w:snapToGrid w:val="0"/>
      <w:jc w:val="left"/>
    </w:pPr>
    <w:rPr>
      <w:rFonts w:ascii="Times New Roman" w:hAnsi="Times New Roman" w:cs="Times New Roman"/>
      <w:sz w:val="18"/>
      <w:szCs w:val="20"/>
    </w:rPr>
  </w:style>
  <w:style w:type="paragraph" w:styleId="34">
    <w:name w:val="toc 6"/>
    <w:basedOn w:val="1"/>
    <w:next w:val="1"/>
    <w:unhideWhenUsed/>
    <w:qFormat/>
    <w:uiPriority w:val="39"/>
    <w:pPr>
      <w:ind w:left="1050"/>
      <w:jc w:val="left"/>
    </w:pPr>
    <w:rPr>
      <w:rFonts w:asciiTheme="minorHAnsi" w:hAnsiTheme="minorHAnsi" w:cstheme="minorHAnsi"/>
      <w:sz w:val="18"/>
      <w:szCs w:val="18"/>
    </w:rPr>
  </w:style>
  <w:style w:type="paragraph" w:styleId="35">
    <w:name w:val="index 7"/>
    <w:basedOn w:val="1"/>
    <w:next w:val="1"/>
    <w:semiHidden/>
    <w:qFormat/>
    <w:uiPriority w:val="0"/>
    <w:pPr>
      <w:widowControl/>
      <w:numPr>
        <w:ilvl w:val="0"/>
        <w:numId w:val="2"/>
      </w:numPr>
      <w:tabs>
        <w:tab w:val="left" w:pos="2340"/>
      </w:tabs>
      <w:overflowPunct w:val="0"/>
      <w:autoSpaceDE w:val="0"/>
      <w:autoSpaceDN w:val="0"/>
      <w:adjustRightInd w:val="0"/>
      <w:spacing w:afterLines="100" w:line="300" w:lineRule="auto"/>
      <w:jc w:val="left"/>
      <w:textAlignment w:val="baseline"/>
    </w:pPr>
    <w:rPr>
      <w:rFonts w:ascii="Times New Roman" w:hAnsi="Times New Roman" w:cs="Times New Roman"/>
      <w:kern w:val="0"/>
      <w:sz w:val="24"/>
      <w:szCs w:val="21"/>
    </w:rPr>
  </w:style>
  <w:style w:type="paragraph" w:styleId="36">
    <w:name w:val="table of figures"/>
    <w:basedOn w:val="1"/>
    <w:next w:val="1"/>
    <w:semiHidden/>
    <w:qFormat/>
    <w:uiPriority w:val="0"/>
    <w:pPr>
      <w:ind w:left="840" w:leftChars="200" w:hanging="420" w:hangingChars="200"/>
    </w:pPr>
    <w:rPr>
      <w:rFonts w:ascii="Times New Roman" w:hAnsi="Times New Roman" w:cs="Times New Roman"/>
    </w:rPr>
  </w:style>
  <w:style w:type="paragraph" w:styleId="37">
    <w:name w:val="toc 2"/>
    <w:basedOn w:val="1"/>
    <w:next w:val="1"/>
    <w:qFormat/>
    <w:uiPriority w:val="39"/>
    <w:pPr>
      <w:ind w:left="420" w:leftChars="200"/>
    </w:pPr>
  </w:style>
  <w:style w:type="paragraph" w:styleId="38">
    <w:name w:val="toc 9"/>
    <w:basedOn w:val="1"/>
    <w:next w:val="1"/>
    <w:unhideWhenUsed/>
    <w:qFormat/>
    <w:uiPriority w:val="39"/>
    <w:pPr>
      <w:ind w:left="1680"/>
      <w:jc w:val="left"/>
    </w:pPr>
    <w:rPr>
      <w:rFonts w:asciiTheme="minorHAnsi" w:hAnsiTheme="minorHAnsi" w:cstheme="minorHAnsi"/>
      <w:sz w:val="18"/>
      <w:szCs w:val="18"/>
    </w:rPr>
  </w:style>
  <w:style w:type="paragraph" w:styleId="39">
    <w:name w:val="List Continue 2"/>
    <w:basedOn w:val="20"/>
    <w:qFormat/>
    <w:uiPriority w:val="0"/>
    <w:pPr>
      <w:widowControl/>
      <w:tabs>
        <w:tab w:val="left" w:pos="800"/>
        <w:tab w:val="left" w:pos="840"/>
        <w:tab w:val="left" w:pos="900"/>
        <w:tab w:val="left" w:pos="1260"/>
        <w:tab w:val="left" w:pos="1620"/>
      </w:tabs>
      <w:adjustRightInd w:val="0"/>
      <w:snapToGrid w:val="0"/>
      <w:spacing w:afterLines="50" w:line="230" w:lineRule="atLeast"/>
      <w:ind w:left="1260" w:leftChars="0" w:hanging="420"/>
      <w:contextualSpacing w:val="0"/>
      <w:textAlignment w:val="baseline"/>
    </w:pPr>
    <w:rPr>
      <w:rFonts w:ascii="Arial" w:hAnsi="Arial" w:cs="Arial"/>
      <w:kern w:val="0"/>
      <w:sz w:val="20"/>
      <w:szCs w:val="20"/>
      <w:lang w:val="en-GB"/>
    </w:rPr>
  </w:style>
  <w:style w:type="paragraph" w:styleId="40">
    <w:name w:val="Normal (Web)"/>
    <w:basedOn w:val="1"/>
    <w:qFormat/>
    <w:uiPriority w:val="0"/>
    <w:pPr>
      <w:spacing w:beforeAutospacing="1" w:afterAutospacing="1"/>
      <w:jc w:val="left"/>
    </w:pPr>
    <w:rPr>
      <w:rFonts w:cs="Times New Roman"/>
      <w:kern w:val="0"/>
      <w:sz w:val="24"/>
    </w:rPr>
  </w:style>
  <w:style w:type="paragraph" w:styleId="41">
    <w:name w:val="List Continue 3"/>
    <w:basedOn w:val="20"/>
    <w:qFormat/>
    <w:uiPriority w:val="0"/>
    <w:pPr>
      <w:widowControl/>
      <w:tabs>
        <w:tab w:val="left" w:pos="900"/>
        <w:tab w:val="left" w:pos="1200"/>
        <w:tab w:val="left" w:pos="1260"/>
        <w:tab w:val="left" w:pos="1620"/>
        <w:tab w:val="left" w:pos="1680"/>
      </w:tabs>
      <w:adjustRightInd w:val="0"/>
      <w:snapToGrid w:val="0"/>
      <w:spacing w:afterLines="50" w:line="230" w:lineRule="atLeast"/>
      <w:ind w:left="1680" w:leftChars="0" w:hanging="420"/>
      <w:contextualSpacing w:val="0"/>
      <w:textAlignment w:val="baseline"/>
    </w:pPr>
    <w:rPr>
      <w:rFonts w:ascii="Arial" w:hAnsi="Arial" w:cs="Arial"/>
      <w:kern w:val="0"/>
      <w:sz w:val="20"/>
      <w:szCs w:val="20"/>
      <w:lang w:val="en-GB"/>
    </w:rPr>
  </w:style>
  <w:style w:type="paragraph" w:styleId="42">
    <w:name w:val="Title"/>
    <w:basedOn w:val="1"/>
    <w:next w:val="1"/>
    <w:link w:val="104"/>
    <w:qFormat/>
    <w:locked/>
    <w:uiPriority w:val="10"/>
    <w:pPr>
      <w:spacing w:before="240" w:after="60"/>
      <w:jc w:val="center"/>
      <w:outlineLvl w:val="0"/>
    </w:pPr>
    <w:rPr>
      <w:rFonts w:asciiTheme="majorHAnsi" w:hAnsiTheme="majorHAnsi" w:eastAsiaTheme="majorEastAsia" w:cstheme="majorBidi"/>
      <w:b/>
      <w:bCs/>
      <w:sz w:val="32"/>
      <w:szCs w:val="32"/>
    </w:rPr>
  </w:style>
  <w:style w:type="paragraph" w:styleId="43">
    <w:name w:val="annotation subject"/>
    <w:basedOn w:val="17"/>
    <w:next w:val="17"/>
    <w:link w:val="136"/>
    <w:unhideWhenUsed/>
    <w:qFormat/>
    <w:uiPriority w:val="99"/>
    <w:rPr>
      <w:rFonts w:ascii="Times New Roman" w:hAnsi="Times New Roman" w:cs="Times New Roman"/>
      <w:b/>
      <w:bCs/>
      <w:szCs w:val="21"/>
    </w:rPr>
  </w:style>
  <w:style w:type="paragraph" w:styleId="44">
    <w:name w:val="Body Text First Indent 2"/>
    <w:basedOn w:val="19"/>
    <w:link w:val="105"/>
    <w:unhideWhenUsed/>
    <w:qFormat/>
    <w:uiPriority w:val="99"/>
    <w:pPr>
      <w:ind w:firstLine="420" w:firstLineChars="200"/>
    </w:pPr>
  </w:style>
  <w:style w:type="table" w:styleId="46">
    <w:name w:val="Table Grid"/>
    <w:basedOn w:val="4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qFormat/>
    <w:locked/>
    <w:uiPriority w:val="22"/>
    <w:rPr>
      <w:b/>
      <w:bCs/>
    </w:rPr>
  </w:style>
  <w:style w:type="character" w:styleId="49">
    <w:name w:val="page number"/>
    <w:basedOn w:val="47"/>
    <w:unhideWhenUsed/>
    <w:qFormat/>
    <w:uiPriority w:val="99"/>
  </w:style>
  <w:style w:type="character" w:styleId="50">
    <w:name w:val="FollowedHyperlink"/>
    <w:basedOn w:val="47"/>
    <w:unhideWhenUsed/>
    <w:qFormat/>
    <w:uiPriority w:val="99"/>
    <w:rPr>
      <w:color w:val="954F72"/>
      <w:u w:val="single"/>
    </w:rPr>
  </w:style>
  <w:style w:type="character" w:styleId="51">
    <w:name w:val="Emphasis"/>
    <w:basedOn w:val="47"/>
    <w:qFormat/>
    <w:locked/>
    <w:uiPriority w:val="20"/>
  </w:style>
  <w:style w:type="character" w:styleId="52">
    <w:name w:val="HTML Definition"/>
    <w:basedOn w:val="47"/>
    <w:qFormat/>
    <w:uiPriority w:val="0"/>
  </w:style>
  <w:style w:type="character" w:styleId="53">
    <w:name w:val="HTML Variable"/>
    <w:basedOn w:val="47"/>
    <w:qFormat/>
    <w:uiPriority w:val="0"/>
  </w:style>
  <w:style w:type="character" w:styleId="54">
    <w:name w:val="Hyperlink"/>
    <w:basedOn w:val="47"/>
    <w:qFormat/>
    <w:uiPriority w:val="99"/>
    <w:rPr>
      <w:rFonts w:cs="Times New Roman"/>
      <w:color w:val="0000FF"/>
      <w:u w:val="single"/>
    </w:rPr>
  </w:style>
  <w:style w:type="character" w:styleId="55">
    <w:name w:val="HTML Code"/>
    <w:basedOn w:val="47"/>
    <w:qFormat/>
    <w:uiPriority w:val="0"/>
    <w:rPr>
      <w:rFonts w:ascii="Courier New" w:hAnsi="Courier New" w:eastAsia="Courier New" w:cs="Courier New"/>
      <w:sz w:val="20"/>
    </w:rPr>
  </w:style>
  <w:style w:type="character" w:styleId="56">
    <w:name w:val="annotation reference"/>
    <w:basedOn w:val="47"/>
    <w:unhideWhenUsed/>
    <w:qFormat/>
    <w:uiPriority w:val="99"/>
    <w:rPr>
      <w:sz w:val="21"/>
      <w:szCs w:val="21"/>
    </w:rPr>
  </w:style>
  <w:style w:type="character" w:styleId="57">
    <w:name w:val="HTML Cite"/>
    <w:basedOn w:val="47"/>
    <w:qFormat/>
    <w:uiPriority w:val="99"/>
  </w:style>
  <w:style w:type="character" w:styleId="58">
    <w:name w:val="footnote reference"/>
    <w:basedOn w:val="47"/>
    <w:qFormat/>
    <w:uiPriority w:val="0"/>
    <w:rPr>
      <w:vertAlign w:val="superscript"/>
    </w:rPr>
  </w:style>
  <w:style w:type="character" w:styleId="59">
    <w:name w:val="HTML Keyboard"/>
    <w:basedOn w:val="47"/>
    <w:qFormat/>
    <w:uiPriority w:val="0"/>
    <w:rPr>
      <w:rFonts w:hint="default" w:ascii="Courier New" w:hAnsi="Courier New" w:eastAsia="Courier New" w:cs="Courier New"/>
      <w:sz w:val="20"/>
    </w:rPr>
  </w:style>
  <w:style w:type="character" w:styleId="60">
    <w:name w:val="HTML Sample"/>
    <w:basedOn w:val="47"/>
    <w:qFormat/>
    <w:uiPriority w:val="0"/>
    <w:rPr>
      <w:rFonts w:hint="default" w:ascii="Courier New" w:hAnsi="Courier New" w:eastAsia="Courier New" w:cs="Courier New"/>
    </w:rPr>
  </w:style>
  <w:style w:type="paragraph" w:customStyle="1" w:styleId="61">
    <w:name w:val="内容"/>
    <w:basedOn w:val="1"/>
    <w:qFormat/>
    <w:uiPriority w:val="0"/>
    <w:pPr>
      <w:tabs>
        <w:tab w:val="left" w:leader="middleDot" w:pos="7955"/>
      </w:tabs>
      <w:adjustRightInd w:val="0"/>
      <w:snapToGrid w:val="0"/>
      <w:spacing w:line="640" w:lineRule="exact"/>
      <w:ind w:firstLine="200" w:firstLineChars="200"/>
      <w:textAlignment w:val="center"/>
    </w:pPr>
    <w:rPr>
      <w:rFonts w:ascii="Times New Roman" w:hAnsi="Times New Roman" w:eastAsia="方正仿宋_GBK"/>
      <w:color w:val="000000"/>
      <w:sz w:val="30"/>
      <w:szCs w:val="28"/>
    </w:rPr>
  </w:style>
  <w:style w:type="character" w:customStyle="1" w:styleId="62">
    <w:name w:val="标题 1 字符"/>
    <w:basedOn w:val="47"/>
    <w:link w:val="2"/>
    <w:qFormat/>
    <w:uiPriority w:val="0"/>
    <w:rPr>
      <w:rFonts w:ascii="黑体" w:hAnsi="黑体" w:eastAsia="黑体" w:cs="黑体"/>
      <w:bCs/>
      <w:kern w:val="44"/>
      <w:sz w:val="24"/>
      <w:szCs w:val="44"/>
    </w:rPr>
  </w:style>
  <w:style w:type="character" w:customStyle="1" w:styleId="63">
    <w:name w:val="文档结构图 字符"/>
    <w:basedOn w:val="47"/>
    <w:link w:val="15"/>
    <w:qFormat/>
    <w:uiPriority w:val="99"/>
    <w:rPr>
      <w:rFonts w:ascii="宋体" w:hAnsi="Calibri" w:cs="宋体"/>
      <w:kern w:val="2"/>
      <w:sz w:val="18"/>
      <w:szCs w:val="18"/>
    </w:rPr>
  </w:style>
  <w:style w:type="character" w:customStyle="1" w:styleId="64">
    <w:name w:val="批注文字 字符"/>
    <w:basedOn w:val="47"/>
    <w:link w:val="17"/>
    <w:qFormat/>
    <w:uiPriority w:val="99"/>
    <w:rPr>
      <w:rFonts w:ascii="Calibri" w:hAnsi="Calibri" w:cs="宋体"/>
      <w:szCs w:val="24"/>
    </w:rPr>
  </w:style>
  <w:style w:type="character" w:customStyle="1" w:styleId="65">
    <w:name w:val="批注框文本 字符"/>
    <w:basedOn w:val="47"/>
    <w:link w:val="27"/>
    <w:qFormat/>
    <w:locked/>
    <w:uiPriority w:val="99"/>
    <w:rPr>
      <w:rFonts w:ascii="Calibri" w:hAnsi="Calibri" w:eastAsia="宋体" w:cs="宋体"/>
      <w:kern w:val="2"/>
      <w:sz w:val="18"/>
      <w:szCs w:val="18"/>
    </w:rPr>
  </w:style>
  <w:style w:type="character" w:customStyle="1" w:styleId="66">
    <w:name w:val="页脚 字符"/>
    <w:basedOn w:val="47"/>
    <w:link w:val="28"/>
    <w:qFormat/>
    <w:uiPriority w:val="99"/>
    <w:rPr>
      <w:rFonts w:ascii="Calibri" w:hAnsi="Calibri" w:cs="宋体"/>
      <w:sz w:val="18"/>
      <w:szCs w:val="18"/>
    </w:rPr>
  </w:style>
  <w:style w:type="character" w:customStyle="1" w:styleId="67">
    <w:name w:val="页眉 字符"/>
    <w:basedOn w:val="47"/>
    <w:link w:val="29"/>
    <w:qFormat/>
    <w:uiPriority w:val="99"/>
    <w:rPr>
      <w:rFonts w:ascii="Calibri" w:hAnsi="Calibri" w:cs="宋体"/>
      <w:sz w:val="18"/>
      <w:szCs w:val="18"/>
    </w:rPr>
  </w:style>
  <w:style w:type="character" w:customStyle="1" w:styleId="68">
    <w:name w:val="font11"/>
    <w:basedOn w:val="47"/>
    <w:qFormat/>
    <w:uiPriority w:val="99"/>
    <w:rPr>
      <w:rFonts w:ascii="仿宋_GB2312" w:eastAsia="仿宋_GB2312" w:cs="仿宋_GB2312"/>
      <w:color w:val="000000"/>
      <w:sz w:val="18"/>
      <w:szCs w:val="18"/>
      <w:u w:val="none"/>
    </w:rPr>
  </w:style>
  <w:style w:type="character" w:customStyle="1" w:styleId="69">
    <w:name w:val="font31"/>
    <w:basedOn w:val="47"/>
    <w:qFormat/>
    <w:uiPriority w:val="0"/>
    <w:rPr>
      <w:rFonts w:ascii="Times New Roman" w:hAnsi="Times New Roman" w:cs="Times New Roman"/>
      <w:color w:val="000000"/>
      <w:sz w:val="18"/>
      <w:szCs w:val="18"/>
      <w:u w:val="none"/>
    </w:rPr>
  </w:style>
  <w:style w:type="character" w:customStyle="1" w:styleId="70">
    <w:name w:val="font61"/>
    <w:basedOn w:val="47"/>
    <w:qFormat/>
    <w:uiPriority w:val="99"/>
    <w:rPr>
      <w:rFonts w:ascii="Times New Roman" w:hAnsi="Times New Roman" w:cs="Times New Roman"/>
      <w:b/>
      <w:color w:val="000000"/>
      <w:sz w:val="18"/>
      <w:szCs w:val="18"/>
      <w:u w:val="none"/>
    </w:rPr>
  </w:style>
  <w:style w:type="character" w:customStyle="1" w:styleId="71">
    <w:name w:val="font51"/>
    <w:basedOn w:val="47"/>
    <w:qFormat/>
    <w:uiPriority w:val="99"/>
    <w:rPr>
      <w:rFonts w:ascii="仿宋_GB2312" w:eastAsia="仿宋_GB2312" w:cs="仿宋_GB2312"/>
      <w:b/>
      <w:color w:val="000000"/>
      <w:sz w:val="18"/>
      <w:szCs w:val="18"/>
      <w:u w:val="none"/>
    </w:rPr>
  </w:style>
  <w:style w:type="paragraph" w:styleId="72">
    <w:name w:val="List Paragraph"/>
    <w:basedOn w:val="1"/>
    <w:link w:val="87"/>
    <w:unhideWhenUsed/>
    <w:qFormat/>
    <w:uiPriority w:val="34"/>
    <w:pPr>
      <w:ind w:firstLine="420" w:firstLineChars="200"/>
    </w:pPr>
  </w:style>
  <w:style w:type="character" w:customStyle="1" w:styleId="73">
    <w:name w:val="font21"/>
    <w:basedOn w:val="47"/>
    <w:qFormat/>
    <w:uiPriority w:val="0"/>
    <w:rPr>
      <w:rFonts w:hint="eastAsia" w:ascii="宋体" w:hAnsi="宋体" w:eastAsia="宋体" w:cs="宋体"/>
      <w:color w:val="000000"/>
      <w:sz w:val="22"/>
      <w:szCs w:val="22"/>
      <w:u w:val="none"/>
    </w:rPr>
  </w:style>
  <w:style w:type="paragraph" w:customStyle="1" w:styleId="74">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75">
    <w:name w:val="页脚 字符1"/>
    <w:qFormat/>
    <w:uiPriority w:val="99"/>
    <w:rPr>
      <w:sz w:val="18"/>
      <w:szCs w:val="18"/>
    </w:rPr>
  </w:style>
  <w:style w:type="paragraph" w:customStyle="1" w:styleId="76">
    <w:name w:val="Other|1"/>
    <w:basedOn w:val="1"/>
    <w:qFormat/>
    <w:uiPriority w:val="0"/>
    <w:rPr>
      <w:rFonts w:ascii="MingLiU" w:hAnsi="MingLiU" w:eastAsia="MingLiU" w:cs="MingLiU"/>
      <w:sz w:val="19"/>
      <w:szCs w:val="19"/>
      <w:lang w:val="zh-TW" w:eastAsia="zh-TW" w:bidi="zh-TW"/>
    </w:rPr>
  </w:style>
  <w:style w:type="paragraph" w:customStyle="1" w:styleId="77">
    <w:name w:val="WPSOffice手动目录 1"/>
    <w:qFormat/>
    <w:uiPriority w:val="0"/>
    <w:rPr>
      <w:rFonts w:ascii="Times New Roman" w:hAnsi="Times New Roman" w:eastAsia="宋体" w:cs="Times New Roman"/>
      <w:lang w:val="en-US" w:eastAsia="zh-CN" w:bidi="ar-SA"/>
    </w:rPr>
  </w:style>
  <w:style w:type="paragraph" w:customStyle="1" w:styleId="7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0">
    <w:name w:val="fontstyle01"/>
    <w:basedOn w:val="47"/>
    <w:qFormat/>
    <w:uiPriority w:val="0"/>
    <w:rPr>
      <w:rFonts w:hint="default" w:ascii="FZFSK--GBK1-0" w:hAnsi="FZFSK--GBK1-0"/>
      <w:color w:val="000000"/>
      <w:sz w:val="32"/>
      <w:szCs w:val="32"/>
    </w:rPr>
  </w:style>
  <w:style w:type="character" w:customStyle="1" w:styleId="81">
    <w:name w:val="表名 Char"/>
    <w:link w:val="82"/>
    <w:qFormat/>
    <w:uiPriority w:val="0"/>
    <w:rPr>
      <w:rFonts w:ascii="方正仿宋_GBK" w:hAnsi="方正仿宋_GBK" w:eastAsia="黑体"/>
      <w:sz w:val="24"/>
      <w:szCs w:val="28"/>
    </w:rPr>
  </w:style>
  <w:style w:type="paragraph" w:customStyle="1" w:styleId="82">
    <w:name w:val="表名"/>
    <w:basedOn w:val="1"/>
    <w:link w:val="81"/>
    <w:qFormat/>
    <w:uiPriority w:val="0"/>
    <w:pPr>
      <w:spacing w:line="540" w:lineRule="exact"/>
      <w:jc w:val="center"/>
    </w:pPr>
    <w:rPr>
      <w:rFonts w:hint="eastAsia" w:ascii="方正仿宋_GBK" w:hAnsi="方正仿宋_GBK" w:eastAsia="黑体" w:cs="Times New Roman"/>
      <w:kern w:val="0"/>
      <w:sz w:val="24"/>
      <w:szCs w:val="28"/>
    </w:rPr>
  </w:style>
  <w:style w:type="character" w:customStyle="1" w:styleId="83">
    <w:name w:val="fontstyle21"/>
    <w:basedOn w:val="47"/>
    <w:qFormat/>
    <w:uiPriority w:val="0"/>
    <w:rPr>
      <w:rFonts w:hint="default" w:ascii="TimesNewRomanPSMT" w:hAnsi="TimesNewRomanPSMT"/>
      <w:color w:val="000000"/>
      <w:sz w:val="22"/>
      <w:szCs w:val="22"/>
    </w:rPr>
  </w:style>
  <w:style w:type="character" w:customStyle="1" w:styleId="84">
    <w:name w:val="font41"/>
    <w:basedOn w:val="47"/>
    <w:qFormat/>
    <w:uiPriority w:val="0"/>
    <w:rPr>
      <w:rFonts w:hint="default" w:ascii="仿宋_GB2312" w:eastAsia="仿宋_GB2312" w:cs="仿宋_GB2312"/>
      <w:color w:val="000000"/>
      <w:sz w:val="21"/>
      <w:szCs w:val="21"/>
      <w:u w:val="none"/>
    </w:rPr>
  </w:style>
  <w:style w:type="paragraph" w:customStyle="1" w:styleId="85">
    <w:name w:val="TOC 标题1"/>
    <w:basedOn w:val="2"/>
    <w:next w:val="1"/>
    <w:unhideWhenUsed/>
    <w:qFormat/>
    <w:uiPriority w:val="39"/>
    <w:pPr>
      <w:widowControl/>
      <w:spacing w:before="480" w:line="276" w:lineRule="auto"/>
      <w:jc w:val="left"/>
      <w:outlineLvl w:val="9"/>
    </w:pPr>
    <w:rPr>
      <w:rFonts w:ascii="Cambria" w:hAnsi="Cambria" w:eastAsia="宋体" w:cs="Times New Roman"/>
      <w:b/>
      <w:color w:val="366091"/>
      <w:kern w:val="0"/>
      <w:sz w:val="28"/>
      <w:szCs w:val="28"/>
    </w:rPr>
  </w:style>
  <w:style w:type="paragraph" w:customStyle="1" w:styleId="86">
    <w:name w:val="Y 正文"/>
    <w:basedOn w:val="1"/>
    <w:qFormat/>
    <w:uiPriority w:val="0"/>
    <w:pPr>
      <w:widowControl/>
      <w:adjustRightInd w:val="0"/>
      <w:snapToGrid w:val="0"/>
      <w:spacing w:before="120" w:after="120" w:line="360" w:lineRule="auto"/>
      <w:ind w:firstLine="200" w:firstLineChars="200"/>
      <w:jc w:val="left"/>
    </w:pPr>
    <w:rPr>
      <w:rFonts w:ascii="Times New Roman" w:hAnsi="Times New Roman" w:eastAsia="仿宋_GB2312" w:cstheme="minorBidi"/>
      <w:sz w:val="28"/>
      <w:szCs w:val="22"/>
      <w:shd w:val="clear" w:color="auto" w:fill="FFFFFF"/>
    </w:rPr>
  </w:style>
  <w:style w:type="character" w:customStyle="1" w:styleId="87">
    <w:name w:val="列表段落 字符"/>
    <w:link w:val="72"/>
    <w:qFormat/>
    <w:uiPriority w:val="0"/>
    <w:rPr>
      <w:rFonts w:ascii="Calibri" w:hAnsi="Calibri" w:cs="宋体"/>
      <w:kern w:val="2"/>
      <w:sz w:val="21"/>
      <w:szCs w:val="24"/>
    </w:rPr>
  </w:style>
  <w:style w:type="paragraph" w:customStyle="1" w:styleId="88">
    <w:name w:val="msonormal"/>
    <w:basedOn w:val="1"/>
    <w:qFormat/>
    <w:uiPriority w:val="0"/>
    <w:pPr>
      <w:widowControl/>
      <w:spacing w:before="100" w:beforeAutospacing="1" w:after="100" w:afterAutospacing="1"/>
      <w:jc w:val="left"/>
    </w:pPr>
    <w:rPr>
      <w:rFonts w:ascii="宋体" w:hAnsi="宋体"/>
      <w:kern w:val="0"/>
      <w:sz w:val="24"/>
    </w:rPr>
  </w:style>
  <w:style w:type="paragraph" w:customStyle="1" w:styleId="89">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90">
    <w:name w:val="xl60"/>
    <w:basedOn w:val="1"/>
    <w:qFormat/>
    <w:uiPriority w:val="0"/>
    <w:pPr>
      <w:widowControl/>
      <w:spacing w:before="100" w:beforeAutospacing="1" w:after="100" w:afterAutospacing="1"/>
      <w:jc w:val="left"/>
      <w:textAlignment w:val="bottom"/>
    </w:pPr>
    <w:rPr>
      <w:rFonts w:ascii="宋体" w:hAnsi="宋体"/>
      <w:kern w:val="0"/>
      <w:sz w:val="24"/>
    </w:rPr>
  </w:style>
  <w:style w:type="paragraph" w:customStyle="1" w:styleId="91">
    <w:name w:val="xl61"/>
    <w:basedOn w:val="1"/>
    <w:qFormat/>
    <w:uiPriority w:val="0"/>
    <w:pPr>
      <w:widowControl/>
      <w:spacing w:before="100" w:beforeAutospacing="1" w:after="100" w:afterAutospacing="1"/>
      <w:jc w:val="left"/>
      <w:textAlignment w:val="bottom"/>
    </w:pPr>
    <w:rPr>
      <w:rFonts w:ascii="宋体" w:hAnsi="宋体"/>
      <w:kern w:val="0"/>
      <w:sz w:val="24"/>
    </w:rPr>
  </w:style>
  <w:style w:type="paragraph" w:customStyle="1" w:styleId="92">
    <w:name w:val="xl6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b/>
      <w:bCs/>
      <w:kern w:val="0"/>
      <w:sz w:val="18"/>
      <w:szCs w:val="18"/>
    </w:rPr>
  </w:style>
  <w:style w:type="paragraph" w:customStyle="1" w:styleId="93">
    <w:name w:val="xl6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b/>
      <w:bCs/>
      <w:kern w:val="0"/>
      <w:sz w:val="18"/>
      <w:szCs w:val="18"/>
    </w:rPr>
  </w:style>
  <w:style w:type="paragraph" w:customStyle="1" w:styleId="94">
    <w:name w:val="xl64"/>
    <w:basedOn w:val="1"/>
    <w:qFormat/>
    <w:uiPriority w:val="0"/>
    <w:pPr>
      <w:widowControl/>
      <w:spacing w:before="100" w:beforeAutospacing="1" w:after="100" w:afterAutospacing="1"/>
      <w:jc w:val="center"/>
      <w:textAlignment w:val="bottom"/>
    </w:pPr>
    <w:rPr>
      <w:rFonts w:ascii="宋体" w:hAnsi="宋体"/>
      <w:kern w:val="0"/>
      <w:sz w:val="24"/>
    </w:rPr>
  </w:style>
  <w:style w:type="character" w:customStyle="1" w:styleId="95">
    <w:name w:val="标题 3 字符"/>
    <w:basedOn w:val="47"/>
    <w:qFormat/>
    <w:uiPriority w:val="0"/>
    <w:rPr>
      <w:rFonts w:ascii="Calibri" w:hAnsi="Calibri" w:cs="宋体"/>
      <w:b/>
      <w:bCs/>
      <w:kern w:val="2"/>
      <w:sz w:val="32"/>
      <w:szCs w:val="32"/>
    </w:rPr>
  </w:style>
  <w:style w:type="character" w:customStyle="1" w:styleId="96">
    <w:name w:val="标题 5 字符"/>
    <w:basedOn w:val="47"/>
    <w:qFormat/>
    <w:uiPriority w:val="0"/>
    <w:rPr>
      <w:rFonts w:ascii="Calibri" w:hAnsi="Calibri" w:cs="宋体"/>
      <w:b/>
      <w:bCs/>
      <w:kern w:val="2"/>
      <w:sz w:val="28"/>
      <w:szCs w:val="28"/>
    </w:rPr>
  </w:style>
  <w:style w:type="character" w:customStyle="1" w:styleId="97">
    <w:name w:val="标题 6 字符"/>
    <w:basedOn w:val="47"/>
    <w:link w:val="7"/>
    <w:qFormat/>
    <w:uiPriority w:val="0"/>
    <w:rPr>
      <w:rFonts w:asciiTheme="majorHAnsi" w:hAnsiTheme="majorHAnsi" w:eastAsiaTheme="majorEastAsia" w:cstheme="majorBidi"/>
      <w:b/>
      <w:bCs/>
      <w:kern w:val="2"/>
      <w:sz w:val="24"/>
      <w:szCs w:val="24"/>
    </w:rPr>
  </w:style>
  <w:style w:type="character" w:customStyle="1" w:styleId="98">
    <w:name w:val="标题 7 字符"/>
    <w:basedOn w:val="47"/>
    <w:link w:val="8"/>
    <w:qFormat/>
    <w:uiPriority w:val="0"/>
    <w:rPr>
      <w:b/>
      <w:bCs/>
      <w:kern w:val="2"/>
      <w:sz w:val="24"/>
      <w:szCs w:val="24"/>
    </w:rPr>
  </w:style>
  <w:style w:type="character" w:customStyle="1" w:styleId="99">
    <w:name w:val="标题 8 字符"/>
    <w:basedOn w:val="47"/>
    <w:link w:val="9"/>
    <w:qFormat/>
    <w:uiPriority w:val="0"/>
    <w:rPr>
      <w:rFonts w:ascii="Arial" w:hAnsi="Arial" w:eastAsia="黑体"/>
      <w:kern w:val="2"/>
      <w:sz w:val="24"/>
      <w:szCs w:val="24"/>
    </w:rPr>
  </w:style>
  <w:style w:type="character" w:customStyle="1" w:styleId="100">
    <w:name w:val="标题 9 字符"/>
    <w:basedOn w:val="47"/>
    <w:link w:val="10"/>
    <w:qFormat/>
    <w:uiPriority w:val="0"/>
    <w:rPr>
      <w:rFonts w:ascii="Arial" w:hAnsi="Arial" w:eastAsia="黑体"/>
      <w:kern w:val="2"/>
      <w:sz w:val="24"/>
      <w:szCs w:val="21"/>
    </w:rPr>
  </w:style>
  <w:style w:type="character" w:customStyle="1" w:styleId="101">
    <w:name w:val="正文文本缩进 字符"/>
    <w:basedOn w:val="47"/>
    <w:semiHidden/>
    <w:qFormat/>
    <w:uiPriority w:val="0"/>
    <w:rPr>
      <w:rFonts w:ascii="Calibri" w:hAnsi="Calibri" w:cs="宋体"/>
      <w:kern w:val="2"/>
      <w:sz w:val="21"/>
      <w:szCs w:val="24"/>
    </w:rPr>
  </w:style>
  <w:style w:type="character" w:customStyle="1" w:styleId="102">
    <w:name w:val="正文文本缩进 2 字符"/>
    <w:basedOn w:val="47"/>
    <w:link w:val="26"/>
    <w:qFormat/>
    <w:uiPriority w:val="0"/>
    <w:rPr>
      <w:rFonts w:ascii="宋体"/>
      <w:kern w:val="2"/>
      <w:sz w:val="24"/>
    </w:rPr>
  </w:style>
  <w:style w:type="character" w:customStyle="1" w:styleId="103">
    <w:name w:val="脚注文本 字符"/>
    <w:basedOn w:val="47"/>
    <w:link w:val="33"/>
    <w:qFormat/>
    <w:uiPriority w:val="0"/>
    <w:rPr>
      <w:kern w:val="2"/>
      <w:sz w:val="18"/>
    </w:rPr>
  </w:style>
  <w:style w:type="character" w:customStyle="1" w:styleId="104">
    <w:name w:val="标题 字符"/>
    <w:basedOn w:val="47"/>
    <w:link w:val="42"/>
    <w:qFormat/>
    <w:uiPriority w:val="10"/>
    <w:rPr>
      <w:rFonts w:asciiTheme="majorHAnsi" w:hAnsiTheme="majorHAnsi" w:eastAsiaTheme="majorEastAsia" w:cstheme="majorBidi"/>
      <w:b/>
      <w:bCs/>
      <w:kern w:val="2"/>
      <w:sz w:val="32"/>
      <w:szCs w:val="32"/>
    </w:rPr>
  </w:style>
  <w:style w:type="character" w:customStyle="1" w:styleId="105">
    <w:name w:val="正文文本首行缩进 2 字符"/>
    <w:basedOn w:val="101"/>
    <w:link w:val="44"/>
    <w:qFormat/>
    <w:uiPriority w:val="99"/>
    <w:rPr>
      <w:rFonts w:ascii="Calibri" w:hAnsi="Calibri" w:cs="宋体"/>
      <w:kern w:val="2"/>
      <w:sz w:val="21"/>
      <w:szCs w:val="24"/>
    </w:rPr>
  </w:style>
  <w:style w:type="paragraph" w:customStyle="1" w:styleId="106">
    <w:name w:val="TOC Heading1"/>
    <w:basedOn w:val="2"/>
    <w:next w:val="1"/>
    <w:unhideWhenUsed/>
    <w:qFormat/>
    <w:uiPriority w:val="39"/>
    <w:pPr>
      <w:widowControl/>
      <w:spacing w:before="480" w:line="276" w:lineRule="auto"/>
      <w:jc w:val="left"/>
      <w:outlineLvl w:val="9"/>
    </w:pPr>
    <w:rPr>
      <w:rFonts w:ascii="Cambria" w:hAnsi="Cambria" w:eastAsia="宋体" w:cs="Times New Roman"/>
      <w:b/>
      <w:color w:val="366091"/>
      <w:kern w:val="0"/>
      <w:sz w:val="28"/>
      <w:szCs w:val="28"/>
    </w:rPr>
  </w:style>
  <w:style w:type="paragraph" w:customStyle="1" w:styleId="107">
    <w:name w:val="缺省文本"/>
    <w:basedOn w:val="1"/>
    <w:qFormat/>
    <w:uiPriority w:val="0"/>
    <w:pPr>
      <w:autoSpaceDE w:val="0"/>
      <w:autoSpaceDN w:val="0"/>
      <w:adjustRightInd w:val="0"/>
      <w:jc w:val="left"/>
    </w:pPr>
    <w:rPr>
      <w:rFonts w:ascii="Times New Roman" w:hAnsi="Times New Roman" w:cs="Times New Roman"/>
      <w:kern w:val="0"/>
      <w:sz w:val="24"/>
      <w:szCs w:val="20"/>
    </w:rPr>
  </w:style>
  <w:style w:type="paragraph" w:customStyle="1" w:styleId="108">
    <w:name w:val="Z正文"/>
    <w:qFormat/>
    <w:uiPriority w:val="0"/>
    <w:pPr>
      <w:spacing w:line="360" w:lineRule="auto"/>
      <w:ind w:firstLine="480" w:firstLineChars="200"/>
      <w:jc w:val="both"/>
    </w:pPr>
    <w:rPr>
      <w:rFonts w:ascii="宋体" w:hAnsi="宋体" w:eastAsia="宋体" w:cs="Calibri"/>
      <w:sz w:val="24"/>
      <w:lang w:val="en-US" w:eastAsia="zh-CN" w:bidi="ar-SA"/>
    </w:rPr>
  </w:style>
  <w:style w:type="character" w:customStyle="1" w:styleId="109">
    <w:name w:val="标题 2 字符"/>
    <w:link w:val="3"/>
    <w:qFormat/>
    <w:uiPriority w:val="0"/>
    <w:rPr>
      <w:rFonts w:ascii="Arial" w:hAnsi="Arial" w:eastAsia="黑体" w:cs="宋体"/>
      <w:b/>
      <w:kern w:val="2"/>
      <w:sz w:val="32"/>
      <w:szCs w:val="24"/>
    </w:rPr>
  </w:style>
  <w:style w:type="paragraph" w:customStyle="1" w:styleId="110">
    <w:name w:val="p0"/>
    <w:basedOn w:val="1"/>
    <w:qFormat/>
    <w:uiPriority w:val="0"/>
    <w:pPr>
      <w:widowControl/>
    </w:pPr>
    <w:rPr>
      <w:rFonts w:ascii="Times New Roman" w:hAnsi="Times New Roman" w:cs="Times New Roman"/>
      <w:kern w:val="0"/>
      <w:szCs w:val="21"/>
    </w:rPr>
  </w:style>
  <w:style w:type="paragraph" w:customStyle="1" w:styleId="111">
    <w:name w:val="Normal_2"/>
    <w:next w:val="15"/>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12">
    <w:name w:val="norows7"/>
    <w:basedOn w:val="47"/>
    <w:qFormat/>
    <w:uiPriority w:val="0"/>
  </w:style>
  <w:style w:type="character" w:customStyle="1" w:styleId="113">
    <w:name w:val="标题 4 字符"/>
    <w:basedOn w:val="47"/>
    <w:link w:val="5"/>
    <w:qFormat/>
    <w:uiPriority w:val="0"/>
    <w:rPr>
      <w:rFonts w:ascii="Arial" w:hAnsi="Arial" w:eastAsia="黑体" w:cs="宋体"/>
      <w:b/>
      <w:kern w:val="2"/>
      <w:sz w:val="28"/>
      <w:szCs w:val="24"/>
    </w:rPr>
  </w:style>
  <w:style w:type="character" w:customStyle="1" w:styleId="114">
    <w:name w:val="纯文本 字符"/>
    <w:link w:val="23"/>
    <w:qFormat/>
    <w:uiPriority w:val="99"/>
    <w:rPr>
      <w:rFonts w:ascii="宋体" w:hAnsi="Courier New" w:cs="Courier New"/>
      <w:kern w:val="2"/>
      <w:sz w:val="21"/>
      <w:szCs w:val="21"/>
    </w:rPr>
  </w:style>
  <w:style w:type="paragraph" w:customStyle="1" w:styleId="115">
    <w:name w:val="Normal_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6">
    <w:name w:val="纯文本 字符2"/>
    <w:qFormat/>
    <w:uiPriority w:val="0"/>
    <w:rPr>
      <w:rFonts w:ascii="宋体" w:eastAsia="宋体"/>
    </w:rPr>
  </w:style>
  <w:style w:type="character" w:customStyle="1" w:styleId="117">
    <w:name w:val="标题 5 字符1"/>
    <w:basedOn w:val="47"/>
    <w:link w:val="6"/>
    <w:qFormat/>
    <w:uiPriority w:val="0"/>
    <w:rPr>
      <w:b/>
      <w:bCs/>
      <w:kern w:val="2"/>
      <w:sz w:val="28"/>
      <w:szCs w:val="28"/>
    </w:rPr>
  </w:style>
  <w:style w:type="character" w:customStyle="1" w:styleId="118">
    <w:name w:val="正文缩进 字符"/>
    <w:basedOn w:val="47"/>
    <w:link w:val="12"/>
    <w:qFormat/>
    <w:uiPriority w:val="99"/>
    <w:rPr>
      <w:kern w:val="2"/>
      <w:sz w:val="21"/>
    </w:rPr>
  </w:style>
  <w:style w:type="character" w:customStyle="1" w:styleId="119">
    <w:name w:val="标题 3 Char"/>
    <w:qFormat/>
    <w:uiPriority w:val="99"/>
    <w:rPr>
      <w:rFonts w:ascii="Arial" w:hAnsi="Arial" w:eastAsia="黑体"/>
      <w:b/>
      <w:sz w:val="28"/>
      <w:lang w:val="en-US" w:eastAsia="zh-CN"/>
    </w:rPr>
  </w:style>
  <w:style w:type="paragraph" w:customStyle="1" w:styleId="120">
    <w:name w:val="正文首行缩进 21"/>
    <w:basedOn w:val="19"/>
    <w:qFormat/>
    <w:uiPriority w:val="0"/>
    <w:pPr>
      <w:widowControl/>
      <w:overflowPunct w:val="0"/>
      <w:autoSpaceDE w:val="0"/>
      <w:autoSpaceDN w:val="0"/>
      <w:adjustRightInd w:val="0"/>
      <w:spacing w:before="100" w:beforeAutospacing="1" w:after="120" w:line="360" w:lineRule="auto"/>
      <w:ind w:firstLine="420" w:firstLineChars="200"/>
      <w:textAlignment w:val="baseline"/>
    </w:pPr>
    <w:rPr>
      <w:rFonts w:ascii="宋体" w:hAnsi="MS Sans Serif" w:cs="宋体"/>
      <w:spacing w:val="12"/>
      <w:kern w:val="0"/>
      <w:sz w:val="24"/>
      <w:szCs w:val="24"/>
    </w:rPr>
  </w:style>
  <w:style w:type="character" w:customStyle="1" w:styleId="121">
    <w:name w:val="文档结构图 Char"/>
    <w:basedOn w:val="47"/>
    <w:qFormat/>
    <w:uiPriority w:val="99"/>
    <w:rPr>
      <w:rFonts w:hint="eastAsia" w:ascii="宋体" w:hAnsi="Calibri" w:eastAsia="宋体" w:cs="Times New Roman"/>
      <w:kern w:val="2"/>
      <w:sz w:val="18"/>
      <w:szCs w:val="18"/>
    </w:rPr>
  </w:style>
  <w:style w:type="character" w:customStyle="1" w:styleId="122">
    <w:name w:val="*正文 Char"/>
    <w:link w:val="123"/>
    <w:qFormat/>
    <w:uiPriority w:val="0"/>
    <w:rPr>
      <w:rFonts w:ascii="Calibri" w:hAnsi="Calibri"/>
      <w:kern w:val="2"/>
      <w:sz w:val="24"/>
      <w:szCs w:val="24"/>
    </w:rPr>
  </w:style>
  <w:style w:type="paragraph" w:customStyle="1" w:styleId="123">
    <w:name w:val="*正文"/>
    <w:basedOn w:val="1"/>
    <w:link w:val="122"/>
    <w:qFormat/>
    <w:uiPriority w:val="0"/>
    <w:pPr>
      <w:spacing w:line="360" w:lineRule="auto"/>
      <w:ind w:firstLine="200" w:firstLineChars="200"/>
    </w:pPr>
    <w:rPr>
      <w:rFonts w:cs="Times New Roman"/>
      <w:sz w:val="24"/>
    </w:rPr>
  </w:style>
  <w:style w:type="character" w:customStyle="1" w:styleId="124">
    <w:name w:val="日期 字符"/>
    <w:basedOn w:val="47"/>
    <w:semiHidden/>
    <w:qFormat/>
    <w:uiPriority w:val="99"/>
    <w:rPr>
      <w:rFonts w:ascii="Calibri" w:hAnsi="Calibri" w:cs="宋体"/>
      <w:kern w:val="2"/>
      <w:sz w:val="21"/>
      <w:szCs w:val="24"/>
    </w:rPr>
  </w:style>
  <w:style w:type="character" w:customStyle="1" w:styleId="125">
    <w:name w:val="批注主题 字符"/>
    <w:basedOn w:val="64"/>
    <w:semiHidden/>
    <w:qFormat/>
    <w:uiPriority w:val="99"/>
    <w:rPr>
      <w:rFonts w:ascii="Calibri" w:hAnsi="Calibri" w:cs="宋体"/>
      <w:b/>
      <w:bCs/>
      <w:kern w:val="2"/>
      <w:sz w:val="21"/>
      <w:szCs w:val="24"/>
    </w:rPr>
  </w:style>
  <w:style w:type="character" w:customStyle="1" w:styleId="126">
    <w:name w:val="标题 2 字符1"/>
    <w:qFormat/>
    <w:uiPriority w:val="99"/>
    <w:rPr>
      <w:rFonts w:ascii="Cambria" w:hAnsi="Cambria" w:eastAsia="黑体" w:cs="Times New Roman"/>
      <w:b/>
      <w:bCs/>
      <w:kern w:val="0"/>
      <w:sz w:val="32"/>
      <w:szCs w:val="32"/>
    </w:rPr>
  </w:style>
  <w:style w:type="character" w:customStyle="1" w:styleId="127">
    <w:name w:val="标题 3 字符1"/>
    <w:link w:val="4"/>
    <w:qFormat/>
    <w:uiPriority w:val="0"/>
    <w:rPr>
      <w:rFonts w:ascii="宋体"/>
      <w:b/>
      <w:kern w:val="2"/>
      <w:sz w:val="24"/>
    </w:rPr>
  </w:style>
  <w:style w:type="character" w:customStyle="1" w:styleId="128">
    <w:name w:val="标题 4 字符1"/>
    <w:qFormat/>
    <w:uiPriority w:val="9"/>
    <w:rPr>
      <w:rFonts w:ascii="Cambria" w:hAnsi="Cambria" w:eastAsia="宋体" w:cs="Times New Roman"/>
      <w:b/>
      <w:bCs/>
      <w:sz w:val="28"/>
      <w:szCs w:val="28"/>
    </w:rPr>
  </w:style>
  <w:style w:type="character" w:customStyle="1" w:styleId="129">
    <w:name w:val="文档结构图 字符1"/>
    <w:semiHidden/>
    <w:qFormat/>
    <w:uiPriority w:val="99"/>
    <w:rPr>
      <w:rFonts w:ascii="宋体" w:hAnsi="Calibri" w:eastAsia="宋体" w:cs="Calibri"/>
      <w:sz w:val="18"/>
      <w:szCs w:val="18"/>
    </w:rPr>
  </w:style>
  <w:style w:type="character" w:customStyle="1" w:styleId="130">
    <w:name w:val="批注文字 字符1"/>
    <w:semiHidden/>
    <w:qFormat/>
    <w:uiPriority w:val="99"/>
    <w:rPr>
      <w:rFonts w:cs="Calibri"/>
      <w:kern w:val="2"/>
      <w:sz w:val="21"/>
      <w:szCs w:val="21"/>
    </w:rPr>
  </w:style>
  <w:style w:type="character" w:customStyle="1" w:styleId="131">
    <w:name w:val="正文文本缩进 字符1"/>
    <w:link w:val="19"/>
    <w:qFormat/>
    <w:uiPriority w:val="0"/>
    <w:rPr>
      <w:kern w:val="2"/>
      <w:sz w:val="21"/>
    </w:rPr>
  </w:style>
  <w:style w:type="character" w:customStyle="1" w:styleId="132">
    <w:name w:val="纯文本 字符1"/>
    <w:qFormat/>
    <w:uiPriority w:val="0"/>
    <w:rPr>
      <w:rFonts w:ascii="宋体" w:hAnsi="Courier New" w:eastAsia="宋体" w:cs="Times New Roman"/>
      <w:kern w:val="0"/>
      <w:szCs w:val="21"/>
    </w:rPr>
  </w:style>
  <w:style w:type="character" w:customStyle="1" w:styleId="133">
    <w:name w:val="日期 字符1"/>
    <w:link w:val="25"/>
    <w:qFormat/>
    <w:uiPriority w:val="99"/>
    <w:rPr>
      <w:rFonts w:ascii="Calibri" w:hAnsi="Calibri"/>
      <w:szCs w:val="21"/>
    </w:rPr>
  </w:style>
  <w:style w:type="character" w:customStyle="1" w:styleId="134">
    <w:name w:val="批注框文本 字符1"/>
    <w:semiHidden/>
    <w:qFormat/>
    <w:uiPriority w:val="99"/>
    <w:rPr>
      <w:rFonts w:ascii="Calibri" w:hAnsi="Calibri" w:eastAsia="宋体" w:cs="Calibri"/>
      <w:sz w:val="18"/>
      <w:szCs w:val="18"/>
    </w:rPr>
  </w:style>
  <w:style w:type="character" w:customStyle="1" w:styleId="135">
    <w:name w:val="页眉 字符1"/>
    <w:qFormat/>
    <w:uiPriority w:val="99"/>
    <w:rPr>
      <w:kern w:val="2"/>
      <w:sz w:val="18"/>
    </w:rPr>
  </w:style>
  <w:style w:type="character" w:customStyle="1" w:styleId="136">
    <w:name w:val="批注主题 字符1"/>
    <w:link w:val="43"/>
    <w:qFormat/>
    <w:uiPriority w:val="99"/>
    <w:rPr>
      <w:b/>
      <w:bCs/>
      <w:kern w:val="2"/>
      <w:sz w:val="21"/>
      <w:szCs w:val="21"/>
    </w:rPr>
  </w:style>
  <w:style w:type="character" w:customStyle="1" w:styleId="137">
    <w:name w:val="已访问的超链接1"/>
    <w:unhideWhenUsed/>
    <w:qFormat/>
    <w:uiPriority w:val="99"/>
    <w:rPr>
      <w:color w:val="444444"/>
      <w:u w:val="none"/>
    </w:rPr>
  </w:style>
  <w:style w:type="character" w:customStyle="1" w:styleId="138">
    <w:name w:val="不明显强调1"/>
    <w:qFormat/>
    <w:uiPriority w:val="19"/>
    <w:rPr>
      <w:rFonts w:eastAsia="仿宋"/>
      <w:iCs/>
      <w:color w:val="auto"/>
      <w:sz w:val="21"/>
    </w:rPr>
  </w:style>
  <w:style w:type="character" w:customStyle="1" w:styleId="139">
    <w:name w:val="无间隔 Char"/>
    <w:link w:val="140"/>
    <w:qFormat/>
    <w:uiPriority w:val="1"/>
    <w:rPr>
      <w:rFonts w:eastAsia="仿宋_GB2312"/>
      <w:kern w:val="2"/>
      <w:sz w:val="21"/>
      <w:szCs w:val="22"/>
    </w:rPr>
  </w:style>
  <w:style w:type="paragraph" w:customStyle="1" w:styleId="140">
    <w:name w:val="无间隔1"/>
    <w:link w:val="139"/>
    <w:qFormat/>
    <w:uiPriority w:val="1"/>
    <w:pPr>
      <w:widowControl w:val="0"/>
      <w:jc w:val="center"/>
    </w:pPr>
    <w:rPr>
      <w:rFonts w:ascii="Times New Roman" w:hAnsi="Times New Roman" w:eastAsia="仿宋_GB2312" w:cs="Times New Roman"/>
      <w:kern w:val="2"/>
      <w:sz w:val="21"/>
      <w:szCs w:val="22"/>
      <w:lang w:val="en-US" w:eastAsia="zh-CN" w:bidi="ar-SA"/>
    </w:rPr>
  </w:style>
  <w:style w:type="character" w:styleId="141">
    <w:name w:val="Placeholder Text"/>
    <w:unhideWhenUsed/>
    <w:qFormat/>
    <w:uiPriority w:val="99"/>
    <w:rPr>
      <w:color w:val="808080"/>
    </w:rPr>
  </w:style>
  <w:style w:type="character" w:customStyle="1" w:styleId="142">
    <w:name w:val="c-icon14"/>
    <w:basedOn w:val="47"/>
    <w:qFormat/>
    <w:uiPriority w:val="0"/>
  </w:style>
  <w:style w:type="character" w:customStyle="1" w:styleId="143">
    <w:name w:val="表格标准字体 Char"/>
    <w:link w:val="144"/>
    <w:qFormat/>
    <w:uiPriority w:val="0"/>
    <w:rPr>
      <w:rFonts w:ascii="黑体" w:hAnsi="黑体" w:eastAsia="黑体"/>
      <w:sz w:val="21"/>
      <w:szCs w:val="21"/>
    </w:rPr>
  </w:style>
  <w:style w:type="paragraph" w:customStyle="1" w:styleId="144">
    <w:name w:val="表格标准字体"/>
    <w:basedOn w:val="1"/>
    <w:link w:val="143"/>
    <w:qFormat/>
    <w:uiPriority w:val="0"/>
    <w:pPr>
      <w:jc w:val="center"/>
    </w:pPr>
    <w:rPr>
      <w:rFonts w:ascii="黑体" w:hAnsi="黑体" w:eastAsia="黑体" w:cs="Times New Roman"/>
      <w:kern w:val="0"/>
      <w:szCs w:val="21"/>
    </w:rPr>
  </w:style>
  <w:style w:type="character" w:customStyle="1" w:styleId="145">
    <w:name w:val="day"/>
    <w:qFormat/>
    <w:uiPriority w:val="0"/>
    <w:rPr>
      <w:sz w:val="22"/>
      <w:szCs w:val="22"/>
    </w:rPr>
  </w:style>
  <w:style w:type="character" w:customStyle="1" w:styleId="146">
    <w:name w:val="段 Char"/>
    <w:link w:val="147"/>
    <w:qFormat/>
    <w:locked/>
    <w:uiPriority w:val="0"/>
    <w:rPr>
      <w:rFonts w:ascii="宋体"/>
      <w:sz w:val="21"/>
    </w:rPr>
  </w:style>
  <w:style w:type="paragraph" w:customStyle="1" w:styleId="147">
    <w:name w:val="段"/>
    <w:link w:val="146"/>
    <w:unhideWhenUsed/>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48">
    <w:name w:val="ask-title"/>
    <w:basedOn w:val="47"/>
    <w:qFormat/>
    <w:uiPriority w:val="0"/>
  </w:style>
  <w:style w:type="character" w:customStyle="1" w:styleId="149">
    <w:name w:val="段 Char Char"/>
    <w:qFormat/>
    <w:uiPriority w:val="0"/>
    <w:rPr>
      <w:rFonts w:ascii="宋体"/>
      <w:sz w:val="21"/>
    </w:rPr>
  </w:style>
  <w:style w:type="paragraph" w:customStyle="1" w:styleId="150">
    <w:name w:val="目录 81"/>
    <w:basedOn w:val="1"/>
    <w:next w:val="1"/>
    <w:unhideWhenUsed/>
    <w:qFormat/>
    <w:uiPriority w:val="39"/>
    <w:pPr>
      <w:ind w:left="1470"/>
      <w:jc w:val="left"/>
    </w:pPr>
    <w:rPr>
      <w:rFonts w:cs="Calibri"/>
      <w:sz w:val="18"/>
      <w:szCs w:val="18"/>
    </w:rPr>
  </w:style>
  <w:style w:type="paragraph" w:customStyle="1" w:styleId="151">
    <w:name w:val="列出段落3"/>
    <w:basedOn w:val="1"/>
    <w:qFormat/>
    <w:uiPriority w:val="99"/>
    <w:pPr>
      <w:ind w:firstLine="420" w:firstLineChars="200"/>
    </w:pPr>
    <w:rPr>
      <w:rFonts w:cs="Calibri"/>
      <w:szCs w:val="21"/>
    </w:rPr>
  </w:style>
  <w:style w:type="paragraph" w:customStyle="1" w:styleId="152">
    <w:name w:val="章标题"/>
    <w:next w:val="147"/>
    <w:qFormat/>
    <w:uiPriority w:val="99"/>
    <w:pPr>
      <w:spacing w:beforeLines="50" w:afterLines="50"/>
      <w:ind w:left="142"/>
      <w:jc w:val="both"/>
      <w:outlineLvl w:val="1"/>
    </w:pPr>
    <w:rPr>
      <w:rFonts w:ascii="黑体" w:hAnsi="Times New Roman" w:eastAsia="黑体" w:cs="Times New Roman"/>
      <w:sz w:val="21"/>
      <w:szCs w:val="22"/>
      <w:lang w:val="en-US" w:eastAsia="zh-CN" w:bidi="ar-SA"/>
    </w:rPr>
  </w:style>
  <w:style w:type="paragraph" w:customStyle="1" w:styleId="153">
    <w:name w:val="目录 91"/>
    <w:basedOn w:val="1"/>
    <w:next w:val="1"/>
    <w:unhideWhenUsed/>
    <w:qFormat/>
    <w:uiPriority w:val="39"/>
    <w:pPr>
      <w:ind w:left="1680"/>
      <w:jc w:val="left"/>
    </w:pPr>
    <w:rPr>
      <w:rFonts w:cs="Calibri"/>
      <w:sz w:val="18"/>
      <w:szCs w:val="18"/>
    </w:rPr>
  </w:style>
  <w:style w:type="paragraph" w:customStyle="1" w:styleId="154">
    <w:name w:val="目录 41"/>
    <w:basedOn w:val="1"/>
    <w:next w:val="1"/>
    <w:unhideWhenUsed/>
    <w:qFormat/>
    <w:uiPriority w:val="39"/>
    <w:pPr>
      <w:ind w:left="630"/>
      <w:jc w:val="left"/>
    </w:pPr>
    <w:rPr>
      <w:rFonts w:cs="Calibri"/>
      <w:sz w:val="18"/>
      <w:szCs w:val="18"/>
    </w:rPr>
  </w:style>
  <w:style w:type="paragraph" w:customStyle="1" w:styleId="155">
    <w:name w:val="目录 21"/>
    <w:basedOn w:val="1"/>
    <w:next w:val="1"/>
    <w:unhideWhenUsed/>
    <w:qFormat/>
    <w:uiPriority w:val="39"/>
    <w:pPr>
      <w:ind w:left="210"/>
      <w:jc w:val="left"/>
    </w:pPr>
    <w:rPr>
      <w:rFonts w:cs="Calibri"/>
      <w:smallCaps/>
      <w:sz w:val="20"/>
      <w:szCs w:val="20"/>
    </w:rPr>
  </w:style>
  <w:style w:type="paragraph" w:customStyle="1" w:styleId="156">
    <w:name w:val="目录 51"/>
    <w:basedOn w:val="1"/>
    <w:next w:val="1"/>
    <w:unhideWhenUsed/>
    <w:qFormat/>
    <w:uiPriority w:val="39"/>
    <w:pPr>
      <w:ind w:left="840"/>
      <w:jc w:val="left"/>
    </w:pPr>
    <w:rPr>
      <w:rFonts w:cs="Calibri"/>
      <w:sz w:val="18"/>
      <w:szCs w:val="18"/>
    </w:rPr>
  </w:style>
  <w:style w:type="paragraph" w:customStyle="1" w:styleId="157">
    <w:name w:val="目录 71"/>
    <w:basedOn w:val="1"/>
    <w:next w:val="1"/>
    <w:unhideWhenUsed/>
    <w:qFormat/>
    <w:uiPriority w:val="39"/>
    <w:pPr>
      <w:ind w:left="1260"/>
      <w:jc w:val="left"/>
    </w:pPr>
    <w:rPr>
      <w:rFonts w:cs="Calibri"/>
      <w:sz w:val="18"/>
      <w:szCs w:val="18"/>
    </w:rPr>
  </w:style>
  <w:style w:type="paragraph" w:customStyle="1" w:styleId="158">
    <w:name w:val="目录 61"/>
    <w:basedOn w:val="1"/>
    <w:next w:val="1"/>
    <w:unhideWhenUsed/>
    <w:qFormat/>
    <w:uiPriority w:val="39"/>
    <w:pPr>
      <w:ind w:left="1050"/>
      <w:jc w:val="left"/>
    </w:pPr>
    <w:rPr>
      <w:rFonts w:cs="Calibri"/>
      <w:sz w:val="18"/>
      <w:szCs w:val="18"/>
    </w:rPr>
  </w:style>
  <w:style w:type="paragraph" w:customStyle="1" w:styleId="159">
    <w:name w:val="正文首行缩进1"/>
    <w:basedOn w:val="18"/>
    <w:unhideWhenUsed/>
    <w:qFormat/>
    <w:uiPriority w:val="99"/>
    <w:pPr>
      <w:ind w:firstLine="420"/>
    </w:pPr>
    <w:rPr>
      <w:szCs w:val="20"/>
    </w:rPr>
  </w:style>
  <w:style w:type="paragraph" w:customStyle="1" w:styleId="160">
    <w:name w:val="目录 31"/>
    <w:basedOn w:val="1"/>
    <w:next w:val="1"/>
    <w:unhideWhenUsed/>
    <w:qFormat/>
    <w:uiPriority w:val="39"/>
    <w:pPr>
      <w:spacing w:line="500" w:lineRule="exact"/>
      <w:ind w:left="420"/>
      <w:jc w:val="left"/>
    </w:pPr>
    <w:rPr>
      <w:rFonts w:eastAsia="仿宋_GB2312" w:cs="Calibri"/>
      <w:b/>
      <w:iCs/>
      <w:sz w:val="32"/>
      <w:szCs w:val="20"/>
    </w:rPr>
  </w:style>
  <w:style w:type="paragraph" w:customStyle="1" w:styleId="161">
    <w:name w:val="目录 11"/>
    <w:basedOn w:val="1"/>
    <w:next w:val="1"/>
    <w:unhideWhenUsed/>
    <w:qFormat/>
    <w:uiPriority w:val="39"/>
    <w:pPr>
      <w:spacing w:before="120" w:after="120"/>
      <w:jc w:val="left"/>
    </w:pPr>
    <w:rPr>
      <w:rFonts w:cs="Calibri"/>
      <w:b/>
      <w:bCs/>
      <w:caps/>
      <w:sz w:val="20"/>
      <w:szCs w:val="20"/>
    </w:rPr>
  </w:style>
  <w:style w:type="paragraph" w:customStyle="1" w:styleId="162">
    <w:name w:val="封面标准名称"/>
    <w:qFormat/>
    <w:uiPriority w:val="99"/>
    <w:pPr>
      <w:widowControl w:val="0"/>
      <w:spacing w:line="680" w:lineRule="exact"/>
      <w:jc w:val="center"/>
      <w:textAlignment w:val="center"/>
    </w:pPr>
    <w:rPr>
      <w:rFonts w:ascii="黑体" w:hAnsi="Times New Roman" w:eastAsia="黑体" w:cs="Times New Roman"/>
      <w:sz w:val="52"/>
      <w:szCs w:val="22"/>
      <w:lang w:val="en-US" w:eastAsia="zh-CN" w:bidi="ar-SA"/>
    </w:rPr>
  </w:style>
  <w:style w:type="paragraph" w:customStyle="1" w:styleId="163">
    <w:name w:val="表体文字"/>
    <w:basedOn w:val="1"/>
    <w:qFormat/>
    <w:uiPriority w:val="0"/>
    <w:pPr>
      <w:snapToGrid w:val="0"/>
    </w:pPr>
    <w:rPr>
      <w:rFonts w:ascii="宋体" w:hAnsi="宋体"/>
      <w:kern w:val="0"/>
      <w:sz w:val="18"/>
      <w:szCs w:val="21"/>
    </w:rPr>
  </w:style>
  <w:style w:type="paragraph" w:customStyle="1" w:styleId="164">
    <w:name w:val="注×："/>
    <w:unhideWhenUsed/>
    <w:qFormat/>
    <w:uiPriority w:val="99"/>
    <w:pPr>
      <w:widowControl w:val="0"/>
      <w:tabs>
        <w:tab w:val="left" w:pos="630"/>
        <w:tab w:val="left" w:pos="900"/>
      </w:tabs>
      <w:autoSpaceDE w:val="0"/>
      <w:autoSpaceDN w:val="0"/>
      <w:ind w:left="900" w:hanging="500"/>
      <w:jc w:val="both"/>
    </w:pPr>
    <w:rPr>
      <w:rFonts w:ascii="宋体" w:hAnsi="Times New Roman" w:eastAsia="宋体" w:cs="Times New Roman"/>
      <w:sz w:val="18"/>
      <w:lang w:val="en-US" w:eastAsia="zh-CN" w:bidi="ar-SA"/>
    </w:rPr>
  </w:style>
  <w:style w:type="paragraph" w:customStyle="1" w:styleId="165">
    <w:name w:val="Char Char Char"/>
    <w:basedOn w:val="1"/>
    <w:qFormat/>
    <w:uiPriority w:val="0"/>
    <w:pPr>
      <w:snapToGrid w:val="0"/>
      <w:spacing w:line="360" w:lineRule="auto"/>
      <w:ind w:firstLine="200" w:firstLineChars="200"/>
    </w:pPr>
    <w:rPr>
      <w:rFonts w:ascii="Times New Roman" w:hAnsi="Times New Roman" w:eastAsia="仿宋_GB2312" w:cs="Times New Roman"/>
      <w:sz w:val="24"/>
    </w:rPr>
  </w:style>
  <w:style w:type="paragraph" w:customStyle="1" w:styleId="166">
    <w:name w:val="一级条标题"/>
    <w:next w:val="147"/>
    <w:qFormat/>
    <w:uiPriority w:val="99"/>
    <w:pPr>
      <w:ind w:left="142"/>
      <w:outlineLvl w:val="2"/>
    </w:pPr>
    <w:rPr>
      <w:rFonts w:ascii="Times New Roman" w:hAnsi="Times New Roman" w:eastAsia="黑体" w:cs="Times New Roman"/>
      <w:sz w:val="21"/>
      <w:szCs w:val="22"/>
      <w:lang w:val="en-US" w:eastAsia="zh-CN" w:bidi="ar-SA"/>
    </w:rPr>
  </w:style>
  <w:style w:type="paragraph" w:customStyle="1" w:styleId="167">
    <w:name w:val="列出段落1"/>
    <w:basedOn w:val="1"/>
    <w:qFormat/>
    <w:uiPriority w:val="34"/>
    <w:pPr>
      <w:ind w:firstLine="420" w:firstLineChars="200"/>
    </w:pPr>
    <w:rPr>
      <w:rFonts w:cs="Times New Roman"/>
      <w:szCs w:val="22"/>
    </w:rPr>
  </w:style>
  <w:style w:type="paragraph" w:customStyle="1" w:styleId="168">
    <w:name w:val="题注-居中"/>
    <w:basedOn w:val="13"/>
    <w:qFormat/>
    <w:uiPriority w:val="0"/>
    <w:pPr>
      <w:jc w:val="center"/>
    </w:pPr>
    <w:rPr>
      <w:rFonts w:ascii="黑体" w:hAnsi="黑体" w:cs="宋体"/>
      <w:sz w:val="21"/>
    </w:rPr>
  </w:style>
  <w:style w:type="paragraph" w:customStyle="1" w:styleId="169">
    <w:name w:val="列出段落2"/>
    <w:basedOn w:val="1"/>
    <w:link w:val="180"/>
    <w:qFormat/>
    <w:uiPriority w:val="34"/>
    <w:pPr>
      <w:widowControl/>
      <w:ind w:firstLine="420" w:firstLineChars="200"/>
      <w:jc w:val="left"/>
    </w:pPr>
    <w:rPr>
      <w:rFonts w:ascii="宋体" w:hAnsi="宋体"/>
      <w:kern w:val="0"/>
      <w:sz w:val="24"/>
    </w:rPr>
  </w:style>
  <w:style w:type="paragraph" w:customStyle="1" w:styleId="170">
    <w:name w:val="图表脚注"/>
    <w:next w:val="147"/>
    <w:qFormat/>
    <w:uiPriority w:val="99"/>
    <w:pPr>
      <w:ind w:left="300" w:leftChars="200" w:hanging="100" w:hangingChars="100"/>
      <w:jc w:val="both"/>
    </w:pPr>
    <w:rPr>
      <w:rFonts w:ascii="宋体" w:hAnsi="Times New Roman" w:eastAsia="宋体" w:cs="Times New Roman"/>
      <w:sz w:val="18"/>
      <w:szCs w:val="22"/>
      <w:lang w:val="en-US" w:eastAsia="zh-CN" w:bidi="ar-SA"/>
    </w:rPr>
  </w:style>
  <w:style w:type="paragraph" w:customStyle="1" w:styleId="171">
    <w:name w:val="二级条标题"/>
    <w:basedOn w:val="166"/>
    <w:next w:val="147"/>
    <w:qFormat/>
    <w:uiPriority w:val="99"/>
    <w:pPr>
      <w:ind w:left="0"/>
      <w:outlineLvl w:val="3"/>
    </w:pPr>
  </w:style>
  <w:style w:type="paragraph" w:customStyle="1" w:styleId="172">
    <w:name w:val="正文表标题"/>
    <w:next w:val="147"/>
    <w:qFormat/>
    <w:uiPriority w:val="0"/>
    <w:pPr>
      <w:ind w:left="3828"/>
      <w:jc w:val="center"/>
    </w:pPr>
    <w:rPr>
      <w:rFonts w:ascii="黑体" w:hAnsi="Times New Roman" w:eastAsia="黑体" w:cs="Times New Roman"/>
      <w:sz w:val="21"/>
      <w:lang w:val="en-US" w:eastAsia="zh-CN" w:bidi="ar-SA"/>
    </w:rPr>
  </w:style>
  <w:style w:type="paragraph" w:customStyle="1" w:styleId="173">
    <w:name w:val="字母编号列项（一级）"/>
    <w:qFormat/>
    <w:uiPriority w:val="99"/>
    <w:pPr>
      <w:ind w:left="840" w:leftChars="200" w:hanging="420" w:hangingChars="200"/>
      <w:jc w:val="both"/>
    </w:pPr>
    <w:rPr>
      <w:rFonts w:ascii="宋体" w:hAnsi="Times New Roman" w:eastAsia="宋体" w:cs="Times New Roman"/>
      <w:sz w:val="21"/>
      <w:lang w:val="en-US" w:eastAsia="zh-CN" w:bidi="ar-SA"/>
    </w:rPr>
  </w:style>
  <w:style w:type="paragraph" w:customStyle="1" w:styleId="17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75">
    <w:name w:val="zzLc6"/>
    <w:basedOn w:val="1"/>
    <w:next w:val="1"/>
    <w:qFormat/>
    <w:uiPriority w:val="0"/>
    <w:pPr>
      <w:widowControl/>
      <w:tabs>
        <w:tab w:val="left" w:pos="6090"/>
      </w:tabs>
      <w:adjustRightInd w:val="0"/>
      <w:snapToGrid w:val="0"/>
      <w:spacing w:afterLines="50" w:line="230" w:lineRule="atLeast"/>
      <w:ind w:left="6090" w:hanging="420"/>
      <w:jc w:val="left"/>
      <w:textAlignment w:val="baseline"/>
    </w:pPr>
    <w:rPr>
      <w:rFonts w:ascii="Arial" w:hAnsi="Arial" w:cs="Arial"/>
      <w:color w:val="000000"/>
      <w:kern w:val="0"/>
      <w:sz w:val="20"/>
      <w:szCs w:val="20"/>
      <w:lang w:val="en-GB"/>
    </w:rPr>
  </w:style>
  <w:style w:type="paragraph" w:customStyle="1" w:styleId="176">
    <w:name w:val="zzLc5"/>
    <w:basedOn w:val="1"/>
    <w:next w:val="1"/>
    <w:qFormat/>
    <w:uiPriority w:val="0"/>
    <w:pPr>
      <w:widowControl/>
      <w:tabs>
        <w:tab w:val="left" w:pos="5670"/>
      </w:tabs>
      <w:adjustRightInd w:val="0"/>
      <w:snapToGrid w:val="0"/>
      <w:spacing w:afterLines="50" w:line="230" w:lineRule="atLeast"/>
      <w:ind w:left="5670" w:hanging="420"/>
      <w:jc w:val="left"/>
      <w:textAlignment w:val="baseline"/>
    </w:pPr>
    <w:rPr>
      <w:rFonts w:ascii="Arial" w:hAnsi="Arial" w:cs="Arial"/>
      <w:color w:val="000000"/>
      <w:kern w:val="0"/>
      <w:sz w:val="20"/>
      <w:szCs w:val="20"/>
      <w:lang w:val="en-GB"/>
    </w:rPr>
  </w:style>
  <w:style w:type="paragraph" w:customStyle="1" w:styleId="177">
    <w:name w:val="列表段落1"/>
    <w:basedOn w:val="1"/>
    <w:link w:val="178"/>
    <w:qFormat/>
    <w:uiPriority w:val="34"/>
    <w:pPr>
      <w:spacing w:afterLines="50"/>
      <w:ind w:firstLine="420" w:firstLineChars="200"/>
    </w:pPr>
    <w:rPr>
      <w:rFonts w:ascii="Times New Roman" w:hAnsi="Times New Roman" w:cs="Times New Roman"/>
      <w:sz w:val="24"/>
    </w:rPr>
  </w:style>
  <w:style w:type="character" w:customStyle="1" w:styleId="178">
    <w:name w:val="列出段落 Char"/>
    <w:link w:val="177"/>
    <w:qFormat/>
    <w:uiPriority w:val="34"/>
    <w:rPr>
      <w:kern w:val="2"/>
      <w:sz w:val="24"/>
      <w:szCs w:val="24"/>
    </w:rPr>
  </w:style>
  <w:style w:type="paragraph" w:customStyle="1" w:styleId="179">
    <w:name w:val="目录标题1"/>
    <w:basedOn w:val="2"/>
    <w:next w:val="1"/>
    <w:unhideWhenUsed/>
    <w:qFormat/>
    <w:uiPriority w:val="39"/>
    <w:pPr>
      <w:pageBreakBefore/>
      <w:widowControl/>
      <w:spacing w:before="480" w:afterLines="50" w:line="276" w:lineRule="auto"/>
      <w:jc w:val="left"/>
      <w:outlineLvl w:val="9"/>
    </w:pPr>
    <w:rPr>
      <w:rFonts w:asciiTheme="majorHAnsi" w:hAnsiTheme="majorHAnsi" w:eastAsiaTheme="majorEastAsia" w:cstheme="majorBidi"/>
      <w:b/>
      <w:color w:val="366091" w:themeColor="accent1" w:themeShade="BF"/>
      <w:kern w:val="0"/>
      <w:sz w:val="28"/>
      <w:szCs w:val="28"/>
    </w:rPr>
  </w:style>
  <w:style w:type="character" w:customStyle="1" w:styleId="180">
    <w:name w:val="列出段落 字符"/>
    <w:link w:val="169"/>
    <w:qFormat/>
    <w:locked/>
    <w:uiPriority w:val="34"/>
    <w:rPr>
      <w:rFonts w:ascii="宋体" w:hAnsi="宋体" w:cs="宋体"/>
      <w:sz w:val="24"/>
      <w:szCs w:val="24"/>
    </w:rPr>
  </w:style>
  <w:style w:type="character" w:customStyle="1" w:styleId="181">
    <w:name w:val="题注 字符"/>
    <w:link w:val="13"/>
    <w:qFormat/>
    <w:uiPriority w:val="99"/>
    <w:rPr>
      <w:rFonts w:ascii="Arial" w:hAnsi="Arial" w:eastAsia="黑体" w:cs="Arial"/>
      <w:kern w:val="2"/>
    </w:rPr>
  </w:style>
  <w:style w:type="paragraph" w:customStyle="1" w:styleId="182">
    <w:name w:val="样式 首行缩进:  0 字符"/>
    <w:basedOn w:val="1"/>
    <w:qFormat/>
    <w:uiPriority w:val="0"/>
    <w:pPr>
      <w:spacing w:afterLines="50" w:line="360" w:lineRule="auto"/>
      <w:ind w:firstLine="200" w:firstLineChars="200"/>
    </w:pPr>
    <w:rPr>
      <w:rFonts w:ascii="Arial" w:hAnsi="Arial"/>
      <w:sz w:val="24"/>
      <w:szCs w:val="20"/>
    </w:rPr>
  </w:style>
  <w:style w:type="paragraph" w:customStyle="1" w:styleId="183">
    <w:name w:val="GP正文(首行缩进)"/>
    <w:basedOn w:val="1"/>
    <w:qFormat/>
    <w:uiPriority w:val="0"/>
    <w:pPr>
      <w:spacing w:afterLines="50" w:line="360" w:lineRule="auto"/>
      <w:ind w:firstLine="480" w:firstLineChars="200"/>
      <w:jc w:val="left"/>
    </w:pPr>
    <w:rPr>
      <w:rFonts w:ascii="Times New Roman" w:hAnsi="宋体" w:cs="Times New Roman"/>
      <w:sz w:val="24"/>
    </w:rPr>
  </w:style>
  <w:style w:type="paragraph" w:customStyle="1" w:styleId="184">
    <w:name w:val="GP正文(无首行缩进)"/>
    <w:basedOn w:val="183"/>
    <w:qFormat/>
    <w:uiPriority w:val="0"/>
    <w:pPr>
      <w:jc w:val="both"/>
    </w:pPr>
    <w:rPr>
      <w:rFonts w:ascii="Arial" w:cs="宋体"/>
      <w:szCs w:val="20"/>
    </w:rPr>
  </w:style>
  <w:style w:type="paragraph" w:customStyle="1" w:styleId="185">
    <w:name w:val="标书-正文"/>
    <w:basedOn w:val="1"/>
    <w:link w:val="186"/>
    <w:qFormat/>
    <w:uiPriority w:val="0"/>
    <w:pPr>
      <w:widowControl/>
      <w:spacing w:before="56" w:afterLines="50" w:line="360" w:lineRule="auto"/>
      <w:ind w:firstLine="200" w:firstLineChars="200"/>
      <w:jc w:val="left"/>
    </w:pPr>
    <w:rPr>
      <w:rFonts w:ascii="Arial" w:hAnsi="Arial" w:cs="Times New Roman"/>
      <w:kern w:val="0"/>
      <w:sz w:val="24"/>
      <w:szCs w:val="22"/>
    </w:rPr>
  </w:style>
  <w:style w:type="character" w:customStyle="1" w:styleId="186">
    <w:name w:val="标书-正文 Char"/>
    <w:link w:val="185"/>
    <w:qFormat/>
    <w:uiPriority w:val="0"/>
    <w:rPr>
      <w:rFonts w:ascii="Arial" w:hAnsi="Arial"/>
      <w:sz w:val="24"/>
      <w:szCs w:val="22"/>
    </w:rPr>
  </w:style>
  <w:style w:type="paragraph" w:customStyle="1" w:styleId="187">
    <w:name w:val="GW-正文"/>
    <w:link w:val="188"/>
    <w:qFormat/>
    <w:uiPriority w:val="0"/>
    <w:pPr>
      <w:spacing w:line="360" w:lineRule="auto"/>
      <w:ind w:firstLine="200" w:firstLineChars="200"/>
    </w:pPr>
    <w:rPr>
      <w:rFonts w:ascii="Times New Roman" w:hAnsi="Times New Roman" w:eastAsia="仿宋_GB2312" w:cs="Times New Roman"/>
      <w:kern w:val="2"/>
      <w:sz w:val="24"/>
      <w:szCs w:val="24"/>
      <w:lang w:val="en-US" w:eastAsia="zh-CN" w:bidi="ar-SA"/>
    </w:rPr>
  </w:style>
  <w:style w:type="character" w:customStyle="1" w:styleId="188">
    <w:name w:val="GW-正文 Char"/>
    <w:link w:val="187"/>
    <w:qFormat/>
    <w:uiPriority w:val="0"/>
    <w:rPr>
      <w:rFonts w:eastAsia="仿宋_GB2312"/>
      <w:kern w:val="2"/>
      <w:sz w:val="24"/>
      <w:szCs w:val="24"/>
    </w:rPr>
  </w:style>
  <w:style w:type="paragraph" w:customStyle="1" w:styleId="189">
    <w:name w:val="列出段落11"/>
    <w:basedOn w:val="1"/>
    <w:qFormat/>
    <w:uiPriority w:val="34"/>
    <w:pPr>
      <w:spacing w:afterLines="50" w:line="560" w:lineRule="exact"/>
      <w:ind w:firstLine="200" w:firstLineChars="200"/>
    </w:pPr>
    <w:rPr>
      <w:rFonts w:ascii="宋体" w:hAnsi="宋体" w:cs="Times New Roman"/>
      <w:sz w:val="24"/>
      <w:szCs w:val="22"/>
    </w:rPr>
  </w:style>
  <w:style w:type="paragraph" w:customStyle="1" w:styleId="190">
    <w:name w:val="编号1"/>
    <w:basedOn w:val="1"/>
    <w:qFormat/>
    <w:uiPriority w:val="0"/>
    <w:pPr>
      <w:numPr>
        <w:ilvl w:val="0"/>
        <w:numId w:val="3"/>
      </w:numPr>
      <w:tabs>
        <w:tab w:val="left" w:pos="420"/>
      </w:tabs>
      <w:spacing w:afterLines="50" w:line="360" w:lineRule="auto"/>
    </w:pPr>
    <w:rPr>
      <w:rFonts w:ascii="Times New Roman" w:hAnsi="Times New Roman" w:cs="Times New Roman"/>
      <w:kern w:val="0"/>
      <w:sz w:val="20"/>
      <w:szCs w:val="20"/>
    </w:rPr>
  </w:style>
  <w:style w:type="character" w:customStyle="1" w:styleId="191">
    <w:name w:val="正文段落 Char"/>
    <w:link w:val="192"/>
    <w:qFormat/>
    <w:uiPriority w:val="0"/>
  </w:style>
  <w:style w:type="paragraph" w:customStyle="1" w:styleId="192">
    <w:name w:val="正文段落"/>
    <w:basedOn w:val="1"/>
    <w:link w:val="191"/>
    <w:qFormat/>
    <w:uiPriority w:val="0"/>
    <w:pPr>
      <w:spacing w:afterLines="50" w:line="360" w:lineRule="auto"/>
      <w:ind w:firstLine="420" w:firstLineChars="200"/>
    </w:pPr>
    <w:rPr>
      <w:rFonts w:ascii="Times New Roman" w:hAnsi="Times New Roman" w:cs="Times New Roman"/>
      <w:kern w:val="0"/>
      <w:sz w:val="20"/>
      <w:szCs w:val="20"/>
    </w:rPr>
  </w:style>
  <w:style w:type="paragraph" w:customStyle="1" w:styleId="193">
    <w:name w:val="黑体正文"/>
    <w:basedOn w:val="1"/>
    <w:next w:val="1"/>
    <w:qFormat/>
    <w:uiPriority w:val="0"/>
    <w:pPr>
      <w:spacing w:afterLines="50" w:line="360" w:lineRule="auto"/>
    </w:pPr>
    <w:rPr>
      <w:rFonts w:ascii="Times New Roman" w:hAnsi="Times New Roman" w:cs="Times New Roman"/>
      <w:b/>
      <w:sz w:val="24"/>
      <w:szCs w:val="20"/>
    </w:rPr>
  </w:style>
  <w:style w:type="paragraph" w:customStyle="1" w:styleId="194">
    <w:name w:val="附表"/>
    <w:basedOn w:val="1"/>
    <w:qFormat/>
    <w:uiPriority w:val="0"/>
    <w:pPr>
      <w:numPr>
        <w:ilvl w:val="0"/>
        <w:numId w:val="4"/>
      </w:numPr>
      <w:tabs>
        <w:tab w:val="left" w:pos="0"/>
      </w:tabs>
      <w:spacing w:afterLines="50" w:line="360" w:lineRule="auto"/>
      <w:jc w:val="right"/>
    </w:pPr>
    <w:rPr>
      <w:rFonts w:ascii="Times New Roman" w:hAnsi="Times New Roman" w:cs="Times New Roman"/>
      <w:b/>
      <w:sz w:val="24"/>
      <w:szCs w:val="20"/>
    </w:rPr>
  </w:style>
  <w:style w:type="paragraph" w:customStyle="1" w:styleId="195">
    <w:name w:val="项目编号1"/>
    <w:basedOn w:val="1"/>
    <w:qFormat/>
    <w:uiPriority w:val="0"/>
    <w:pPr>
      <w:numPr>
        <w:ilvl w:val="0"/>
        <w:numId w:val="5"/>
      </w:numPr>
      <w:spacing w:afterLines="50" w:line="360" w:lineRule="auto"/>
    </w:pPr>
    <w:rPr>
      <w:rFonts w:ascii="Times New Roman" w:hAnsi="Times New Roman" w:cs="Times New Roman"/>
      <w:sz w:val="24"/>
      <w:szCs w:val="20"/>
    </w:rPr>
  </w:style>
  <w:style w:type="paragraph" w:customStyle="1" w:styleId="196">
    <w:name w:val="编号2"/>
    <w:basedOn w:val="1"/>
    <w:qFormat/>
    <w:uiPriority w:val="0"/>
    <w:pPr>
      <w:numPr>
        <w:ilvl w:val="1"/>
        <w:numId w:val="2"/>
      </w:numPr>
      <w:tabs>
        <w:tab w:val="left" w:pos="420"/>
      </w:tabs>
      <w:spacing w:afterLines="50" w:line="360" w:lineRule="auto"/>
    </w:pPr>
    <w:rPr>
      <w:rFonts w:ascii="Times New Roman" w:hAnsi="Times New Roman" w:cs="Times New Roman"/>
      <w:sz w:val="24"/>
      <w:szCs w:val="20"/>
    </w:rPr>
  </w:style>
  <w:style w:type="paragraph" w:customStyle="1" w:styleId="197">
    <w:name w:val="项目编号2"/>
    <w:basedOn w:val="1"/>
    <w:qFormat/>
    <w:uiPriority w:val="0"/>
    <w:pPr>
      <w:numPr>
        <w:ilvl w:val="0"/>
        <w:numId w:val="6"/>
      </w:numPr>
      <w:tabs>
        <w:tab w:val="left" w:pos="840"/>
      </w:tabs>
      <w:spacing w:afterLines="50" w:line="360" w:lineRule="auto"/>
      <w:ind w:left="400" w:leftChars="400" w:hanging="200" w:hangingChars="200"/>
    </w:pPr>
    <w:rPr>
      <w:rFonts w:ascii="Times New Roman" w:hAnsi="Times New Roman" w:cs="Times New Roman"/>
      <w:sz w:val="24"/>
      <w:szCs w:val="20"/>
    </w:rPr>
  </w:style>
  <w:style w:type="paragraph" w:customStyle="1" w:styleId="198">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99">
    <w:name w:val="未处理的提及1"/>
    <w:basedOn w:val="47"/>
    <w:unhideWhenUsed/>
    <w:qFormat/>
    <w:uiPriority w:val="99"/>
    <w:rPr>
      <w:color w:val="605E5C"/>
      <w:shd w:val="clear" w:color="auto" w:fill="E1DFDD"/>
    </w:rPr>
  </w:style>
  <w:style w:type="paragraph" w:customStyle="1" w:styleId="200">
    <w:name w:val="正文小四"/>
    <w:basedOn w:val="1"/>
    <w:link w:val="201"/>
    <w:qFormat/>
    <w:uiPriority w:val="0"/>
    <w:pPr>
      <w:spacing w:beforeAutospacing="1" w:afterAutospacing="1" w:line="360" w:lineRule="auto"/>
      <w:ind w:firstLine="200" w:firstLineChars="200"/>
    </w:pPr>
    <w:rPr>
      <w:rFonts w:ascii="等线" w:hAnsi="等线" w:cs="Times New Roman"/>
      <w:sz w:val="24"/>
      <w:szCs w:val="22"/>
    </w:rPr>
  </w:style>
  <w:style w:type="character" w:customStyle="1" w:styleId="201">
    <w:name w:val="正文小四 字符"/>
    <w:link w:val="200"/>
    <w:qFormat/>
    <w:uiPriority w:val="0"/>
    <w:rPr>
      <w:rFonts w:ascii="等线" w:hAnsi="等线"/>
      <w:kern w:val="2"/>
      <w:sz w:val="24"/>
      <w:szCs w:val="22"/>
    </w:rPr>
  </w:style>
  <w:style w:type="character" w:customStyle="1" w:styleId="202">
    <w:name w:val="不明显参考1"/>
    <w:basedOn w:val="47"/>
    <w:qFormat/>
    <w:uiPriority w:val="31"/>
    <w:rPr>
      <w:rFonts w:eastAsia="宋体"/>
      <w:smallCaps/>
      <w:color w:val="auto"/>
      <w:sz w:val="21"/>
      <w:u w:val="none"/>
    </w:rPr>
  </w:style>
  <w:style w:type="paragraph" w:styleId="203">
    <w:name w:val="No Spacing"/>
    <w:link w:val="204"/>
    <w:qFormat/>
    <w:uiPriority w:val="1"/>
    <w:rPr>
      <w:rFonts w:asciiTheme="minorHAnsi" w:hAnsiTheme="minorHAnsi" w:eastAsiaTheme="minorEastAsia" w:cstheme="minorBidi"/>
      <w:sz w:val="22"/>
      <w:szCs w:val="22"/>
      <w:lang w:val="en-US" w:eastAsia="zh-CN" w:bidi="ar-SA"/>
    </w:rPr>
  </w:style>
  <w:style w:type="character" w:customStyle="1" w:styleId="204">
    <w:name w:val="无间隔 字符"/>
    <w:basedOn w:val="47"/>
    <w:link w:val="203"/>
    <w:qFormat/>
    <w:uiPriority w:val="1"/>
    <w:rPr>
      <w:rFonts w:asciiTheme="minorHAnsi" w:hAnsiTheme="minorHAnsi" w:eastAsiaTheme="minorEastAsia" w:cstheme="minorBidi"/>
      <w:sz w:val="22"/>
      <w:szCs w:val="22"/>
    </w:rPr>
  </w:style>
  <w:style w:type="paragraph" w:customStyle="1" w:styleId="205">
    <w:name w:val="样式 标题 3 + 宋体"/>
    <w:basedOn w:val="4"/>
    <w:qFormat/>
    <w:uiPriority w:val="0"/>
    <w:pPr>
      <w:tabs>
        <w:tab w:val="left" w:pos="720"/>
      </w:tabs>
      <w:spacing w:before="120" w:after="0" w:line="360" w:lineRule="auto"/>
      <w:ind w:left="720" w:hanging="720"/>
      <w:jc w:val="left"/>
    </w:pPr>
    <w:rPr>
      <w:rFonts w:ascii="黑体" w:hAnsi="宋体" w:eastAsia="黑体"/>
      <w:b w:val="0"/>
      <w:bCs/>
      <w:shadow/>
      <w:sz w:val="28"/>
      <w:szCs w:val="28"/>
    </w:rPr>
  </w:style>
  <w:style w:type="character" w:customStyle="1" w:styleId="206">
    <w:name w:val="font71"/>
    <w:basedOn w:val="47"/>
    <w:qFormat/>
    <w:uiPriority w:val="0"/>
    <w:rPr>
      <w:rFonts w:hint="eastAsia" w:ascii="仿宋" w:hAnsi="仿宋" w:eastAsia="仿宋" w:cs="仿宋"/>
      <w:color w:val="000000"/>
      <w:sz w:val="21"/>
      <w:szCs w:val="21"/>
      <w:u w:val="none"/>
    </w:rPr>
  </w:style>
  <w:style w:type="character" w:customStyle="1" w:styleId="207">
    <w:name w:val="font01"/>
    <w:basedOn w:val="47"/>
    <w:qFormat/>
    <w:uiPriority w:val="0"/>
    <w:rPr>
      <w:rFonts w:hint="default" w:ascii="Times New Roman" w:hAnsi="Times New Roman" w:cs="Times New Roman"/>
      <w:b/>
      <w:color w:val="000000"/>
      <w:sz w:val="24"/>
      <w:szCs w:val="24"/>
      <w:u w:val="none"/>
    </w:rPr>
  </w:style>
  <w:style w:type="character" w:customStyle="1" w:styleId="208">
    <w:name w:val="正文文本 Char"/>
    <w:link w:val="18"/>
    <w:qFormat/>
    <w:uiPriority w:val="99"/>
    <w:rPr>
      <w:rFonts w:eastAsia="宋体" w:cs="Calibri"/>
      <w:sz w:val="28"/>
      <w:szCs w:val="28"/>
    </w:rPr>
  </w:style>
  <w:style w:type="character" w:customStyle="1" w:styleId="209">
    <w:name w:val="fontstrikethrough"/>
    <w:basedOn w:val="47"/>
    <w:qFormat/>
    <w:uiPriority w:val="0"/>
    <w:rPr>
      <w:strike/>
    </w:rPr>
  </w:style>
  <w:style w:type="character" w:customStyle="1" w:styleId="210">
    <w:name w:val="fontborder"/>
    <w:basedOn w:val="47"/>
    <w:qFormat/>
    <w:uiPriority w:val="0"/>
    <w:rPr>
      <w:bdr w:val="single" w:color="000000" w:sz="6" w:space="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header" Target="head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5.jpe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wmf"/><Relationship Id="rId33" Type="http://schemas.openxmlformats.org/officeDocument/2006/relationships/oleObject" Target="embeddings/oleObject11.bin"/><Relationship Id="rId32" Type="http://schemas.openxmlformats.org/officeDocument/2006/relationships/image" Target="media/image11.wmf"/><Relationship Id="rId31" Type="http://schemas.openxmlformats.org/officeDocument/2006/relationships/oleObject" Target="embeddings/oleObject10.bin"/><Relationship Id="rId30" Type="http://schemas.openxmlformats.org/officeDocument/2006/relationships/image" Target="media/image10.w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oleObject" Target="embeddings/oleObject8.bin"/><Relationship Id="rId27" Type="http://schemas.openxmlformats.org/officeDocument/2006/relationships/image" Target="media/image9.wmf"/><Relationship Id="rId26" Type="http://schemas.openxmlformats.org/officeDocument/2006/relationships/oleObject" Target="embeddings/oleObject7.bin"/><Relationship Id="rId25" Type="http://schemas.openxmlformats.org/officeDocument/2006/relationships/image" Target="media/image8.wmf"/><Relationship Id="rId24" Type="http://schemas.openxmlformats.org/officeDocument/2006/relationships/oleObject" Target="embeddings/oleObject6.bin"/><Relationship Id="rId23" Type="http://schemas.openxmlformats.org/officeDocument/2006/relationships/image" Target="media/image7.wmf"/><Relationship Id="rId22" Type="http://schemas.openxmlformats.org/officeDocument/2006/relationships/oleObject" Target="embeddings/oleObject5.bin"/><Relationship Id="rId21" Type="http://schemas.openxmlformats.org/officeDocument/2006/relationships/image" Target="media/image6.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3.bin"/><Relationship Id="rId17" Type="http://schemas.openxmlformats.org/officeDocument/2006/relationships/image" Target="media/image4.wmf"/><Relationship Id="rId16" Type="http://schemas.openxmlformats.org/officeDocument/2006/relationships/oleObject" Target="embeddings/oleObject2.bin"/><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image" Target="media/image2.png"/><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themeOverride" Target="../theme/themeOverrid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920" b="1" i="0" u="none" strike="noStrike" kern="1200" spc="0" baseline="0">
                <a:solidFill>
                  <a:schemeClr val="bg1"/>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r>
              <a:rPr lang="en-US" altLang="zh-CN" sz="1920">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rPr>
              <a:t>2016-2020</a:t>
            </a:r>
            <a:r>
              <a:rPr altLang="en-US" sz="1920">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rPr>
              <a:t>年盘龙区地区生产总值及增长速度</a:t>
            </a:r>
            <a:endParaRPr lang="en-US" altLang="zh-CN" sz="1920">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endParaRPr>
          </a:p>
        </c:rich>
      </c:tx>
      <c:layout>
        <c:manualLayout>
          <c:xMode val="edge"/>
          <c:yMode val="edge"/>
          <c:x val="0.0529166666666667"/>
          <c:y val="0.0243055555555556"/>
        </c:manualLayout>
      </c:layout>
      <c:overlay val="0"/>
      <c:spPr>
        <a:noFill/>
        <a:ln>
          <a:noFill/>
        </a:ln>
        <a:effectLst/>
      </c:spPr>
    </c:title>
    <c:autoTitleDeleted val="0"/>
    <c:plotArea>
      <c:layout>
        <c:manualLayout>
          <c:layoutTarget val="inner"/>
          <c:xMode val="edge"/>
          <c:yMode val="edge"/>
          <c:x val="0.103161745492553"/>
          <c:y val="0.268357221609702"/>
          <c:w val="0.838829370263914"/>
          <c:h val="0.625005512679162"/>
        </c:manualLayout>
      </c:layout>
      <c:barChart>
        <c:barDir val="col"/>
        <c:grouping val="clustered"/>
        <c:varyColors val="0"/>
        <c:ser>
          <c:idx val="0"/>
          <c:order val="0"/>
          <c:tx>
            <c:strRef>
              <c:f>"地区生产总值"</c:f>
              <c:strCache>
                <c:ptCount val="1"/>
                <c:pt idx="0">
                  <c:v>地区生产总值</c:v>
                </c:pt>
              </c:strCache>
            </c:strRef>
          </c:tx>
          <c:spPr>
            <a:solidFill>
              <a:srgbClr val="7380C6"/>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t" anchorCtr="0"/>
              <a:lstStyle/>
              <a:p>
                <a:pPr>
                  <a:defRPr lang="zh-CN" sz="1600" b="0" i="0" u="none" strike="noStrike" kern="1200" baseline="0">
                    <a:solidFill>
                      <a:schemeClr val="tx1">
                        <a:lumMod val="75000"/>
                        <a:lumOff val="2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[工作簿1]Sheet1!$A$10:$A$14</c:f>
              <c:strCache>
                <c:ptCount val="5"/>
                <c:pt idx="0">
                  <c:v>2016年</c:v>
                </c:pt>
                <c:pt idx="1">
                  <c:v>2017年</c:v>
                </c:pt>
                <c:pt idx="2">
                  <c:v>2018年</c:v>
                </c:pt>
                <c:pt idx="3">
                  <c:v>2019年</c:v>
                </c:pt>
                <c:pt idx="4">
                  <c:v>2020年</c:v>
                </c:pt>
              </c:strCache>
            </c:strRef>
          </c:cat>
          <c:val>
            <c:numRef>
              <c:f>[工作簿1]Sheet1!$B$10:$B$14</c:f>
              <c:numCache>
                <c:formatCode>General</c:formatCode>
                <c:ptCount val="5"/>
                <c:pt idx="0">
                  <c:v>572.52</c:v>
                </c:pt>
                <c:pt idx="1">
                  <c:v>654.64</c:v>
                </c:pt>
                <c:pt idx="2">
                  <c:v>852.75</c:v>
                </c:pt>
                <c:pt idx="3">
                  <c:v>889.25</c:v>
                </c:pt>
                <c:pt idx="4">
                  <c:v>928.16</c:v>
                </c:pt>
              </c:numCache>
            </c:numRef>
          </c:val>
        </c:ser>
        <c:dLbls>
          <c:showLegendKey val="0"/>
          <c:showVal val="1"/>
          <c:showCatName val="0"/>
          <c:showSerName val="0"/>
          <c:showPercent val="0"/>
          <c:showBubbleSize val="0"/>
        </c:dLbls>
        <c:gapWidth val="92"/>
        <c:overlap val="0"/>
        <c:axId val="397673593"/>
        <c:axId val="266577248"/>
      </c:barChart>
      <c:lineChart>
        <c:grouping val="standard"/>
        <c:varyColors val="0"/>
        <c:ser>
          <c:idx val="1"/>
          <c:order val="1"/>
          <c:tx>
            <c:strRef>
              <c:f>"比上年增长"</c:f>
              <c:strCache>
                <c:ptCount val="1"/>
                <c:pt idx="0">
                  <c:v>比上年增长</c:v>
                </c:pt>
              </c:strCache>
            </c:strRef>
          </c:tx>
          <c:spPr>
            <a:ln w="12700" cap="rnd" cmpd="sng" algn="ctr">
              <a:solidFill>
                <a:srgbClr val="E45B7E"/>
              </a:solidFill>
              <a:prstDash val="solid"/>
              <a:round/>
            </a:ln>
            <a:effectLst/>
            <a:sp3d contourW="12700"/>
          </c:spPr>
          <c:marker>
            <c:symbol val="none"/>
          </c:marker>
          <c:dLbls>
            <c:numFmt formatCode="General" sourceLinked="1"/>
            <c:spPr>
              <a:noFill/>
              <a:ln>
                <a:noFill/>
              </a:ln>
              <a:effectLst/>
            </c:spPr>
            <c:txPr>
              <a:bodyPr rot="0" spcFirstLastPara="0" vertOverflow="ellipsis" vert="horz" wrap="square" lIns="38100" tIns="19050" rIns="38100" bIns="19050" anchor="ctr" anchorCtr="1"/>
              <a:lstStyle/>
              <a:p>
                <a:pPr>
                  <a:defRPr lang="zh-CN" sz="1600" b="0" i="0" u="none" strike="noStrike" kern="1200" baseline="0">
                    <a:solidFill>
                      <a:schemeClr val="tx1">
                        <a:lumMod val="75000"/>
                        <a:lumOff val="2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[工作簿1]Sheet1!$A$10:$A$14</c:f>
              <c:strCache>
                <c:ptCount val="5"/>
                <c:pt idx="0">
                  <c:v>2016年</c:v>
                </c:pt>
                <c:pt idx="1">
                  <c:v>2017年</c:v>
                </c:pt>
                <c:pt idx="2">
                  <c:v>2018年</c:v>
                </c:pt>
                <c:pt idx="3">
                  <c:v>2019年</c:v>
                </c:pt>
                <c:pt idx="4">
                  <c:v>2020年</c:v>
                </c:pt>
              </c:strCache>
            </c:strRef>
          </c:cat>
          <c:val>
            <c:numRef>
              <c:f>[工作簿1]Sheet1!$C$10:$C$14</c:f>
              <c:numCache>
                <c:formatCode>0.0_ </c:formatCode>
                <c:ptCount val="5"/>
                <c:pt idx="0">
                  <c:v>9</c:v>
                </c:pt>
                <c:pt idx="1">
                  <c:v>10.6</c:v>
                </c:pt>
                <c:pt idx="2">
                  <c:v>11</c:v>
                </c:pt>
                <c:pt idx="3">
                  <c:v>4</c:v>
                </c:pt>
                <c:pt idx="4">
                  <c:v>2.6</c:v>
                </c:pt>
              </c:numCache>
            </c:numRef>
          </c:val>
          <c:smooth val="0"/>
        </c:ser>
        <c:dLbls>
          <c:showLegendKey val="0"/>
          <c:showVal val="1"/>
          <c:showCatName val="0"/>
          <c:showSerName val="0"/>
          <c:showPercent val="0"/>
          <c:showBubbleSize val="0"/>
        </c:dLbls>
        <c:marker val="0"/>
        <c:smooth val="0"/>
        <c:axId val="225258598"/>
        <c:axId val="907695103"/>
      </c:lineChart>
      <c:catAx>
        <c:axId val="397673593"/>
        <c:scaling>
          <c:orientation val="minMax"/>
        </c:scaling>
        <c:delete val="0"/>
        <c:axPos val="b"/>
        <c:title>
          <c:tx>
            <c:rich>
              <a:bodyPr rot="0" spcFirstLastPara="0" vertOverflow="ellipsis" vert="horz" wrap="square" anchor="ctr" anchorCtr="1"/>
              <a:lstStyle/>
              <a:p>
                <a:pPr defTabSz="914400">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r>
                  <a:rPr sz="1600"/>
                  <a:t>亿元</a:t>
                </a:r>
                <a:endParaRPr sz="1600"/>
              </a:p>
            </c:rich>
          </c:tx>
          <c:layout>
            <c:manualLayout>
              <c:xMode val="edge"/>
              <c:yMode val="edge"/>
              <c:x val="0.0208333333333333"/>
              <c:y val="0.157175925925926"/>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crossAx val="266577248"/>
        <c:crosses val="autoZero"/>
        <c:auto val="1"/>
        <c:lblAlgn val="ctr"/>
        <c:lblOffset val="100"/>
        <c:noMultiLvlLbl val="0"/>
      </c:catAx>
      <c:valAx>
        <c:axId val="26657724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layout>
            <c:manualLayout>
              <c:xMode val="edge"/>
              <c:yMode val="edge"/>
              <c:x val="0.03125"/>
              <c:y val="0.122295163134468"/>
            </c:manualLayout>
          </c:layout>
          <c:overlay val="0"/>
          <c:spPr>
            <a:noFill/>
            <a:ln>
              <a:noFill/>
            </a:ln>
            <a:effectLst/>
          </c:spPr>
          <c:tx>
            <c:rich>
              <a:bodyPr/>
              <a:lstStyle/>
              <a:p>
                <a:pPr>
                  <a:defRPr/>
                </a:pPr>
              </a:p>
            </c:rich>
          </c:tx>
        </c:title>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crossAx val="397673593"/>
        <c:crosses val="autoZero"/>
        <c:crossBetween val="between"/>
      </c:valAx>
      <c:catAx>
        <c:axId val="225258598"/>
        <c:scaling>
          <c:orientation val="minMax"/>
        </c:scaling>
        <c:delete val="1"/>
        <c:axPos val="b"/>
        <c:title>
          <c:tx>
            <c:rich>
              <a:bodyPr rot="0" spcFirstLastPara="0" vertOverflow="ellipsis" vert="horz" wrap="square" anchor="ctr" anchorCtr="1"/>
              <a:lstStyle/>
              <a:p>
                <a:pPr defTabSz="914400">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r>
                  <a:rPr lang="en-US" altLang="zh-CN" sz="1600"/>
                  <a:t>%</a:t>
                </a:r>
                <a:endParaRPr sz="1600"/>
              </a:p>
            </c:rich>
          </c:tx>
          <c:layout>
            <c:manualLayout>
              <c:xMode val="edge"/>
              <c:yMode val="edge"/>
              <c:x val="0.949160085127024"/>
              <c:y val="0.141029027493751"/>
            </c:manualLayout>
          </c:layout>
          <c:overlay val="0"/>
          <c:spPr>
            <a:noFill/>
            <a:ln>
              <a:noFill/>
            </a:ln>
            <a:effectLst/>
          </c:spPr>
        </c:title>
        <c:majorTickMark val="none"/>
        <c:minorTickMark val="none"/>
        <c:tickLblPos val="nextTo"/>
        <c:txPr>
          <a:bodyPr rot="-60000000" spcFirstLastPara="0" vertOverflow="ellipsis" vert="horz" wrap="square" anchor="ctr" anchorCtr="1"/>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crossAx val="907695103"/>
        <c:crosses val="autoZero"/>
        <c:auto val="1"/>
        <c:lblAlgn val="ctr"/>
        <c:lblOffset val="100"/>
        <c:noMultiLvlLbl val="0"/>
      </c:catAx>
      <c:valAx>
        <c:axId val="907695103"/>
        <c:scaling>
          <c:orientation val="minMax"/>
          <c:max val="20"/>
        </c:scaling>
        <c:delete val="0"/>
        <c:axPos val="r"/>
        <c:numFmt formatCode="0.0_ "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crossAx val="225258598"/>
        <c:crosses val="max"/>
        <c:crossBetween val="between"/>
        <c:majorUnit val="5"/>
      </c:valAx>
      <c:spPr>
        <a:noFill/>
        <a:ln>
          <a:noFill/>
        </a:ln>
        <a:effectLst/>
      </c:spPr>
    </c:plotArea>
    <c:legend>
      <c:legendPos val="t"/>
      <c:legendEntry>
        <c:idx val="0"/>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278191929949118"/>
          <c:y val="0.133278008298755"/>
        </c:manualLayout>
      </c:layout>
      <c:overlay val="0"/>
      <c:spPr>
        <a:noFill/>
        <a:ln>
          <a:noFill/>
        </a:ln>
        <a:effectLst/>
      </c:spPr>
      <c:txPr>
        <a:bodyPr rot="0" spcFirstLastPara="0" vertOverflow="ellipsis" vert="horz" wrap="square" anchor="ctr" anchorCtr="1" forceAA="0"/>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prstDash val="solid"/>
      <a:round/>
    </a:ln>
    <a:effectLst/>
  </c:spPr>
  <c:txPr>
    <a:bodyPr/>
    <a:lstStyle/>
    <a:p>
      <a:pPr>
        <a:defRPr lang="zh-CN" sz="1600">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920" b="1" i="0" u="none" strike="noStrike" kern="1200" spc="0" baseline="0">
                <a:solidFill>
                  <a:schemeClr val="bg1"/>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r>
              <a:rPr lang="en-US" altLang="zh-CN" sz="1920">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rPr>
              <a:t>2016-2020</a:t>
            </a:r>
            <a:r>
              <a:rPr altLang="en-US" sz="1920">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rPr>
              <a:t>年盘龙区全部工业增加值及其增长速度</a:t>
            </a:r>
            <a:endParaRPr lang="en-US" altLang="zh-CN" sz="1920">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endParaRPr>
          </a:p>
        </c:rich>
      </c:tx>
      <c:layout>
        <c:manualLayout>
          <c:xMode val="edge"/>
          <c:yMode val="edge"/>
          <c:x val="0.0529166666666667"/>
          <c:y val="0.0243055555555556"/>
        </c:manualLayout>
      </c:layout>
      <c:overlay val="0"/>
      <c:spPr>
        <a:noFill/>
        <a:ln>
          <a:noFill/>
        </a:ln>
        <a:effectLst/>
      </c:spPr>
    </c:title>
    <c:autoTitleDeleted val="0"/>
    <c:plotArea>
      <c:layout>
        <c:manualLayout>
          <c:layoutTarget val="inner"/>
          <c:xMode val="edge"/>
          <c:yMode val="edge"/>
          <c:x val="0.103161745492553"/>
          <c:y val="0.268357221609702"/>
          <c:w val="0.838829370263914"/>
          <c:h val="0.625005512679162"/>
        </c:manualLayout>
      </c:layout>
      <c:barChart>
        <c:barDir val="col"/>
        <c:grouping val="clustered"/>
        <c:varyColors val="0"/>
        <c:ser>
          <c:idx val="0"/>
          <c:order val="0"/>
          <c:tx>
            <c:strRef>
              <c:f>"地区生产总值"</c:f>
              <c:strCache>
                <c:ptCount val="1"/>
                <c:pt idx="0">
                  <c:v>地区生产总值</c:v>
                </c:pt>
              </c:strCache>
            </c:strRef>
          </c:tx>
          <c:spPr>
            <a:solidFill>
              <a:srgbClr val="ED7D31">
                <a:lumMod val="40000"/>
                <a:lumOff val="60000"/>
              </a:srgbClr>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t" anchorCtr="0"/>
              <a:lstStyle/>
              <a:p>
                <a:pPr>
                  <a:defRPr lang="zh-CN" sz="1600" b="0" i="0" u="none" strike="noStrike" kern="1200" baseline="0">
                    <a:solidFill>
                      <a:schemeClr val="tx1">
                        <a:lumMod val="75000"/>
                        <a:lumOff val="2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[工作簿1]Sheet1!$A$10:$A$14</c:f>
              <c:strCache>
                <c:ptCount val="5"/>
                <c:pt idx="0">
                  <c:v>2016年</c:v>
                </c:pt>
                <c:pt idx="1">
                  <c:v>2017年</c:v>
                </c:pt>
                <c:pt idx="2">
                  <c:v>2018年</c:v>
                </c:pt>
                <c:pt idx="3">
                  <c:v>2019年</c:v>
                </c:pt>
                <c:pt idx="4">
                  <c:v>2020年</c:v>
                </c:pt>
              </c:strCache>
            </c:strRef>
          </c:cat>
          <c:val>
            <c:numRef>
              <c:f>[工作簿1]Sheet1!$B$10:$B$14</c:f>
              <c:numCache>
                <c:formatCode>General</c:formatCode>
                <c:ptCount val="5"/>
                <c:pt idx="0">
                  <c:v>108.37</c:v>
                </c:pt>
                <c:pt idx="1">
                  <c:v>118.68</c:v>
                </c:pt>
                <c:pt idx="2">
                  <c:v>79.6</c:v>
                </c:pt>
                <c:pt idx="3">
                  <c:v>80.95</c:v>
                </c:pt>
                <c:pt idx="4">
                  <c:v>81.21</c:v>
                </c:pt>
              </c:numCache>
            </c:numRef>
          </c:val>
        </c:ser>
        <c:dLbls>
          <c:showLegendKey val="0"/>
          <c:showVal val="1"/>
          <c:showCatName val="0"/>
          <c:showSerName val="0"/>
          <c:showPercent val="0"/>
          <c:showBubbleSize val="0"/>
        </c:dLbls>
        <c:gapWidth val="92"/>
        <c:overlap val="0"/>
        <c:axId val="397673593"/>
        <c:axId val="266577248"/>
      </c:barChart>
      <c:lineChart>
        <c:grouping val="standard"/>
        <c:varyColors val="0"/>
        <c:ser>
          <c:idx val="1"/>
          <c:order val="1"/>
          <c:tx>
            <c:strRef>
              <c:f>"比上年增长"</c:f>
              <c:strCache>
                <c:ptCount val="1"/>
                <c:pt idx="0">
                  <c:v>比上年增长</c:v>
                </c:pt>
              </c:strCache>
            </c:strRef>
          </c:tx>
          <c:spPr>
            <a:ln w="34925" cap="sq" cmpd="sng" algn="ctr">
              <a:solidFill>
                <a:srgbClr val="5B9BD5"/>
              </a:solidFill>
              <a:prstDash val="solid"/>
              <a:miter lim="800000"/>
              <a:headEnd type="none"/>
            </a:ln>
            <a:effectLst/>
            <a:sp3d contourW="34925"/>
          </c:spPr>
          <c:marker>
            <c:symbol val="none"/>
          </c:marker>
          <c:dLbls>
            <c:numFmt formatCode="General" sourceLinked="1"/>
            <c:spPr>
              <a:noFill/>
              <a:ln>
                <a:noFill/>
              </a:ln>
              <a:effectLst/>
            </c:spPr>
            <c:txPr>
              <a:bodyPr rot="0" spcFirstLastPara="0" vertOverflow="ellipsis" vert="horz" wrap="square" lIns="38100" tIns="19050" rIns="38100" bIns="19050" anchor="ctr" anchorCtr="1"/>
              <a:lstStyle/>
              <a:p>
                <a:pPr>
                  <a:defRPr lang="zh-CN" sz="1600" b="0" i="0" u="none" strike="noStrike" kern="1200" baseline="0">
                    <a:solidFill>
                      <a:schemeClr val="tx1">
                        <a:lumMod val="75000"/>
                        <a:lumOff val="2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[工作簿1]Sheet1!$A$10:$A$14</c:f>
              <c:strCache>
                <c:ptCount val="5"/>
                <c:pt idx="0">
                  <c:v>2016年</c:v>
                </c:pt>
                <c:pt idx="1">
                  <c:v>2017年</c:v>
                </c:pt>
                <c:pt idx="2">
                  <c:v>2018年</c:v>
                </c:pt>
                <c:pt idx="3">
                  <c:v>2019年</c:v>
                </c:pt>
                <c:pt idx="4">
                  <c:v>2020年</c:v>
                </c:pt>
              </c:strCache>
            </c:strRef>
          </c:cat>
          <c:val>
            <c:numRef>
              <c:f>[工作簿1]Sheet1!$C$10:$C$14</c:f>
              <c:numCache>
                <c:formatCode>0.0_ </c:formatCode>
                <c:ptCount val="5"/>
                <c:pt idx="0">
                  <c:v>9.8</c:v>
                </c:pt>
                <c:pt idx="1">
                  <c:v>8</c:v>
                </c:pt>
                <c:pt idx="2">
                  <c:v>35.6</c:v>
                </c:pt>
                <c:pt idx="3">
                  <c:v>1.7</c:v>
                </c:pt>
                <c:pt idx="4">
                  <c:v>3.2</c:v>
                </c:pt>
              </c:numCache>
            </c:numRef>
          </c:val>
          <c:smooth val="0"/>
        </c:ser>
        <c:dLbls>
          <c:showLegendKey val="0"/>
          <c:showVal val="1"/>
          <c:showCatName val="0"/>
          <c:showSerName val="0"/>
          <c:showPercent val="0"/>
          <c:showBubbleSize val="0"/>
        </c:dLbls>
        <c:marker val="0"/>
        <c:smooth val="0"/>
        <c:axId val="225258598"/>
        <c:axId val="907695103"/>
      </c:lineChart>
      <c:catAx>
        <c:axId val="397673593"/>
        <c:scaling>
          <c:orientation val="minMax"/>
        </c:scaling>
        <c:delete val="0"/>
        <c:axPos val="b"/>
        <c:title>
          <c:tx>
            <c:rich>
              <a:bodyPr rot="0" spcFirstLastPara="0" vertOverflow="ellipsis" vert="horz" wrap="square" anchor="ctr" anchorCtr="1"/>
              <a:lstStyle/>
              <a:p>
                <a:pPr defTabSz="914400">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r>
                  <a:rPr sz="1600"/>
                  <a:t>亿元</a:t>
                </a:r>
                <a:endParaRPr sz="1600"/>
              </a:p>
            </c:rich>
          </c:tx>
          <c:layout>
            <c:manualLayout>
              <c:xMode val="edge"/>
              <c:yMode val="edge"/>
              <c:x val="0.0208333333333333"/>
              <c:y val="0.157175925925926"/>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crossAx val="266577248"/>
        <c:crosses val="autoZero"/>
        <c:auto val="1"/>
        <c:lblAlgn val="ctr"/>
        <c:lblOffset val="100"/>
        <c:noMultiLvlLbl val="0"/>
      </c:catAx>
      <c:valAx>
        <c:axId val="266577248"/>
        <c:scaling>
          <c:orientation val="minMax"/>
          <c:max val="150"/>
        </c:scaling>
        <c:delete val="0"/>
        <c:axPos val="l"/>
        <c:majorGridlines>
          <c:spPr>
            <a:ln w="9525" cap="flat" cmpd="sng" algn="ctr">
              <a:solidFill>
                <a:schemeClr val="tx1">
                  <a:lumMod val="15000"/>
                  <a:lumOff val="85000"/>
                </a:schemeClr>
              </a:solidFill>
              <a:prstDash val="solid"/>
              <a:round/>
            </a:ln>
            <a:effectLst/>
          </c:spPr>
        </c:majorGridlines>
        <c:title>
          <c:layout>
            <c:manualLayout>
              <c:xMode val="edge"/>
              <c:yMode val="edge"/>
              <c:x val="0.03125"/>
              <c:y val="0.122295163134468"/>
            </c:manualLayout>
          </c:layout>
          <c:overlay val="0"/>
          <c:spPr>
            <a:noFill/>
            <a:ln>
              <a:noFill/>
            </a:ln>
            <a:effectLst/>
          </c:spPr>
          <c:tx>
            <c:rich>
              <a:bodyPr/>
              <a:lstStyle/>
              <a:p>
                <a:pPr>
                  <a:defRPr/>
                </a:pPr>
              </a:p>
            </c:rich>
          </c:tx>
        </c:title>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crossAx val="397673593"/>
        <c:crosses val="autoZero"/>
        <c:crossBetween val="between"/>
        <c:majorUnit val="30"/>
      </c:valAx>
      <c:catAx>
        <c:axId val="225258598"/>
        <c:scaling>
          <c:orientation val="minMax"/>
        </c:scaling>
        <c:delete val="1"/>
        <c:axPos val="b"/>
        <c:title>
          <c:tx>
            <c:rich>
              <a:bodyPr rot="0" spcFirstLastPara="0" vertOverflow="ellipsis" vert="horz" wrap="square" anchor="ctr" anchorCtr="1"/>
              <a:lstStyle/>
              <a:p>
                <a:pPr defTabSz="914400">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r>
                  <a:rPr lang="en-US" altLang="zh-CN" sz="1600"/>
                  <a:t>%</a:t>
                </a:r>
                <a:endParaRPr sz="1600"/>
              </a:p>
            </c:rich>
          </c:tx>
          <c:layout>
            <c:manualLayout>
              <c:xMode val="edge"/>
              <c:yMode val="edge"/>
              <c:x val="0.949160085127024"/>
              <c:y val="0.141029027493751"/>
            </c:manualLayout>
          </c:layout>
          <c:overlay val="0"/>
          <c:spPr>
            <a:noFill/>
            <a:ln>
              <a:noFill/>
            </a:ln>
            <a:effectLst/>
          </c:spPr>
        </c:title>
        <c:majorTickMark val="none"/>
        <c:minorTickMark val="none"/>
        <c:tickLblPos val="nextTo"/>
        <c:txPr>
          <a:bodyPr rot="-60000000" spcFirstLastPara="0" vertOverflow="ellipsis" vert="horz" wrap="square" anchor="ctr" anchorCtr="1"/>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crossAx val="907695103"/>
        <c:crosses val="autoZero"/>
        <c:auto val="1"/>
        <c:lblAlgn val="ctr"/>
        <c:lblOffset val="100"/>
        <c:noMultiLvlLbl val="0"/>
      </c:catAx>
      <c:valAx>
        <c:axId val="907695103"/>
        <c:scaling>
          <c:orientation val="minMax"/>
          <c:max val="80"/>
        </c:scaling>
        <c:delete val="0"/>
        <c:axPos val="r"/>
        <c:numFmt formatCode="0.0_ "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crossAx val="225258598"/>
        <c:crosses val="max"/>
        <c:crossBetween val="between"/>
        <c:majorUnit val="20"/>
      </c:valAx>
      <c:spPr>
        <a:noFill/>
        <a:ln>
          <a:noFill/>
        </a:ln>
        <a:effectLst/>
      </c:spPr>
    </c:plotArea>
    <c:legend>
      <c:legendPos val="t"/>
      <c:legendEntry>
        <c:idx val="0"/>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25219298245614"/>
          <c:y val="0.126175869120654"/>
        </c:manualLayout>
      </c:layout>
      <c:overlay val="0"/>
      <c:spPr>
        <a:noFill/>
        <a:ln>
          <a:noFill/>
        </a:ln>
        <a:effectLst/>
      </c:spPr>
      <c:txPr>
        <a:bodyPr rot="0" spcFirstLastPara="0" vertOverflow="ellipsis" vert="horz" wrap="square" anchor="ctr" anchorCtr="1" forceAA="0"/>
        <a:lstStyle/>
        <a:p>
          <a:pPr>
            <a:defRPr lang="zh-CN" sz="16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prstDash val="solid"/>
      <a:round/>
    </a:ln>
    <a:effectLst/>
  </c:spPr>
  <c:txPr>
    <a:bodyPr/>
    <a:lstStyle/>
    <a:p>
      <a:pPr>
        <a:defRPr lang="zh-CN" sz="1600">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9" textRotate="1"/>
    <customShpInfo spid="_x0000_s2060" textRotate="1"/>
    <customShpInfo spid="_x0000_s2061" textRotate="1"/>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125</Pages>
  <Words>10120</Words>
  <Characters>57687</Characters>
  <Lines>480</Lines>
  <Paragraphs>135</Paragraphs>
  <TotalTime>0</TotalTime>
  <ScaleCrop>false</ScaleCrop>
  <LinksUpToDate>false</LinksUpToDate>
  <CharactersWithSpaces>67672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2021-08-29T08:05:00Z</dcterms:created>
  <dc:creator>Administrator</dc:creator>
  <cp:lastModifiedBy>怪孩子、乖孩子</cp:lastModifiedBy>
  <cp:lastPrinted>2021-08-10T10:42:00Z</cp:lastPrinted>
  <dcterms:modified xsi:type="dcterms:W3CDTF">2021-11-15T05:57:30Z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562800120_cloud</vt:lpwstr>
  </property>
  <property fmtid="{D5CDD505-2E9C-101B-9397-08002B2CF9AE}" pid="4" name="ICV">
    <vt:lpwstr>CD5D5DBB9CA34739B159C9BC2A4AC89D</vt:lpwstr>
  </property>
</Properties>
</file>