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昆明市盘龙区财政局2020年度部门决算</w:t>
      </w:r>
    </w:p>
    <w:p>
      <w:pPr>
        <w:jc w:val="center"/>
        <w:rPr>
          <w:rFonts w:ascii="方正小标宋简体" w:hAnsi="方正小标宋简体" w:eastAsia="方正小标宋简体" w:cs="方正小标宋简体"/>
          <w:sz w:val="36"/>
          <w:szCs w:val="36"/>
        </w:rPr>
      </w:pPr>
    </w:p>
    <w:p>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目录</w:t>
      </w:r>
    </w:p>
    <w:p>
      <w:pPr>
        <w:jc w:val="left"/>
        <w:rPr>
          <w:rFonts w:ascii="黑体" w:hAnsi="黑体" w:eastAsia="黑体"/>
          <w:sz w:val="30"/>
          <w:szCs w:val="30"/>
        </w:rPr>
      </w:pPr>
    </w:p>
    <w:p>
      <w:pPr>
        <w:jc w:val="left"/>
        <w:rPr>
          <w:rFonts w:ascii="黑体" w:hAnsi="黑体" w:eastAsia="黑体"/>
          <w:sz w:val="30"/>
          <w:szCs w:val="30"/>
        </w:rPr>
      </w:pPr>
      <w:r>
        <w:rPr>
          <w:rFonts w:hint="eastAsia" w:ascii="黑体" w:hAnsi="黑体" w:eastAsia="黑体"/>
          <w:sz w:val="30"/>
          <w:szCs w:val="30"/>
        </w:rPr>
        <w:t xml:space="preserve">第一部分 </w:t>
      </w:r>
      <w:r>
        <w:rPr>
          <w:rFonts w:hint="eastAsia" w:ascii="黑体" w:hAnsi="黑体" w:eastAsia="黑体"/>
          <w:sz w:val="30"/>
          <w:szCs w:val="30"/>
          <w:lang w:val="en-US" w:eastAsia="zh-CN"/>
        </w:rPr>
        <w:t xml:space="preserve"> </w:t>
      </w:r>
      <w:r>
        <w:rPr>
          <w:rFonts w:hint="eastAsia" w:ascii="黑体" w:hAnsi="黑体" w:eastAsia="黑体"/>
          <w:sz w:val="30"/>
          <w:szCs w:val="30"/>
        </w:rPr>
        <w:t>昆明市盘龙区财政局概况</w:t>
      </w:r>
    </w:p>
    <w:p>
      <w:pPr>
        <w:spacing w:line="240" w:lineRule="atLeast"/>
        <w:jc w:val="left"/>
        <w:rPr>
          <w:rFonts w:ascii="楷体" w:hAnsi="楷体" w:eastAsia="楷体"/>
          <w:sz w:val="30"/>
          <w:szCs w:val="30"/>
        </w:rPr>
      </w:pPr>
      <w:r>
        <w:rPr>
          <w:rFonts w:hint="eastAsia" w:ascii="楷体" w:hAnsi="楷体" w:eastAsia="楷体"/>
          <w:sz w:val="30"/>
          <w:szCs w:val="30"/>
        </w:rPr>
        <w:t>一、主要职能</w:t>
      </w:r>
    </w:p>
    <w:p>
      <w:pPr>
        <w:spacing w:line="240" w:lineRule="atLeast"/>
        <w:jc w:val="left"/>
        <w:rPr>
          <w:rFonts w:ascii="楷体" w:hAnsi="楷体" w:eastAsia="楷体"/>
          <w:sz w:val="30"/>
          <w:szCs w:val="30"/>
        </w:rPr>
      </w:pPr>
      <w:r>
        <w:rPr>
          <w:rFonts w:hint="eastAsia" w:ascii="楷体" w:hAnsi="楷体" w:eastAsia="楷体"/>
          <w:sz w:val="30"/>
          <w:szCs w:val="30"/>
        </w:rPr>
        <w:t>二、部门基本情况</w:t>
      </w:r>
    </w:p>
    <w:p>
      <w:pPr>
        <w:jc w:val="left"/>
        <w:rPr>
          <w:rFonts w:ascii="黑体" w:hAnsi="黑体" w:eastAsia="黑体"/>
          <w:sz w:val="30"/>
          <w:szCs w:val="30"/>
        </w:rPr>
      </w:pPr>
      <w:r>
        <w:rPr>
          <w:rFonts w:hint="eastAsia" w:ascii="黑体" w:hAnsi="黑体" w:eastAsia="黑体"/>
          <w:sz w:val="30"/>
          <w:szCs w:val="30"/>
        </w:rPr>
        <w:t xml:space="preserve">第二部分 </w:t>
      </w:r>
      <w:r>
        <w:rPr>
          <w:rFonts w:hint="eastAsia" w:ascii="黑体" w:hAnsi="黑体" w:eastAsia="黑体"/>
          <w:sz w:val="30"/>
          <w:szCs w:val="30"/>
          <w:lang w:val="en-US" w:eastAsia="zh-CN"/>
        </w:rPr>
        <w:t xml:space="preserve"> 2020</w:t>
      </w:r>
      <w:r>
        <w:rPr>
          <w:rFonts w:hint="eastAsia" w:ascii="黑体" w:hAnsi="黑体" w:eastAsia="黑体"/>
          <w:sz w:val="30"/>
          <w:szCs w:val="30"/>
        </w:rPr>
        <w:t>年度部门决算表</w:t>
      </w:r>
    </w:p>
    <w:p>
      <w:pPr>
        <w:jc w:val="left"/>
        <w:rPr>
          <w:rFonts w:ascii="楷体" w:hAnsi="楷体" w:eastAsia="楷体"/>
          <w:sz w:val="30"/>
          <w:szCs w:val="30"/>
        </w:rPr>
      </w:pPr>
      <w:r>
        <w:rPr>
          <w:rFonts w:hint="eastAsia" w:ascii="楷体" w:hAnsi="楷体" w:eastAsia="楷体"/>
          <w:sz w:val="30"/>
          <w:szCs w:val="30"/>
        </w:rPr>
        <w:t>一、收入支出决算总表</w:t>
      </w:r>
    </w:p>
    <w:p>
      <w:pPr>
        <w:jc w:val="left"/>
        <w:rPr>
          <w:rFonts w:ascii="楷体" w:hAnsi="楷体" w:eastAsia="楷体"/>
          <w:sz w:val="30"/>
          <w:szCs w:val="30"/>
        </w:rPr>
      </w:pPr>
      <w:r>
        <w:rPr>
          <w:rFonts w:hint="eastAsia" w:ascii="楷体" w:hAnsi="楷体" w:eastAsia="楷体"/>
          <w:sz w:val="30"/>
          <w:szCs w:val="30"/>
        </w:rPr>
        <w:t>二、收入决算表</w:t>
      </w:r>
    </w:p>
    <w:p>
      <w:pPr>
        <w:jc w:val="left"/>
        <w:rPr>
          <w:rFonts w:ascii="楷体" w:hAnsi="楷体" w:eastAsia="楷体"/>
          <w:sz w:val="30"/>
          <w:szCs w:val="30"/>
        </w:rPr>
      </w:pPr>
      <w:r>
        <w:rPr>
          <w:rFonts w:hint="eastAsia" w:ascii="楷体" w:hAnsi="楷体" w:eastAsia="楷体"/>
          <w:sz w:val="30"/>
          <w:szCs w:val="30"/>
        </w:rPr>
        <w:t>三、支出决算表</w:t>
      </w:r>
    </w:p>
    <w:p>
      <w:pPr>
        <w:jc w:val="left"/>
        <w:rPr>
          <w:rFonts w:ascii="楷体" w:hAnsi="楷体" w:eastAsia="楷体"/>
          <w:sz w:val="30"/>
          <w:szCs w:val="30"/>
        </w:rPr>
      </w:pPr>
      <w:r>
        <w:rPr>
          <w:rFonts w:hint="eastAsia" w:ascii="楷体" w:hAnsi="楷体" w:eastAsia="楷体"/>
          <w:sz w:val="30"/>
          <w:szCs w:val="30"/>
        </w:rPr>
        <w:t>四、财政拨款收入支出决算总表</w:t>
      </w:r>
    </w:p>
    <w:p>
      <w:pPr>
        <w:jc w:val="left"/>
        <w:rPr>
          <w:rFonts w:ascii="楷体" w:hAnsi="楷体" w:eastAsia="楷体"/>
          <w:sz w:val="30"/>
          <w:szCs w:val="30"/>
        </w:rPr>
      </w:pPr>
      <w:r>
        <w:rPr>
          <w:rFonts w:hint="eastAsia" w:ascii="楷体" w:hAnsi="楷体" w:eastAsia="楷体"/>
          <w:sz w:val="30"/>
          <w:szCs w:val="30"/>
        </w:rPr>
        <w:t>五、一般公共预算财政拨款收入支出决算表</w:t>
      </w:r>
    </w:p>
    <w:p>
      <w:pPr>
        <w:jc w:val="left"/>
        <w:rPr>
          <w:rFonts w:ascii="楷体" w:hAnsi="楷体" w:eastAsia="楷体"/>
          <w:sz w:val="30"/>
          <w:szCs w:val="30"/>
        </w:rPr>
      </w:pPr>
      <w:r>
        <w:rPr>
          <w:rFonts w:hint="eastAsia" w:ascii="楷体" w:hAnsi="楷体" w:eastAsia="楷体"/>
          <w:sz w:val="30"/>
          <w:szCs w:val="30"/>
        </w:rPr>
        <w:t>六、一般公共预算财政拨款基本支出决算表</w:t>
      </w:r>
    </w:p>
    <w:p>
      <w:pPr>
        <w:jc w:val="left"/>
        <w:rPr>
          <w:rFonts w:ascii="楷体" w:hAnsi="楷体" w:eastAsia="楷体"/>
          <w:sz w:val="30"/>
          <w:szCs w:val="30"/>
        </w:rPr>
      </w:pPr>
      <w:r>
        <w:rPr>
          <w:rFonts w:hint="eastAsia" w:ascii="楷体" w:hAnsi="楷体" w:eastAsia="楷体"/>
          <w:sz w:val="30"/>
          <w:szCs w:val="30"/>
        </w:rPr>
        <w:t>七、政府性基金预算财政拨款收入支出决算表</w:t>
      </w:r>
    </w:p>
    <w:p>
      <w:pPr>
        <w:jc w:val="left"/>
        <w:rPr>
          <w:rFonts w:ascii="楷体" w:hAnsi="楷体" w:eastAsia="楷体"/>
          <w:sz w:val="30"/>
          <w:szCs w:val="30"/>
        </w:rPr>
      </w:pPr>
      <w:r>
        <w:rPr>
          <w:rFonts w:hint="eastAsia" w:ascii="楷体" w:hAnsi="楷体" w:eastAsia="楷体"/>
          <w:sz w:val="30"/>
          <w:szCs w:val="30"/>
        </w:rPr>
        <w:t>八、国有资本经营预算财政拨款收入支出决算表</w:t>
      </w:r>
    </w:p>
    <w:p>
      <w:pPr>
        <w:jc w:val="left"/>
        <w:rPr>
          <w:rFonts w:ascii="楷体" w:hAnsi="楷体" w:eastAsia="楷体"/>
          <w:sz w:val="30"/>
          <w:szCs w:val="30"/>
        </w:rPr>
      </w:pPr>
      <w:r>
        <w:rPr>
          <w:rFonts w:hint="eastAsia" w:ascii="楷体" w:hAnsi="楷体" w:eastAsia="楷体"/>
          <w:sz w:val="30"/>
          <w:szCs w:val="30"/>
        </w:rPr>
        <w:t>九、“三公”经费、行政参公单位机关运行经费情况表</w:t>
      </w:r>
    </w:p>
    <w:p>
      <w:pPr>
        <w:jc w:val="left"/>
        <w:rPr>
          <w:rFonts w:ascii="黑体" w:hAnsi="黑体" w:eastAsia="黑体"/>
          <w:sz w:val="30"/>
          <w:szCs w:val="30"/>
        </w:rPr>
      </w:pPr>
      <w:r>
        <w:rPr>
          <w:rFonts w:hint="eastAsia" w:ascii="黑体" w:hAnsi="黑体" w:eastAsia="黑体"/>
          <w:sz w:val="30"/>
          <w:szCs w:val="30"/>
        </w:rPr>
        <w:t>第三部分</w:t>
      </w:r>
      <w:r>
        <w:rPr>
          <w:rFonts w:hint="eastAsia" w:ascii="黑体" w:hAnsi="黑体" w:eastAsia="黑体"/>
          <w:sz w:val="30"/>
          <w:szCs w:val="30"/>
          <w:lang w:val="en-US" w:eastAsia="zh-CN"/>
        </w:rPr>
        <w:t xml:space="preserve"> </w:t>
      </w:r>
      <w:r>
        <w:rPr>
          <w:rFonts w:hint="eastAsia" w:ascii="黑体" w:hAnsi="黑体" w:eastAsia="黑体"/>
          <w:sz w:val="30"/>
          <w:szCs w:val="30"/>
        </w:rPr>
        <w:t xml:space="preserve"> </w:t>
      </w:r>
      <w:r>
        <w:rPr>
          <w:rFonts w:hint="eastAsia" w:ascii="黑体" w:hAnsi="黑体" w:eastAsia="黑体"/>
          <w:sz w:val="30"/>
          <w:szCs w:val="30"/>
          <w:lang w:val="en-US" w:eastAsia="zh-CN"/>
        </w:rPr>
        <w:t>2020</w:t>
      </w:r>
      <w:r>
        <w:rPr>
          <w:rFonts w:hint="eastAsia" w:ascii="黑体" w:hAnsi="黑体" w:eastAsia="黑体"/>
          <w:sz w:val="30"/>
          <w:szCs w:val="30"/>
        </w:rPr>
        <w:t>年度部门决算情况说明</w:t>
      </w:r>
    </w:p>
    <w:p>
      <w:pPr>
        <w:jc w:val="left"/>
        <w:rPr>
          <w:rFonts w:ascii="楷体" w:hAnsi="楷体" w:eastAsia="楷体"/>
          <w:sz w:val="30"/>
          <w:szCs w:val="30"/>
        </w:rPr>
      </w:pPr>
      <w:r>
        <w:rPr>
          <w:rFonts w:hint="eastAsia" w:ascii="楷体" w:hAnsi="楷体" w:eastAsia="楷体"/>
          <w:sz w:val="30"/>
          <w:szCs w:val="30"/>
        </w:rPr>
        <w:t>一、收入决算情况说明</w:t>
      </w:r>
    </w:p>
    <w:p>
      <w:pPr>
        <w:jc w:val="left"/>
        <w:rPr>
          <w:rFonts w:ascii="楷体" w:hAnsi="楷体" w:eastAsia="楷体"/>
          <w:sz w:val="30"/>
          <w:szCs w:val="30"/>
        </w:rPr>
      </w:pPr>
      <w:r>
        <w:rPr>
          <w:rFonts w:hint="eastAsia" w:ascii="楷体" w:hAnsi="楷体" w:eastAsia="楷体"/>
          <w:sz w:val="30"/>
          <w:szCs w:val="30"/>
        </w:rPr>
        <w:t>二、支出决算情况说明</w:t>
      </w:r>
    </w:p>
    <w:p>
      <w:pPr>
        <w:jc w:val="left"/>
        <w:rPr>
          <w:rFonts w:ascii="楷体" w:hAnsi="楷体" w:eastAsia="楷体"/>
          <w:sz w:val="30"/>
          <w:szCs w:val="30"/>
        </w:rPr>
      </w:pPr>
      <w:r>
        <w:rPr>
          <w:rFonts w:hint="eastAsia" w:ascii="楷体" w:hAnsi="楷体" w:eastAsia="楷体"/>
          <w:sz w:val="30"/>
          <w:szCs w:val="30"/>
        </w:rPr>
        <w:t>三、一般公共预算财政拨款支出决算情况说明</w:t>
      </w:r>
    </w:p>
    <w:p>
      <w:pPr>
        <w:widowControl/>
        <w:snapToGrid w:val="0"/>
        <w:spacing w:before="100" w:after="100" w:line="360" w:lineRule="auto"/>
        <w:jc w:val="left"/>
        <w:rPr>
          <w:rFonts w:ascii="楷体" w:hAnsi="楷体" w:eastAsia="楷体"/>
          <w:sz w:val="30"/>
          <w:szCs w:val="30"/>
        </w:rPr>
      </w:pPr>
      <w:r>
        <w:rPr>
          <w:rFonts w:hint="eastAsia" w:ascii="楷体" w:hAnsi="楷体" w:eastAsia="楷体"/>
          <w:sz w:val="30"/>
          <w:szCs w:val="30"/>
        </w:rPr>
        <w:t>四、一般公共预算财政拨款“三公”经费支出决算情况说明</w:t>
      </w:r>
    </w:p>
    <w:p>
      <w:pPr>
        <w:widowControl/>
        <w:snapToGrid w:val="0"/>
        <w:spacing w:before="100" w:after="100" w:line="360" w:lineRule="auto"/>
        <w:jc w:val="left"/>
        <w:rPr>
          <w:rFonts w:ascii="黑体" w:hAnsi="黑体" w:eastAsia="黑体"/>
          <w:sz w:val="30"/>
          <w:szCs w:val="30"/>
        </w:rPr>
      </w:pPr>
      <w:r>
        <w:rPr>
          <w:rFonts w:hint="eastAsia" w:ascii="黑体" w:hAnsi="黑体" w:eastAsia="黑体"/>
          <w:sz w:val="30"/>
          <w:szCs w:val="30"/>
        </w:rPr>
        <w:t>第四部分</w:t>
      </w:r>
      <w:r>
        <w:rPr>
          <w:rFonts w:hint="eastAsia" w:ascii="黑体" w:hAnsi="黑体" w:eastAsia="黑体"/>
          <w:sz w:val="30"/>
          <w:szCs w:val="30"/>
          <w:lang w:val="en-US" w:eastAsia="zh-CN"/>
        </w:rPr>
        <w:t xml:space="preserve">  </w:t>
      </w:r>
      <w:r>
        <w:rPr>
          <w:rFonts w:hint="eastAsia" w:ascii="黑体" w:hAnsi="黑体" w:eastAsia="黑体"/>
          <w:sz w:val="30"/>
          <w:szCs w:val="30"/>
        </w:rPr>
        <w:t>其他重要事项及相关口径情况说明</w:t>
      </w:r>
    </w:p>
    <w:p>
      <w:pPr>
        <w:jc w:val="left"/>
        <w:rPr>
          <w:rFonts w:ascii="楷体" w:hAnsi="楷体" w:eastAsia="楷体"/>
          <w:sz w:val="30"/>
          <w:szCs w:val="30"/>
        </w:rPr>
      </w:pPr>
      <w:r>
        <w:rPr>
          <w:rFonts w:hint="eastAsia" w:ascii="楷体" w:hAnsi="楷体" w:eastAsia="楷体"/>
          <w:sz w:val="30"/>
          <w:szCs w:val="30"/>
        </w:rPr>
        <w:t>一、机关运行经费支出情况</w:t>
      </w:r>
    </w:p>
    <w:p>
      <w:pPr>
        <w:jc w:val="left"/>
        <w:rPr>
          <w:rFonts w:ascii="楷体" w:hAnsi="楷体" w:eastAsia="楷体"/>
          <w:sz w:val="30"/>
          <w:szCs w:val="30"/>
        </w:rPr>
      </w:pPr>
      <w:r>
        <w:rPr>
          <w:rFonts w:hint="eastAsia" w:ascii="楷体" w:hAnsi="楷体" w:eastAsia="楷体"/>
          <w:sz w:val="30"/>
          <w:szCs w:val="30"/>
        </w:rPr>
        <w:t>二、国有资产占用情况</w:t>
      </w:r>
    </w:p>
    <w:p>
      <w:pPr>
        <w:jc w:val="left"/>
        <w:rPr>
          <w:rFonts w:ascii="楷体" w:hAnsi="楷体" w:eastAsia="楷体"/>
          <w:sz w:val="30"/>
          <w:szCs w:val="30"/>
        </w:rPr>
      </w:pPr>
      <w:r>
        <w:rPr>
          <w:rFonts w:hint="eastAsia" w:ascii="楷体" w:hAnsi="楷体" w:eastAsia="楷体"/>
          <w:sz w:val="30"/>
          <w:szCs w:val="30"/>
        </w:rPr>
        <w:t>三、政府采购支出情况</w:t>
      </w:r>
    </w:p>
    <w:p>
      <w:pPr>
        <w:jc w:val="left"/>
        <w:rPr>
          <w:rFonts w:ascii="楷体" w:hAnsi="楷体" w:eastAsia="楷体"/>
          <w:sz w:val="30"/>
          <w:szCs w:val="30"/>
        </w:rPr>
      </w:pPr>
      <w:r>
        <w:rPr>
          <w:rFonts w:hint="eastAsia" w:ascii="楷体" w:hAnsi="楷体" w:eastAsia="楷体"/>
          <w:sz w:val="30"/>
          <w:szCs w:val="30"/>
        </w:rPr>
        <w:t>四、部门绩效自评情况</w:t>
      </w:r>
    </w:p>
    <w:p>
      <w:pPr>
        <w:jc w:val="left"/>
        <w:rPr>
          <w:rFonts w:ascii="楷体" w:hAnsi="楷体" w:eastAsia="楷体"/>
          <w:sz w:val="30"/>
          <w:szCs w:val="30"/>
        </w:rPr>
      </w:pPr>
      <w:r>
        <w:rPr>
          <w:rFonts w:hint="eastAsia" w:ascii="楷体" w:hAnsi="楷体" w:eastAsia="楷体"/>
          <w:sz w:val="30"/>
          <w:szCs w:val="30"/>
        </w:rPr>
        <w:t>（一）部门整体支出绩效自评情况</w:t>
      </w:r>
    </w:p>
    <w:p>
      <w:pPr>
        <w:jc w:val="left"/>
        <w:rPr>
          <w:rFonts w:ascii="楷体" w:hAnsi="楷体" w:eastAsia="楷体"/>
          <w:sz w:val="30"/>
          <w:szCs w:val="30"/>
        </w:rPr>
      </w:pPr>
      <w:r>
        <w:rPr>
          <w:rFonts w:hint="eastAsia" w:ascii="楷体" w:hAnsi="楷体" w:eastAsia="楷体"/>
          <w:sz w:val="30"/>
          <w:szCs w:val="30"/>
        </w:rPr>
        <w:t>（二）部门整体支出绩效自评表</w:t>
      </w:r>
    </w:p>
    <w:p>
      <w:pPr>
        <w:jc w:val="left"/>
        <w:rPr>
          <w:rFonts w:ascii="楷体" w:hAnsi="楷体" w:eastAsia="楷体"/>
          <w:sz w:val="30"/>
          <w:szCs w:val="30"/>
        </w:rPr>
      </w:pPr>
      <w:r>
        <w:rPr>
          <w:rFonts w:hint="eastAsia" w:ascii="楷体" w:hAnsi="楷体" w:eastAsia="楷体"/>
          <w:sz w:val="30"/>
          <w:szCs w:val="30"/>
        </w:rPr>
        <w:t>（三）项目支出绩效自评表</w:t>
      </w:r>
    </w:p>
    <w:p>
      <w:pPr>
        <w:jc w:val="left"/>
        <w:rPr>
          <w:rFonts w:ascii="楷体" w:hAnsi="楷体" w:eastAsia="楷体"/>
          <w:sz w:val="30"/>
          <w:szCs w:val="30"/>
        </w:rPr>
      </w:pPr>
      <w:r>
        <w:rPr>
          <w:rFonts w:hint="eastAsia" w:ascii="楷体" w:hAnsi="楷体" w:eastAsia="楷体"/>
          <w:sz w:val="30"/>
          <w:szCs w:val="30"/>
        </w:rPr>
        <w:t>五、其他重要事项情况说明</w:t>
      </w:r>
    </w:p>
    <w:p>
      <w:pPr>
        <w:widowControl/>
        <w:snapToGrid w:val="0"/>
        <w:spacing w:before="100" w:after="100" w:line="360" w:lineRule="auto"/>
        <w:jc w:val="left"/>
        <w:rPr>
          <w:rFonts w:ascii="黑体" w:hAnsi="黑体" w:eastAsia="黑体"/>
          <w:sz w:val="30"/>
          <w:szCs w:val="30"/>
        </w:rPr>
      </w:pPr>
      <w:r>
        <w:rPr>
          <w:rFonts w:hint="eastAsia" w:ascii="黑体" w:hAnsi="黑体" w:eastAsia="黑体"/>
          <w:sz w:val="30"/>
          <w:szCs w:val="30"/>
        </w:rPr>
        <w:t xml:space="preserve">第五部分 </w:t>
      </w:r>
      <w:r>
        <w:rPr>
          <w:rFonts w:hint="eastAsia" w:ascii="黑体" w:hAnsi="黑体" w:eastAsia="黑体"/>
          <w:sz w:val="30"/>
          <w:szCs w:val="30"/>
          <w:lang w:val="en-US" w:eastAsia="zh-CN"/>
        </w:rPr>
        <w:t xml:space="preserve"> </w:t>
      </w:r>
      <w:r>
        <w:rPr>
          <w:rFonts w:hint="eastAsia" w:ascii="黑体" w:hAnsi="黑体" w:eastAsia="黑体"/>
          <w:sz w:val="30"/>
          <w:szCs w:val="30"/>
        </w:rPr>
        <w:t>名词解释</w:t>
      </w:r>
    </w:p>
    <w:p>
      <w:pPr>
        <w:jc w:val="center"/>
        <w:rPr>
          <w:rFonts w:ascii="黑体" w:hAnsi="黑体" w:eastAsia="黑体"/>
          <w:sz w:val="32"/>
          <w:szCs w:val="32"/>
        </w:rPr>
      </w:pPr>
    </w:p>
    <w:p>
      <w:pPr>
        <w:jc w:val="center"/>
        <w:rPr>
          <w:rFonts w:ascii="黑体" w:hAnsi="黑体" w:eastAsia="黑体"/>
          <w:sz w:val="32"/>
          <w:szCs w:val="32"/>
        </w:rPr>
      </w:pPr>
    </w:p>
    <w:p>
      <w:pPr>
        <w:jc w:val="center"/>
        <w:rPr>
          <w:rFonts w:ascii="黑体" w:hAnsi="黑体" w:eastAsia="黑体"/>
          <w:sz w:val="32"/>
          <w:szCs w:val="32"/>
        </w:rPr>
      </w:pPr>
    </w:p>
    <w:p>
      <w:pPr>
        <w:jc w:val="center"/>
        <w:rPr>
          <w:rFonts w:ascii="黑体" w:hAnsi="黑体" w:eastAsia="黑体"/>
          <w:sz w:val="32"/>
          <w:szCs w:val="32"/>
        </w:rPr>
      </w:pPr>
    </w:p>
    <w:p>
      <w:pPr>
        <w:jc w:val="center"/>
        <w:rPr>
          <w:rFonts w:ascii="黑体" w:hAnsi="黑体" w:eastAsia="黑体"/>
          <w:sz w:val="32"/>
          <w:szCs w:val="32"/>
        </w:rPr>
      </w:pPr>
    </w:p>
    <w:p>
      <w:pPr>
        <w:jc w:val="center"/>
        <w:rPr>
          <w:rFonts w:ascii="黑体" w:hAnsi="黑体" w:eastAsia="黑体"/>
          <w:sz w:val="32"/>
          <w:szCs w:val="32"/>
        </w:rPr>
      </w:pPr>
    </w:p>
    <w:p>
      <w:pPr>
        <w:jc w:val="center"/>
        <w:rPr>
          <w:rFonts w:ascii="黑体" w:hAnsi="黑体" w:eastAsia="黑体"/>
          <w:sz w:val="32"/>
          <w:szCs w:val="32"/>
        </w:rPr>
      </w:pPr>
    </w:p>
    <w:p>
      <w:pPr>
        <w:jc w:val="center"/>
        <w:rPr>
          <w:rFonts w:ascii="黑体" w:hAnsi="黑体" w:eastAsia="黑体"/>
          <w:sz w:val="32"/>
          <w:szCs w:val="32"/>
        </w:rPr>
      </w:pPr>
    </w:p>
    <w:p>
      <w:pPr>
        <w:jc w:val="center"/>
        <w:rPr>
          <w:rFonts w:ascii="黑体" w:hAnsi="黑体" w:eastAsia="黑体"/>
          <w:sz w:val="32"/>
          <w:szCs w:val="32"/>
        </w:rPr>
      </w:pPr>
    </w:p>
    <w:p>
      <w:pPr>
        <w:jc w:val="center"/>
        <w:rPr>
          <w:rFonts w:ascii="黑体" w:hAnsi="黑体" w:eastAsia="黑体"/>
          <w:sz w:val="32"/>
          <w:szCs w:val="32"/>
        </w:rPr>
      </w:pPr>
    </w:p>
    <w:p>
      <w:pPr>
        <w:rPr>
          <w:rFonts w:ascii="黑体" w:hAnsi="黑体" w:eastAsia="黑体"/>
          <w:sz w:val="32"/>
          <w:szCs w:val="32"/>
        </w:rPr>
      </w:pPr>
    </w:p>
    <w:p>
      <w:pPr>
        <w:jc w:val="center"/>
        <w:rPr>
          <w:rFonts w:ascii="黑体" w:hAnsi="黑体" w:eastAsia="黑体"/>
          <w:sz w:val="32"/>
          <w:szCs w:val="32"/>
        </w:rPr>
      </w:pPr>
      <w:r>
        <w:rPr>
          <w:rFonts w:hint="eastAsia" w:ascii="黑体" w:hAnsi="黑体" w:eastAsia="黑体"/>
          <w:sz w:val="32"/>
          <w:szCs w:val="32"/>
        </w:rPr>
        <w:t>第一部分  昆明市盘龙区财政局概况</w:t>
      </w:r>
    </w:p>
    <w:p>
      <w:pPr>
        <w:spacing w:line="600" w:lineRule="exact"/>
        <w:ind w:firstLine="600" w:firstLineChars="200"/>
        <w:rPr>
          <w:rFonts w:ascii="黑体" w:hAnsi="黑体" w:eastAsia="黑体"/>
          <w:sz w:val="30"/>
          <w:szCs w:val="30"/>
        </w:rPr>
      </w:pPr>
      <w:r>
        <w:rPr>
          <w:rFonts w:hint="eastAsia" w:ascii="黑体" w:hAnsi="黑体" w:eastAsia="黑体"/>
          <w:sz w:val="30"/>
          <w:szCs w:val="30"/>
        </w:rPr>
        <w:t>一、主要职能</w:t>
      </w:r>
    </w:p>
    <w:p>
      <w:pPr>
        <w:spacing w:line="600" w:lineRule="exact"/>
        <w:ind w:firstLine="600" w:firstLineChars="200"/>
        <w:rPr>
          <w:rFonts w:ascii="楷体" w:hAnsi="楷体" w:eastAsia="楷体"/>
          <w:sz w:val="30"/>
          <w:szCs w:val="30"/>
        </w:rPr>
      </w:pPr>
      <w:r>
        <w:rPr>
          <w:rFonts w:hint="eastAsia" w:ascii="楷体" w:hAnsi="楷体" w:eastAsia="楷体"/>
          <w:bCs/>
          <w:sz w:val="30"/>
          <w:szCs w:val="30"/>
        </w:rPr>
        <w:t>（一）主要职能</w:t>
      </w:r>
    </w:p>
    <w:p>
      <w:pPr>
        <w:pStyle w:val="2"/>
        <w:adjustRightInd w:val="0"/>
        <w:snapToGrid w:val="0"/>
        <w:spacing w:before="93" w:line="600" w:lineRule="exact"/>
        <w:ind w:firstLine="630" w:firstLineChars="210"/>
        <w:rPr>
          <w:rFonts w:hint="eastAsia"/>
          <w:bCs/>
          <w:szCs w:val="30"/>
        </w:rPr>
      </w:pPr>
      <w:r>
        <w:rPr>
          <w:rFonts w:hint="eastAsia"/>
          <w:bCs/>
          <w:szCs w:val="30"/>
          <w:lang w:eastAsia="zh-CN"/>
        </w:rPr>
        <w:t>昆明市</w:t>
      </w:r>
      <w:r>
        <w:rPr>
          <w:rFonts w:hint="eastAsia"/>
          <w:bCs/>
          <w:szCs w:val="30"/>
        </w:rPr>
        <w:t>盘龙区财政局贯彻落实党中央、省委、市委关于财经工作的方针政策、决策部署和区委的工作要求，在履行职责过程中坚持和加强党对财政工作的集中统一领导。主要职责:</w:t>
      </w:r>
    </w:p>
    <w:p>
      <w:pPr>
        <w:pStyle w:val="2"/>
        <w:adjustRightInd w:val="0"/>
        <w:snapToGrid w:val="0"/>
        <w:spacing w:before="93" w:line="600" w:lineRule="exact"/>
        <w:ind w:firstLine="630" w:firstLineChars="210"/>
        <w:rPr>
          <w:rFonts w:hint="eastAsia"/>
          <w:bCs/>
          <w:szCs w:val="30"/>
        </w:rPr>
      </w:pPr>
      <w:r>
        <w:rPr>
          <w:rFonts w:hint="eastAsia"/>
          <w:bCs/>
          <w:szCs w:val="30"/>
        </w:rPr>
        <w:t>贯彻执行国家、省、市财税发展战略、方针、政策。拟订财政中长期发展规划、相关政策和改革方案并组织实施。分析预测宏观经济形势，参与制定各项宏观经济政策，提出加强财源建设和运用财税政策实施宏观调控、综合平衡财力的建议。</w:t>
      </w:r>
    </w:p>
    <w:p>
      <w:pPr>
        <w:pStyle w:val="2"/>
        <w:adjustRightInd w:val="0"/>
        <w:snapToGrid w:val="0"/>
        <w:spacing w:before="93" w:line="600" w:lineRule="exact"/>
        <w:ind w:firstLine="630" w:firstLineChars="210"/>
        <w:rPr>
          <w:rFonts w:hint="eastAsia"/>
          <w:bCs/>
          <w:szCs w:val="30"/>
        </w:rPr>
      </w:pPr>
      <w:r>
        <w:rPr>
          <w:rFonts w:hint="eastAsia"/>
          <w:bCs/>
          <w:szCs w:val="30"/>
        </w:rPr>
        <w:t>组织拟订国库管理制度、国库集中收付制度并组织实施。组织编制政府财务报告。管理财政专户和预算单位账户。负责贯彻执行政府采购制度并监督管理。</w:t>
      </w:r>
    </w:p>
    <w:p>
      <w:pPr>
        <w:pStyle w:val="2"/>
        <w:adjustRightInd w:val="0"/>
        <w:snapToGrid w:val="0"/>
        <w:spacing w:before="93" w:line="600" w:lineRule="exact"/>
        <w:ind w:firstLine="630" w:firstLineChars="210"/>
        <w:rPr>
          <w:rFonts w:hint="eastAsia"/>
          <w:bCs/>
          <w:szCs w:val="30"/>
        </w:rPr>
      </w:pPr>
      <w:r>
        <w:rPr>
          <w:rFonts w:hint="eastAsia"/>
          <w:bCs/>
          <w:szCs w:val="30"/>
        </w:rPr>
        <w:t>按照分工负责政府非税收入管理。拟订区级政府非税收入管理制度。按规定管理行政事业性收费。负责管理财政票据。负责管理区级住房基金。</w:t>
      </w:r>
    </w:p>
    <w:p>
      <w:pPr>
        <w:pStyle w:val="2"/>
        <w:adjustRightInd w:val="0"/>
        <w:snapToGrid w:val="0"/>
        <w:spacing w:before="93" w:line="600" w:lineRule="exact"/>
        <w:ind w:firstLine="630" w:firstLineChars="210"/>
        <w:rPr>
          <w:rFonts w:hint="eastAsia"/>
          <w:bCs/>
          <w:szCs w:val="30"/>
        </w:rPr>
      </w:pPr>
      <w:r>
        <w:rPr>
          <w:rFonts w:hint="eastAsia"/>
          <w:bCs/>
          <w:szCs w:val="30"/>
        </w:rPr>
        <w:t>拟订政府性基金管理制度，监督管理政府性基金收支活动。审核并汇总编制区级政府性基金预决算草案，提出政府性基金与一般公共预算统筹安排的建议。</w:t>
      </w:r>
    </w:p>
    <w:p>
      <w:pPr>
        <w:pStyle w:val="2"/>
        <w:adjustRightInd w:val="0"/>
        <w:snapToGrid w:val="0"/>
        <w:spacing w:before="93" w:line="600" w:lineRule="exact"/>
        <w:ind w:firstLine="630" w:firstLineChars="210"/>
        <w:rPr>
          <w:rFonts w:hint="eastAsia"/>
          <w:bCs/>
          <w:szCs w:val="30"/>
        </w:rPr>
      </w:pPr>
      <w:r>
        <w:rPr>
          <w:rFonts w:hint="eastAsia"/>
          <w:bCs/>
          <w:szCs w:val="30"/>
        </w:rPr>
        <w:t>拟订区级国有资本经营预算制度和办法。负责审核和汇总国有资本经营预决算草案，监缴区属国有企业国有资本收益。</w:t>
      </w:r>
    </w:p>
    <w:p>
      <w:pPr>
        <w:pStyle w:val="2"/>
        <w:adjustRightInd w:val="0"/>
        <w:snapToGrid w:val="0"/>
        <w:spacing w:before="93" w:line="600" w:lineRule="exact"/>
        <w:ind w:firstLine="630" w:firstLineChars="210"/>
        <w:rPr>
          <w:rFonts w:hint="eastAsia"/>
          <w:bCs/>
          <w:szCs w:val="30"/>
        </w:rPr>
      </w:pPr>
      <w:r>
        <w:rPr>
          <w:rFonts w:hint="eastAsia"/>
          <w:bCs/>
          <w:szCs w:val="30"/>
        </w:rPr>
        <w:t>承担区级各项财政收支管理职责。编制全区年度财政预决算草案并组织执行。草拟区政府向区人民代表大会及其常委会报告的财政预算、执行和决算等情况材料。负责审核批复部门（单位）的年度预决算。负责区级财政预决算公开工作，牵头组织全区各预算单位公开部门预决算。会同有关部门拟订有关资金（基金）的财务管理制度。</w:t>
      </w:r>
    </w:p>
    <w:p>
      <w:pPr>
        <w:pStyle w:val="2"/>
        <w:adjustRightInd w:val="0"/>
        <w:snapToGrid w:val="0"/>
        <w:spacing w:before="93" w:line="600" w:lineRule="exact"/>
        <w:ind w:firstLine="630" w:firstLineChars="210"/>
        <w:rPr>
          <w:rFonts w:hint="eastAsia"/>
          <w:bCs/>
          <w:szCs w:val="30"/>
        </w:rPr>
      </w:pPr>
      <w:r>
        <w:rPr>
          <w:rFonts w:hint="eastAsia"/>
          <w:bCs/>
          <w:szCs w:val="30"/>
        </w:rPr>
        <w:t>拟订和执行政府债务管理制度和办法。承担政府性债务的日常管理职责，指导和监督单位加强政府性债务管理。</w:t>
      </w:r>
    </w:p>
    <w:p>
      <w:pPr>
        <w:pStyle w:val="2"/>
        <w:adjustRightInd w:val="0"/>
        <w:snapToGrid w:val="0"/>
        <w:spacing w:before="93" w:line="600" w:lineRule="exact"/>
        <w:ind w:firstLine="630" w:firstLineChars="210"/>
        <w:rPr>
          <w:rFonts w:hint="eastAsia"/>
          <w:bCs/>
          <w:szCs w:val="30"/>
        </w:rPr>
      </w:pPr>
      <w:r>
        <w:rPr>
          <w:rFonts w:hint="eastAsia"/>
          <w:bCs/>
          <w:szCs w:val="30"/>
        </w:rPr>
        <w:t>负责办理和监督政府投资建设项目的财政拨款，参与拟订区级基建投资有关政策，拟订基建财务管理制度并监督实施。</w:t>
      </w:r>
    </w:p>
    <w:p>
      <w:pPr>
        <w:pStyle w:val="2"/>
        <w:adjustRightInd w:val="0"/>
        <w:snapToGrid w:val="0"/>
        <w:spacing w:before="93" w:line="600" w:lineRule="exact"/>
        <w:ind w:firstLine="630" w:firstLineChars="210"/>
        <w:rPr>
          <w:rFonts w:hint="eastAsia"/>
          <w:bCs/>
          <w:szCs w:val="30"/>
        </w:rPr>
      </w:pPr>
      <w:r>
        <w:rPr>
          <w:rFonts w:hint="eastAsia"/>
          <w:bCs/>
          <w:szCs w:val="30"/>
        </w:rPr>
        <w:t>负责管理全区会计工作，监督和规范会计行为，组织实施国家统一的会计制度。保障会计人员依法行使职责。负责和组织会计人员业务培训和继续教育。负责全区会计代理记账机构审批及管理。</w:t>
      </w:r>
    </w:p>
    <w:p>
      <w:pPr>
        <w:pStyle w:val="2"/>
        <w:adjustRightInd w:val="0"/>
        <w:snapToGrid w:val="0"/>
        <w:spacing w:before="93" w:line="600" w:lineRule="exact"/>
        <w:ind w:firstLine="630" w:firstLineChars="210"/>
        <w:rPr>
          <w:rFonts w:hint="eastAsia"/>
          <w:bCs/>
          <w:szCs w:val="30"/>
        </w:rPr>
      </w:pPr>
      <w:r>
        <w:rPr>
          <w:rFonts w:hint="eastAsia"/>
          <w:bCs/>
          <w:szCs w:val="30"/>
        </w:rPr>
        <w:t>承担财税法规和政策的执行情况、预算管理有关监督工作，反映财政管理中的重大问题，对违反财经纪律的事项进行处理。</w:t>
      </w:r>
    </w:p>
    <w:p>
      <w:pPr>
        <w:pStyle w:val="2"/>
        <w:adjustRightInd w:val="0"/>
        <w:snapToGrid w:val="0"/>
        <w:spacing w:before="93" w:line="600" w:lineRule="exact"/>
        <w:ind w:firstLine="630" w:firstLineChars="210"/>
        <w:rPr>
          <w:rFonts w:hint="eastAsia"/>
          <w:bCs/>
          <w:szCs w:val="30"/>
        </w:rPr>
      </w:pPr>
      <w:r>
        <w:rPr>
          <w:rFonts w:hint="eastAsia"/>
          <w:bCs/>
          <w:szCs w:val="30"/>
        </w:rPr>
        <w:t>组织和指导区级部门预算绩效管理工作，参与绩效目标审核，实施绩效跟踪，组织绩效评价，提出绩效跟踪和评价结果应用的政策建议，建立绩效跟踪、评价结果应用及预算绩效管理长效机制。</w:t>
      </w:r>
    </w:p>
    <w:p>
      <w:pPr>
        <w:pStyle w:val="2"/>
        <w:adjustRightInd w:val="0"/>
        <w:snapToGrid w:val="0"/>
        <w:spacing w:before="93" w:line="600" w:lineRule="exact"/>
        <w:ind w:firstLine="630" w:firstLineChars="210"/>
        <w:rPr>
          <w:rFonts w:hint="eastAsia"/>
          <w:bCs/>
          <w:szCs w:val="30"/>
        </w:rPr>
      </w:pPr>
      <w:r>
        <w:rPr>
          <w:rFonts w:hint="eastAsia"/>
          <w:bCs/>
          <w:szCs w:val="30"/>
        </w:rPr>
        <w:t>按照规定拟订行政事业单位国有资产管理制度并组织实施。牵头编制年度国有资产管理情况报告。</w:t>
      </w:r>
    </w:p>
    <w:p>
      <w:pPr>
        <w:pStyle w:val="2"/>
        <w:adjustRightInd w:val="0"/>
        <w:snapToGrid w:val="0"/>
        <w:spacing w:before="93" w:line="600" w:lineRule="exact"/>
        <w:ind w:firstLine="630" w:firstLineChars="210"/>
        <w:rPr>
          <w:rFonts w:hint="eastAsia"/>
          <w:bCs/>
          <w:szCs w:val="30"/>
        </w:rPr>
      </w:pPr>
      <w:r>
        <w:rPr>
          <w:rFonts w:hint="eastAsia"/>
          <w:bCs/>
          <w:szCs w:val="30"/>
        </w:rPr>
        <w:t>根据区政府授权履行国有资本出资人职责，拟订国有资本管理相关制度。承担国有企业改革审批管理职能。负责本行业领域的安全生产监管工作。</w:t>
      </w:r>
    </w:p>
    <w:p>
      <w:pPr>
        <w:pStyle w:val="2"/>
        <w:adjustRightInd w:val="0"/>
        <w:snapToGrid w:val="0"/>
        <w:spacing w:before="93" w:line="600" w:lineRule="exact"/>
        <w:ind w:firstLine="630" w:firstLineChars="210"/>
        <w:rPr>
          <w:rFonts w:hint="eastAsia"/>
          <w:bCs/>
          <w:szCs w:val="30"/>
        </w:rPr>
      </w:pPr>
      <w:r>
        <w:rPr>
          <w:rFonts w:hint="eastAsia"/>
          <w:bCs/>
          <w:szCs w:val="30"/>
        </w:rPr>
        <w:t>贯彻执行国家、省、市金融法律、法规和方针、政策，协调、配合驻区金融监管机构开展工作。</w:t>
      </w:r>
    </w:p>
    <w:p>
      <w:pPr>
        <w:pStyle w:val="2"/>
        <w:adjustRightInd w:val="0"/>
        <w:snapToGrid w:val="0"/>
        <w:spacing w:before="93" w:line="600" w:lineRule="exact"/>
        <w:ind w:firstLine="630" w:firstLineChars="210"/>
        <w:rPr>
          <w:bCs/>
          <w:szCs w:val="30"/>
        </w:rPr>
      </w:pPr>
      <w:r>
        <w:rPr>
          <w:rFonts w:hint="eastAsia"/>
          <w:bCs/>
          <w:szCs w:val="30"/>
        </w:rPr>
        <w:t>完成区委、区政府交办的其他任务。</w:t>
      </w:r>
    </w:p>
    <w:p>
      <w:pPr>
        <w:pStyle w:val="2"/>
        <w:adjustRightInd w:val="0"/>
        <w:snapToGrid w:val="0"/>
        <w:spacing w:before="93" w:line="600" w:lineRule="exact"/>
        <w:ind w:firstLine="630" w:firstLineChars="210"/>
        <w:rPr>
          <w:rFonts w:ascii="楷体" w:hAnsi="楷体" w:eastAsia="楷体"/>
          <w:bCs/>
          <w:szCs w:val="30"/>
        </w:rPr>
      </w:pPr>
      <w:r>
        <w:rPr>
          <w:rFonts w:hint="eastAsia" w:ascii="楷体" w:hAnsi="楷体" w:eastAsia="楷体"/>
          <w:bCs/>
          <w:szCs w:val="30"/>
        </w:rPr>
        <w:t>（二）</w:t>
      </w:r>
      <w:r>
        <w:rPr>
          <w:rFonts w:hint="eastAsia" w:ascii="楷体" w:hAnsi="楷体" w:eastAsia="楷体"/>
          <w:bCs/>
          <w:szCs w:val="30"/>
          <w:lang w:val="en-US" w:eastAsia="zh-CN"/>
        </w:rPr>
        <w:t>2020</w:t>
      </w:r>
      <w:r>
        <w:rPr>
          <w:rFonts w:hint="eastAsia" w:ascii="楷体" w:hAnsi="楷体" w:eastAsia="楷体"/>
          <w:bCs/>
          <w:szCs w:val="30"/>
        </w:rPr>
        <w:t>年度重点工作任务介绍</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1.多角度培植财源税源，进一步增强内生动力</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一是强化招商力度，深化税源涵养，提高财政可持续发展能力。进一步贯彻国家《优化营商环境条例》，持续深化“放管服”改革，继续加大招商引资力度。围绕东风广场中央商务区、北京路楼宇经济带、茨坝生物科技创新中心、东白沙河汽车服务产业带重点招商区域和金融、商贸、科技信息、文化创意、区块链等重点产业开展精准招商，把招商引资作为“增量经济”“潜在财源”，积极引进带动优质项目，努力培植支柱型产业和优势产业；二是加强企业培育，稳固存量税源。更加精准制定年度稳增长政策措施，严格兑现各项奖励扶持政策，释放政策红利。强化企业结对帮扶，认真实施企业培育扶持政策，促进企业扩销促产，增强市场主体活力，稳固存量税源；三是加强财政监测分析，完善重点税源监控制度，通过抓重点产业、抓大户，提升服务企业水平。建立财税联动机制，及时研判分析收入现状和征收中存在的困难和问题，研究探讨加强财税征管的措施办法。</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2.多途径落实减税降费，进一步增强发展动能</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一是继续贯彻落实企业减负各项工作，巩固减税降费成效，降低企业运行成本；二是坚持落实减税降费与依法组织收入两手抓，存量清欠与增量挖掘两手硬，既确保减税降费政策落实落细，又确保应收尽收，开源节流挖潜，确保收支平衡；三是加强收入预算执行分析研判，努力提高税收收入占比，加快改善收入质量。规范非税收入征缴管理，挖掘收入增收潜力。</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3.多用途发挥财政职能，全力做好疫情防控保障</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一是全面落实国家、省、市、区对疫情防控相关决策部署，第一时间进入“一级应急响应”，切实加强组织领导和统筹协调，及时安排拨付资金，加强政策落实，做到应保尽保，全力保障新型冠状病毒感染肺炎疫情防控防治；二是按照特事特办原则，开辟了资金“快速通道”，对防疫资金使用需求，盘活存量资金，经批准后足额下达，第一时间予以拨付。截至10月22日，区级财政共计安排新型冠状病毒感染肺炎防控及处置相关专项资金1,685万元，及时下达拨付上级疫情防控补助资金1,828.26万元，其中:中央资金1,544.46万元，省级资金122.84万元，市级资金160.96万元，用于保障卫生部门医疗救治、购置检验检疫设备、检测试剂耗材等应急物资等防控工作；三是制定出台《昆明市盘龙区财政局关于认真执行&lt;财政部办公厅关于疫情防控采购便利化的通知&gt;的通知》。简化政府采购流程，对部门急需采购的疫情相关物资，按照“特事特办、急事急办”的原则，实施应急采购模式，由各部门自行组织采购，并通过单位内控制度实施管理，确保疫情防控工作有力有序有效开展；四是积极贯彻落实国家、省、市、区各项疫情防控期间金融支持、税收优惠、社会保险政策，全力支持疫情防控。</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4.多层次优化支出结构，进一步强化厉行节约</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一是强化财政支出管理，牢固树立党政机关带头过“紧日子”的思想，建立健全厉行节约反对浪费长效机制；二是加大财政资金统筹力度，坚决压减一般性支出，加强“三公经费”管理，2020年部门预算中各单位“三公经费”总预算数和各分项预算数均不突破上年预算规模，公用经费、培训费、会议费一律按照不低于5%的比例压减，优先保基本、防风险、保重点、补短板，更好地调结构、保发展、惠民生。</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5.多方面加大投入力度，进一步增进民生福祉</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一是强化民生托底，突出保障基本民生。坚持把民生作为优先保障重点，稳步增加民生投入。着力打造教育强区，建立与区域性国际中心城市核心城区相适应的教育现代化体系。推进卫生基础布点布局专项规划落实，进一步完善基层卫生服务网络。完善公共文化服务，丰富群众文化生活。夯实乡村振兴基础，增强农村发展动能，改善农村人居环境；二是加强就业和社会保障工作，坚持创造更多就业岗位和稳定现有就业岗位并重，落实就业创业政策。进一步巩固全民参保登记成果，探索将非本地户籍灵活就业人员纳入参保范围。加大城乡低保、特困人员供养、医疗救助和临时救助力度。继续推进居家养老服务中心、农村互助养老服务站建设；三是继续探索财政投入方式，充分发挥财政资金引导撬动作用，多渠道、多方式筹措资金，调整优化支出结构，支持重点工作支出。支持环境保护和治理，加大污染治理投入，加大生态环境保护力度，全面改善城乡环境面貌和质量。</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6.多方位深化财税改革，进一步规范财政管理</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一是大力推进全过程预算绩效管理工作。切实加大对财政资金的监督检查和预算绩效管理力度，持续推进预算管理和绩效管理深度融合，强化预算事前评价。强化绩效目标管理，做好绩效运行监控。优化完善绩效评价考核机制，健全绩效评价结果反馈和整改制度，强化评价结果和考核结果运用；二是坚持“依法采购、优质服务、规范操作、廉洁高效”的服务宗旨，秉承“公开透明、公平竞争、公正和诚实信用”的原则规范做好政府采购监管工作。进一步转变政府职能，坚持合法合规、规范政府购买服务，提高公共服务水平和效率；三是依托国有资产清查工作成果，理顺我区资产管理关系，建立健全内部管理制度，强化资产管理责任，确保资产的安全与完整。同时明确分类管理，提升管理效益，全面提高国有资产管理水平。</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7.多渠道规范资金监管，进一步筑牢风险防线</w:t>
      </w:r>
    </w:p>
    <w:p>
      <w:pPr>
        <w:pStyle w:val="2"/>
        <w:adjustRightInd w:val="0"/>
        <w:snapToGrid w:val="0"/>
        <w:spacing w:before="93" w:line="600" w:lineRule="exact"/>
        <w:ind w:firstLine="630" w:firstLineChars="210"/>
        <w:rPr>
          <w:rFonts w:hint="eastAsia" w:eastAsia="仿宋_GB2312"/>
          <w:bCs/>
          <w:szCs w:val="30"/>
          <w:highlight w:val="none"/>
          <w:lang w:eastAsia="zh-CN"/>
        </w:rPr>
      </w:pPr>
      <w:r>
        <w:rPr>
          <w:rFonts w:hint="eastAsia"/>
          <w:bCs/>
          <w:szCs w:val="30"/>
          <w:highlight w:val="none"/>
        </w:rPr>
        <w:t>一是有序推进政府会计制度等领域改革。持续做好政府会计改革会计人员指导培训，组织开展2019年度政府财务报告编制试点工作，加快推进权责发生制政府综合财务报告制度改革。同时按照省财政厅工作部署，大力推进政府会计核算管理改革，通过统一预算单位会计核算系统，确保政府会计信息的及时性、完整性、真实性，全面提升政府会计管理水平；二是加强财政监督检查力度。严肃财经纪律，推进财政监督全覆盖管理，努力构建预算编制、执行、管理、监督和绩效评价“五位一体”的财政管理机制；三是进一步加强财政投资评审工作。逐步完善对建设项目的预（决）算评审评价机制，对财政资金使用进行全方位的监管，开展盘龙区项目用地土地成本评审相关业务工作和部分城中村改造项目原社会投资人清算评审工作；四是逐步推进行政事业单位内部控制规范化建设工作，进一步提高行政事业单位内部治理水平和权力运行效能；五是严格贯彻落实中央、省、市关于“防范化解地方政府债务风险”的各项决策部署文件，切实履职尽责，在防范和化解政府债务风险方面深入谋划部署、逐项分析研究、全面落实整改，积极防控政府债务风险，逐步规范地方政府举债行为，有效控制地方债务增长；六是建立健全防范、摸排、打击、化解四位一体的金融风险防范化解机制，严厉打击涉金融犯罪，重点防范化解P2P网络借贷、民间融资登记服务机构和涉农非法集资等风险</w:t>
      </w:r>
      <w:r>
        <w:rPr>
          <w:rFonts w:hint="eastAsia"/>
          <w:bCs/>
          <w:szCs w:val="30"/>
          <w:highlight w:val="none"/>
          <w:lang w:eastAsia="zh-CN"/>
        </w:rPr>
        <w:t>。</w:t>
      </w:r>
    </w:p>
    <w:p>
      <w:pPr>
        <w:pStyle w:val="2"/>
        <w:adjustRightInd w:val="0"/>
        <w:snapToGrid w:val="0"/>
        <w:spacing w:before="93" w:line="600" w:lineRule="exact"/>
        <w:ind w:firstLine="630" w:firstLineChars="210"/>
        <w:rPr>
          <w:rFonts w:hint="eastAsia"/>
          <w:bCs/>
          <w:szCs w:val="30"/>
          <w:highlight w:val="none"/>
        </w:rPr>
      </w:pPr>
      <w:r>
        <w:rPr>
          <w:rFonts w:hint="eastAsia"/>
          <w:bCs/>
          <w:szCs w:val="30"/>
          <w:highlight w:val="none"/>
        </w:rPr>
        <w:t>8.严格规范财政评审，进一步依法依规开展</w:t>
      </w:r>
    </w:p>
    <w:p>
      <w:pPr>
        <w:pStyle w:val="2"/>
        <w:adjustRightInd w:val="0"/>
        <w:snapToGrid w:val="0"/>
        <w:spacing w:before="93" w:line="600" w:lineRule="exact"/>
        <w:ind w:firstLine="630" w:firstLineChars="210"/>
        <w:rPr>
          <w:bCs/>
          <w:szCs w:val="30"/>
          <w:highlight w:val="none"/>
        </w:rPr>
      </w:pPr>
      <w:r>
        <w:rPr>
          <w:rFonts w:hint="eastAsia"/>
          <w:bCs/>
          <w:szCs w:val="30"/>
          <w:highlight w:val="none"/>
        </w:rPr>
        <w:t>一是认真梳理研究，在确保与区审计局项目结（决）算审计计划不交叉的前提下，确定年度财政投资评审工作范围和内容；二是严格按照财政部《财政投资项目评审操作规程》（财办建〔2002〕619号）、《财政投资评审质量控制办法（试行）》（财建〔2005〕1065号）、《昆明市盘龙区财政投资评审管理暂行办法》（盘政办通（2018）26号）等依法开展政府投资建设项目预算、决（结）算评审工作；三是严格按照《国务院办公厅关于规范国有土地使用权出让收支管理的通知》（国办发〔2006〕100号）、《国土资源部 财政部 中国人民银行 银监会关于规范土地储备和资金管理等相关问题的通知》（财综〔2016〕4号）、《昆明市人民政府关于印发昆明市土地储备支出核算管理办法的通知》（昆政发〔2010〕72号）、《昆明市人民政府关于印发昆明市土地储备支出核算管理办法的通知》（昆政发〔2020〕23号）等有关规定依法开展土地收储成本评审工作。</w:t>
      </w:r>
    </w:p>
    <w:p>
      <w:pPr>
        <w:spacing w:line="600" w:lineRule="exact"/>
        <w:ind w:firstLine="600" w:firstLineChars="200"/>
        <w:rPr>
          <w:rFonts w:ascii="黑体" w:hAnsi="黑体" w:eastAsia="黑体"/>
          <w:sz w:val="30"/>
          <w:szCs w:val="30"/>
        </w:rPr>
      </w:pPr>
      <w:r>
        <w:rPr>
          <w:rFonts w:hint="eastAsia" w:ascii="黑体" w:hAnsi="黑体" w:eastAsia="黑体"/>
          <w:sz w:val="30"/>
          <w:szCs w:val="30"/>
        </w:rPr>
        <w:t>二、部门基本情况</w:t>
      </w:r>
    </w:p>
    <w:p>
      <w:pPr>
        <w:spacing w:line="600" w:lineRule="exact"/>
        <w:ind w:firstLine="600" w:firstLineChars="200"/>
        <w:rPr>
          <w:rFonts w:ascii="楷体" w:hAnsi="楷体" w:eastAsia="楷体"/>
          <w:sz w:val="30"/>
          <w:szCs w:val="30"/>
        </w:rPr>
      </w:pPr>
      <w:r>
        <w:rPr>
          <w:rFonts w:hint="eastAsia" w:ascii="楷体" w:hAnsi="楷体" w:eastAsia="楷体"/>
          <w:sz w:val="30"/>
          <w:szCs w:val="30"/>
        </w:rPr>
        <w:t>（一）部门决算单位构成</w:t>
      </w:r>
    </w:p>
    <w:p>
      <w:pPr>
        <w:spacing w:line="600" w:lineRule="exact"/>
        <w:ind w:firstLine="600" w:firstLineChars="200"/>
        <w:rPr>
          <w:rFonts w:ascii="仿宋_GB2312" w:eastAsia="仿宋_GB2312"/>
          <w:sz w:val="30"/>
          <w:szCs w:val="30"/>
        </w:rPr>
      </w:pPr>
      <w:r>
        <w:rPr>
          <w:rFonts w:hint="eastAsia" w:ascii="仿宋_GB2312" w:eastAsia="仿宋_GB2312"/>
          <w:sz w:val="30"/>
          <w:szCs w:val="30"/>
        </w:rPr>
        <w:t>纳入昆明市盘龙区财政局20</w:t>
      </w:r>
      <w:r>
        <w:rPr>
          <w:rFonts w:hint="eastAsia" w:ascii="仿宋_GB2312" w:eastAsia="仿宋_GB2312"/>
          <w:sz w:val="30"/>
          <w:szCs w:val="30"/>
          <w:lang w:val="en-US" w:eastAsia="zh-CN"/>
        </w:rPr>
        <w:t>20</w:t>
      </w:r>
      <w:r>
        <w:rPr>
          <w:rFonts w:hint="eastAsia" w:ascii="仿宋_GB2312" w:eastAsia="仿宋_GB2312"/>
          <w:sz w:val="30"/>
          <w:szCs w:val="30"/>
        </w:rPr>
        <w:t>年度部门决算编报的单位共1个。其中：行政单位1个。即：昆明市盘龙区财政局。</w:t>
      </w:r>
    </w:p>
    <w:p>
      <w:pPr>
        <w:ind w:firstLine="600" w:firstLineChars="200"/>
        <w:rPr>
          <w:rFonts w:ascii="楷体" w:hAnsi="楷体" w:eastAsia="楷体"/>
          <w:sz w:val="30"/>
          <w:szCs w:val="30"/>
        </w:rPr>
      </w:pPr>
      <w:r>
        <w:rPr>
          <w:rFonts w:hint="eastAsia" w:ascii="楷体" w:hAnsi="楷体" w:eastAsia="楷体"/>
          <w:sz w:val="30"/>
          <w:szCs w:val="30"/>
        </w:rPr>
        <w:t xml:space="preserve">（二）部门人员和车辆的编制及实有情况 </w:t>
      </w:r>
    </w:p>
    <w:p>
      <w:pPr>
        <w:spacing w:line="600" w:lineRule="exact"/>
        <w:ind w:firstLine="600" w:firstLineChars="200"/>
        <w:rPr>
          <w:rFonts w:ascii="仿宋_GB2312" w:hAnsi="宋体" w:eastAsia="仿宋_GB2312" w:cs="Arial"/>
          <w:kern w:val="0"/>
          <w:sz w:val="30"/>
          <w:szCs w:val="30"/>
        </w:rPr>
      </w:pPr>
      <w:r>
        <w:rPr>
          <w:rFonts w:hint="eastAsia" w:ascii="仿宋_GB2312" w:eastAsia="仿宋_GB2312"/>
          <w:sz w:val="30"/>
          <w:szCs w:val="30"/>
        </w:rPr>
        <w:t>昆明市盘龙区财政局</w:t>
      </w:r>
      <w:r>
        <w:rPr>
          <w:rFonts w:hint="eastAsia" w:ascii="仿宋_GB2312" w:eastAsia="仿宋_GB2312"/>
          <w:sz w:val="30"/>
          <w:szCs w:val="30"/>
          <w:lang w:val="en-US" w:eastAsia="zh-CN"/>
        </w:rPr>
        <w:t>2020</w:t>
      </w:r>
      <w:r>
        <w:rPr>
          <w:rFonts w:hint="eastAsia" w:ascii="仿宋_GB2312" w:eastAsia="仿宋_GB2312"/>
          <w:sz w:val="30"/>
          <w:szCs w:val="30"/>
        </w:rPr>
        <w:t>年末实有人员编制</w:t>
      </w:r>
      <w:r>
        <w:rPr>
          <w:rFonts w:hint="eastAsia" w:ascii="仿宋_GB2312" w:eastAsia="仿宋_GB2312"/>
          <w:sz w:val="30"/>
          <w:szCs w:val="30"/>
          <w:lang w:val="en-US" w:eastAsia="zh-CN"/>
        </w:rPr>
        <w:t>108</w:t>
      </w:r>
      <w:r>
        <w:rPr>
          <w:rFonts w:hint="eastAsia" w:ascii="仿宋_GB2312" w:hAnsi="宋体" w:eastAsia="仿宋_GB2312" w:cs="Arial"/>
          <w:kern w:val="0"/>
          <w:sz w:val="30"/>
          <w:szCs w:val="30"/>
        </w:rPr>
        <w:t>人。其中：行政编制</w:t>
      </w:r>
      <w:r>
        <w:rPr>
          <w:rFonts w:hint="eastAsia" w:ascii="仿宋_GB2312" w:eastAsia="仿宋_GB2312"/>
          <w:sz w:val="30"/>
          <w:szCs w:val="30"/>
          <w:lang w:val="en-US" w:eastAsia="zh-CN"/>
        </w:rPr>
        <w:t>30</w:t>
      </w:r>
      <w:r>
        <w:rPr>
          <w:rFonts w:hint="eastAsia" w:ascii="仿宋_GB2312" w:hAnsi="宋体" w:eastAsia="仿宋_GB2312" w:cs="Arial"/>
          <w:kern w:val="0"/>
          <w:sz w:val="30"/>
          <w:szCs w:val="30"/>
        </w:rPr>
        <w:t>人，</w:t>
      </w:r>
      <w:r>
        <w:rPr>
          <w:rFonts w:hint="eastAsia" w:ascii="仿宋_GB2312" w:hAnsi="宋体" w:eastAsia="仿宋_GB2312" w:cs="Arial"/>
          <w:kern w:val="0"/>
          <w:sz w:val="30"/>
          <w:szCs w:val="30"/>
          <w:lang w:eastAsia="zh-CN"/>
        </w:rPr>
        <w:t>参公</w:t>
      </w:r>
      <w:r>
        <w:rPr>
          <w:rFonts w:hint="eastAsia" w:ascii="仿宋_GB2312" w:hAnsi="宋体" w:eastAsia="仿宋_GB2312" w:cs="Arial"/>
          <w:kern w:val="0"/>
          <w:sz w:val="30"/>
          <w:szCs w:val="30"/>
        </w:rPr>
        <w:t>编制</w:t>
      </w:r>
      <w:r>
        <w:rPr>
          <w:rFonts w:hint="eastAsia" w:ascii="仿宋_GB2312" w:eastAsia="仿宋_GB2312"/>
          <w:sz w:val="30"/>
          <w:szCs w:val="30"/>
          <w:lang w:val="en-US" w:eastAsia="zh-CN"/>
        </w:rPr>
        <w:t>49</w:t>
      </w:r>
      <w:r>
        <w:rPr>
          <w:rFonts w:hint="eastAsia" w:ascii="仿宋_GB2312" w:hAnsi="宋体" w:eastAsia="仿宋_GB2312" w:cs="Arial"/>
          <w:kern w:val="0"/>
          <w:sz w:val="30"/>
          <w:szCs w:val="30"/>
        </w:rPr>
        <w:t>人</w:t>
      </w:r>
      <w:r>
        <w:rPr>
          <w:rFonts w:hint="eastAsia" w:ascii="仿宋_GB2312" w:hAnsi="宋体" w:eastAsia="仿宋_GB2312" w:cs="Arial"/>
          <w:kern w:val="0"/>
          <w:sz w:val="30"/>
          <w:szCs w:val="30"/>
          <w:lang w:val="en-US" w:eastAsia="zh-CN"/>
        </w:rPr>
        <w:t>,国库支付中心编制1人，工勤编制1人，</w:t>
      </w:r>
      <w:r>
        <w:rPr>
          <w:rFonts w:hint="eastAsia" w:ascii="仿宋_GB2312" w:hAnsi="宋体" w:eastAsia="仿宋_GB2312" w:cs="Arial"/>
          <w:kern w:val="0"/>
          <w:sz w:val="30"/>
          <w:szCs w:val="30"/>
        </w:rPr>
        <w:t>事业编制</w:t>
      </w:r>
      <w:r>
        <w:rPr>
          <w:rFonts w:hint="eastAsia" w:ascii="仿宋_GB2312" w:eastAsia="仿宋_GB2312"/>
          <w:sz w:val="30"/>
          <w:szCs w:val="30"/>
          <w:lang w:val="en-US" w:eastAsia="zh-CN"/>
        </w:rPr>
        <w:t>27</w:t>
      </w:r>
      <w:r>
        <w:rPr>
          <w:rFonts w:hint="eastAsia" w:ascii="仿宋_GB2312" w:hAnsi="宋体" w:eastAsia="仿宋_GB2312" w:cs="Arial"/>
          <w:kern w:val="0"/>
          <w:sz w:val="30"/>
          <w:szCs w:val="30"/>
        </w:rPr>
        <w:t>人；在职在编实有行政人员</w:t>
      </w:r>
      <w:r>
        <w:rPr>
          <w:rFonts w:hint="eastAsia" w:ascii="仿宋_GB2312" w:eastAsia="仿宋_GB2312"/>
          <w:sz w:val="30"/>
          <w:szCs w:val="30"/>
          <w:lang w:val="en-US" w:eastAsia="zh-CN"/>
        </w:rPr>
        <w:t>26</w:t>
      </w:r>
      <w:r>
        <w:rPr>
          <w:rFonts w:hint="eastAsia" w:ascii="仿宋_GB2312" w:hAnsi="宋体" w:eastAsia="仿宋_GB2312" w:cs="Arial"/>
          <w:kern w:val="0"/>
          <w:sz w:val="30"/>
          <w:szCs w:val="30"/>
        </w:rPr>
        <w:t>人</w:t>
      </w:r>
      <w:r>
        <w:rPr>
          <w:rFonts w:hint="eastAsia" w:ascii="仿宋_GB2312" w:hAnsi="宋体" w:eastAsia="仿宋_GB2312" w:cs="Arial"/>
          <w:kern w:val="0"/>
          <w:sz w:val="30"/>
          <w:szCs w:val="30"/>
          <w:lang w:eastAsia="zh-CN"/>
        </w:rPr>
        <w:t>，参公</w:t>
      </w:r>
      <w:r>
        <w:rPr>
          <w:rFonts w:hint="eastAsia" w:ascii="仿宋_GB2312" w:hAnsi="宋体" w:eastAsia="仿宋_GB2312" w:cs="Arial"/>
          <w:kern w:val="0"/>
          <w:sz w:val="30"/>
          <w:szCs w:val="30"/>
        </w:rPr>
        <w:t>人员</w:t>
      </w:r>
      <w:r>
        <w:rPr>
          <w:rFonts w:hint="eastAsia" w:ascii="仿宋_GB2312" w:eastAsia="仿宋_GB2312"/>
          <w:sz w:val="30"/>
          <w:szCs w:val="30"/>
          <w:lang w:val="en-US" w:eastAsia="zh-CN"/>
        </w:rPr>
        <w:t>35</w:t>
      </w:r>
      <w:r>
        <w:rPr>
          <w:rFonts w:hint="eastAsia" w:ascii="仿宋_GB2312" w:hAnsi="宋体" w:eastAsia="仿宋_GB2312" w:cs="Arial"/>
          <w:kern w:val="0"/>
          <w:sz w:val="30"/>
          <w:szCs w:val="30"/>
        </w:rPr>
        <w:t>人，</w:t>
      </w:r>
      <w:r>
        <w:rPr>
          <w:rFonts w:hint="eastAsia" w:ascii="仿宋_GB2312" w:hAnsi="宋体" w:eastAsia="仿宋_GB2312" w:cs="Arial"/>
          <w:kern w:val="0"/>
          <w:sz w:val="30"/>
          <w:szCs w:val="30"/>
          <w:lang w:eastAsia="zh-CN"/>
        </w:rPr>
        <w:t>工勤人员</w:t>
      </w:r>
      <w:r>
        <w:rPr>
          <w:rFonts w:hint="eastAsia" w:ascii="仿宋_GB2312" w:hAnsi="宋体" w:eastAsia="仿宋_GB2312" w:cs="Arial"/>
          <w:kern w:val="0"/>
          <w:sz w:val="30"/>
          <w:szCs w:val="30"/>
          <w:lang w:val="en-US" w:eastAsia="zh-CN"/>
        </w:rPr>
        <w:t>1人，</w:t>
      </w:r>
      <w:r>
        <w:rPr>
          <w:rFonts w:hint="eastAsia" w:ascii="仿宋_GB2312" w:hAnsi="宋体" w:eastAsia="仿宋_GB2312" w:cs="Arial"/>
          <w:kern w:val="0"/>
          <w:sz w:val="30"/>
          <w:szCs w:val="30"/>
        </w:rPr>
        <w:t>事业人员</w:t>
      </w:r>
      <w:r>
        <w:rPr>
          <w:rFonts w:hint="eastAsia" w:ascii="仿宋_GB2312" w:eastAsia="仿宋_GB2312"/>
          <w:sz w:val="30"/>
          <w:szCs w:val="30"/>
          <w:lang w:val="en-US" w:eastAsia="zh-CN"/>
        </w:rPr>
        <w:t>16</w:t>
      </w:r>
      <w:r>
        <w:rPr>
          <w:rFonts w:hint="eastAsia" w:ascii="仿宋_GB2312" w:hAnsi="宋体" w:eastAsia="仿宋_GB2312" w:cs="Arial"/>
          <w:kern w:val="0"/>
          <w:sz w:val="30"/>
          <w:szCs w:val="30"/>
        </w:rPr>
        <w:t>人。</w:t>
      </w:r>
    </w:p>
    <w:p>
      <w:pPr>
        <w:spacing w:line="600" w:lineRule="exact"/>
        <w:ind w:firstLine="600" w:firstLineChars="200"/>
        <w:rPr>
          <w:rFonts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离退休人员</w:t>
      </w:r>
      <w:r>
        <w:rPr>
          <w:rFonts w:hint="eastAsia" w:ascii="仿宋_GB2312" w:hAnsi="宋体" w:eastAsia="仿宋_GB2312" w:cs="Arial"/>
          <w:kern w:val="0"/>
          <w:sz w:val="30"/>
          <w:szCs w:val="30"/>
          <w:highlight w:val="none"/>
          <w:lang w:val="en-US" w:eastAsia="zh-CN"/>
        </w:rPr>
        <w:t>19</w:t>
      </w:r>
      <w:r>
        <w:rPr>
          <w:rFonts w:hint="eastAsia" w:ascii="仿宋_GB2312" w:hAnsi="宋体" w:eastAsia="仿宋_GB2312" w:cs="Arial"/>
          <w:kern w:val="0"/>
          <w:sz w:val="30"/>
          <w:szCs w:val="30"/>
          <w:highlight w:val="none"/>
        </w:rPr>
        <w:t>人。其中：离休</w:t>
      </w:r>
      <w:r>
        <w:rPr>
          <w:rFonts w:hint="eastAsia" w:ascii="仿宋_GB2312" w:eastAsia="仿宋_GB2312"/>
          <w:sz w:val="30"/>
          <w:szCs w:val="30"/>
          <w:highlight w:val="none"/>
          <w:lang w:val="en-US" w:eastAsia="zh-CN"/>
        </w:rPr>
        <w:t>0</w:t>
      </w:r>
      <w:r>
        <w:rPr>
          <w:rFonts w:hint="eastAsia" w:ascii="仿宋_GB2312" w:hAnsi="宋体" w:eastAsia="仿宋_GB2312" w:cs="Arial"/>
          <w:kern w:val="0"/>
          <w:sz w:val="30"/>
          <w:szCs w:val="30"/>
          <w:highlight w:val="none"/>
        </w:rPr>
        <w:t>人，退休</w:t>
      </w:r>
      <w:r>
        <w:rPr>
          <w:rFonts w:hint="eastAsia" w:ascii="仿宋_GB2312" w:eastAsia="仿宋_GB2312"/>
          <w:sz w:val="30"/>
          <w:szCs w:val="30"/>
          <w:highlight w:val="none"/>
          <w:lang w:val="en-US" w:eastAsia="zh-CN"/>
        </w:rPr>
        <w:t>19</w:t>
      </w:r>
      <w:r>
        <w:rPr>
          <w:rFonts w:hint="eastAsia" w:ascii="仿宋_GB2312" w:hAnsi="宋体" w:eastAsia="仿宋_GB2312" w:cs="Arial"/>
          <w:kern w:val="0"/>
          <w:sz w:val="30"/>
          <w:szCs w:val="30"/>
          <w:highlight w:val="none"/>
        </w:rPr>
        <w:t>人。</w:t>
      </w:r>
    </w:p>
    <w:p>
      <w:pPr>
        <w:spacing w:line="600" w:lineRule="exact"/>
        <w:ind w:firstLine="600" w:firstLineChars="200"/>
        <w:rPr>
          <w:rFonts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实有车辆编制</w:t>
      </w:r>
      <w:r>
        <w:rPr>
          <w:rFonts w:hint="eastAsia" w:ascii="仿宋_GB2312" w:eastAsia="仿宋_GB2312"/>
          <w:sz w:val="30"/>
          <w:szCs w:val="30"/>
          <w:highlight w:val="none"/>
          <w:lang w:val="en-US" w:eastAsia="zh-CN"/>
        </w:rPr>
        <w:t>0</w:t>
      </w:r>
      <w:r>
        <w:rPr>
          <w:rFonts w:hint="eastAsia" w:ascii="仿宋_GB2312" w:hAnsi="宋体" w:eastAsia="仿宋_GB2312" w:cs="Arial"/>
          <w:kern w:val="0"/>
          <w:sz w:val="30"/>
          <w:szCs w:val="30"/>
          <w:highlight w:val="none"/>
        </w:rPr>
        <w:t>辆，在编实有车辆</w:t>
      </w:r>
      <w:r>
        <w:rPr>
          <w:rFonts w:hint="eastAsia" w:ascii="仿宋_GB2312" w:eastAsia="仿宋_GB2312"/>
          <w:sz w:val="30"/>
          <w:szCs w:val="30"/>
          <w:highlight w:val="none"/>
          <w:lang w:val="en-US" w:eastAsia="zh-CN"/>
        </w:rPr>
        <w:t>0</w:t>
      </w:r>
      <w:r>
        <w:rPr>
          <w:rFonts w:hint="eastAsia" w:ascii="仿宋_GB2312" w:hAnsi="宋体" w:eastAsia="仿宋_GB2312" w:cs="Arial"/>
          <w:kern w:val="0"/>
          <w:sz w:val="30"/>
          <w:szCs w:val="30"/>
          <w:highlight w:val="none"/>
        </w:rPr>
        <w:t>辆。</w:t>
      </w:r>
    </w:p>
    <w:p>
      <w:pPr>
        <w:jc w:val="center"/>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val="en-US" w:eastAsia="zh-CN"/>
        </w:rPr>
        <w:t>2020</w:t>
      </w:r>
      <w:r>
        <w:rPr>
          <w:rFonts w:hint="eastAsia" w:ascii="黑体" w:hAnsi="黑体" w:eastAsia="黑体"/>
          <w:sz w:val="32"/>
          <w:szCs w:val="32"/>
        </w:rPr>
        <w:t>年度部门决算表</w:t>
      </w:r>
    </w:p>
    <w:p>
      <w:pPr>
        <w:spacing w:line="600" w:lineRule="exact"/>
        <w:ind w:firstLine="600" w:firstLineChars="200"/>
        <w:jc w:val="center"/>
        <w:rPr>
          <w:rFonts w:hint="eastAsia" w:ascii="仿宋_GB2312" w:eastAsia="仿宋_GB2312"/>
          <w:sz w:val="30"/>
          <w:szCs w:val="30"/>
        </w:rPr>
      </w:pPr>
      <w:r>
        <w:rPr>
          <w:rFonts w:hint="eastAsia" w:ascii="仿宋_GB2312" w:eastAsia="仿宋_GB2312"/>
          <w:sz w:val="30"/>
          <w:szCs w:val="30"/>
        </w:rPr>
        <w:t>（详见附件）</w:t>
      </w:r>
    </w:p>
    <w:p>
      <w:pPr>
        <w:spacing w:line="600" w:lineRule="exact"/>
        <w:ind w:firstLine="600" w:firstLineChars="200"/>
        <w:jc w:val="center"/>
        <w:rPr>
          <w:rFonts w:hint="eastAsia" w:ascii="仿宋_GB2312" w:eastAsia="仿宋_GB2312"/>
          <w:sz w:val="30"/>
          <w:szCs w:val="30"/>
        </w:rPr>
      </w:pPr>
    </w:p>
    <w:p>
      <w:pPr>
        <w:jc w:val="center"/>
        <w:rPr>
          <w:rFonts w:ascii="黑体" w:hAnsi="黑体" w:eastAsia="黑体"/>
          <w:sz w:val="32"/>
          <w:szCs w:val="32"/>
        </w:rPr>
      </w:pPr>
      <w:r>
        <w:rPr>
          <w:rFonts w:hint="eastAsia" w:ascii="黑体" w:hAnsi="黑体" w:eastAsia="黑体"/>
          <w:sz w:val="32"/>
          <w:szCs w:val="32"/>
        </w:rPr>
        <w:t xml:space="preserve">第三部分  </w:t>
      </w:r>
      <w:r>
        <w:rPr>
          <w:rFonts w:hint="eastAsia" w:ascii="黑体" w:hAnsi="黑体" w:eastAsia="黑体"/>
          <w:sz w:val="32"/>
          <w:szCs w:val="32"/>
          <w:lang w:val="en-US" w:eastAsia="zh-CN"/>
        </w:rPr>
        <w:t>2020</w:t>
      </w:r>
      <w:r>
        <w:rPr>
          <w:rFonts w:hint="eastAsia" w:ascii="黑体" w:hAnsi="黑体" w:eastAsia="黑体"/>
          <w:sz w:val="32"/>
          <w:szCs w:val="32"/>
        </w:rPr>
        <w:t>年度部门决算情况说明</w:t>
      </w:r>
    </w:p>
    <w:p>
      <w:pPr>
        <w:ind w:firstLine="600" w:firstLineChars="200"/>
        <w:jc w:val="left"/>
        <w:rPr>
          <w:rFonts w:ascii="黑体" w:hAnsi="黑体" w:eastAsia="黑体"/>
          <w:sz w:val="30"/>
          <w:szCs w:val="30"/>
          <w:highlight w:val="yellow"/>
        </w:rPr>
      </w:pPr>
      <w:r>
        <w:rPr>
          <w:rFonts w:hint="eastAsia" w:ascii="黑体" w:hAnsi="黑体" w:eastAsia="黑体"/>
          <w:sz w:val="30"/>
          <w:szCs w:val="30"/>
        </w:rPr>
        <w:t>一、</w:t>
      </w:r>
      <w:r>
        <w:rPr>
          <w:rFonts w:hint="eastAsia" w:ascii="黑体" w:hAnsi="黑体" w:eastAsia="黑体"/>
          <w:sz w:val="30"/>
          <w:szCs w:val="30"/>
          <w:highlight w:val="none"/>
        </w:rPr>
        <w:t>收入决算情况说明</w:t>
      </w:r>
    </w:p>
    <w:p>
      <w:pPr>
        <w:widowControl/>
        <w:snapToGrid w:val="0"/>
        <w:spacing w:before="100" w:after="100" w:line="600" w:lineRule="exact"/>
        <w:ind w:firstLine="538"/>
        <w:jc w:val="left"/>
        <w:rPr>
          <w:rFonts w:hint="default" w:ascii="仿宋_GB2312" w:eastAsia="仿宋_GB2312"/>
          <w:color w:val="auto"/>
          <w:sz w:val="30"/>
          <w:szCs w:val="30"/>
          <w:highlight w:val="none"/>
          <w:lang w:val="en-US" w:eastAsia="zh-CN"/>
        </w:rPr>
      </w:pPr>
      <w:r>
        <w:rPr>
          <w:rFonts w:hint="eastAsia" w:ascii="仿宋_GB2312" w:eastAsia="仿宋_GB2312"/>
          <w:sz w:val="30"/>
          <w:szCs w:val="30"/>
        </w:rPr>
        <w:t>昆明市盘龙区财政局</w:t>
      </w:r>
      <w:r>
        <w:rPr>
          <w:rFonts w:hint="eastAsia" w:ascii="仿宋_GB2312" w:eastAsia="仿宋_GB2312"/>
          <w:sz w:val="30"/>
          <w:szCs w:val="30"/>
          <w:lang w:val="en-US" w:eastAsia="zh-CN"/>
        </w:rPr>
        <w:t>2020</w:t>
      </w:r>
      <w:r>
        <w:rPr>
          <w:rFonts w:hint="eastAsia" w:ascii="仿宋_GB2312" w:eastAsia="仿宋_GB2312"/>
          <w:sz w:val="30"/>
          <w:szCs w:val="30"/>
        </w:rPr>
        <w:t>年度收入合计16,052.32万元。其中：财政拨款收入</w:t>
      </w:r>
      <w:r>
        <w:rPr>
          <w:rFonts w:hint="eastAsia" w:ascii="仿宋_GB2312" w:eastAsia="仿宋_GB2312"/>
          <w:sz w:val="30"/>
          <w:szCs w:val="30"/>
          <w:lang w:val="en-US" w:eastAsia="zh-CN"/>
        </w:rPr>
        <w:t>16052.32</w:t>
      </w:r>
      <w:r>
        <w:rPr>
          <w:rFonts w:hint="eastAsia" w:ascii="仿宋_GB2312" w:eastAsia="仿宋_GB2312"/>
          <w:sz w:val="30"/>
          <w:szCs w:val="30"/>
        </w:rPr>
        <w:t>万元，占总收入的</w:t>
      </w:r>
      <w:r>
        <w:rPr>
          <w:rFonts w:hint="eastAsia" w:ascii="仿宋_GB2312" w:eastAsia="仿宋_GB2312"/>
          <w:sz w:val="30"/>
          <w:szCs w:val="30"/>
          <w:lang w:val="en-US" w:eastAsia="zh-CN"/>
        </w:rPr>
        <w:t>100</w:t>
      </w:r>
      <w:r>
        <w:rPr>
          <w:rFonts w:hint="eastAsia" w:ascii="仿宋_GB2312" w:eastAsia="仿宋_GB2312"/>
          <w:sz w:val="30"/>
          <w:szCs w:val="30"/>
        </w:rPr>
        <w:t>%；上级补助收入</w:t>
      </w:r>
      <w:r>
        <w:rPr>
          <w:rFonts w:hint="eastAsia" w:ascii="仿宋_GB2312" w:eastAsia="仿宋_GB2312"/>
          <w:sz w:val="30"/>
          <w:szCs w:val="30"/>
          <w:lang w:val="en-US" w:eastAsia="zh-CN"/>
        </w:rPr>
        <w:t>0</w:t>
      </w:r>
      <w:r>
        <w:rPr>
          <w:rFonts w:hint="eastAsia" w:ascii="仿宋_GB2312" w:eastAsia="仿宋_GB2312"/>
          <w:sz w:val="30"/>
          <w:szCs w:val="30"/>
        </w:rPr>
        <w:t>万元，占总收入的</w:t>
      </w:r>
      <w:r>
        <w:rPr>
          <w:rFonts w:hint="eastAsia" w:ascii="仿宋_GB2312" w:eastAsia="仿宋_GB2312"/>
          <w:sz w:val="30"/>
          <w:szCs w:val="30"/>
          <w:lang w:val="en-US" w:eastAsia="zh-CN"/>
        </w:rPr>
        <w:t>0</w:t>
      </w:r>
      <w:r>
        <w:rPr>
          <w:rFonts w:hint="eastAsia" w:ascii="仿宋_GB2312" w:eastAsia="仿宋_GB2312"/>
          <w:sz w:val="30"/>
          <w:szCs w:val="30"/>
        </w:rPr>
        <w:t>%；事业收入</w:t>
      </w:r>
      <w:r>
        <w:rPr>
          <w:rFonts w:hint="eastAsia" w:ascii="仿宋_GB2312" w:eastAsia="仿宋_GB2312"/>
          <w:sz w:val="30"/>
          <w:szCs w:val="30"/>
          <w:lang w:val="en-US" w:eastAsia="zh-CN"/>
        </w:rPr>
        <w:t>0</w:t>
      </w:r>
      <w:r>
        <w:rPr>
          <w:rFonts w:hint="eastAsia" w:ascii="仿宋_GB2312" w:eastAsia="仿宋_GB2312"/>
          <w:sz w:val="30"/>
          <w:szCs w:val="30"/>
        </w:rPr>
        <w:t>万元（含教育收费</w:t>
      </w:r>
      <w:r>
        <w:rPr>
          <w:rFonts w:hint="eastAsia" w:ascii="仿宋_GB2312" w:eastAsia="仿宋_GB2312"/>
          <w:sz w:val="30"/>
          <w:szCs w:val="30"/>
          <w:lang w:val="en-US" w:eastAsia="zh-CN"/>
        </w:rPr>
        <w:t>0</w:t>
      </w:r>
      <w:r>
        <w:rPr>
          <w:rFonts w:hint="eastAsia" w:ascii="仿宋_GB2312" w:eastAsia="仿宋_GB2312"/>
          <w:sz w:val="30"/>
          <w:szCs w:val="30"/>
        </w:rPr>
        <w:t>万元），占总收入的</w:t>
      </w:r>
      <w:r>
        <w:rPr>
          <w:rFonts w:hint="eastAsia" w:ascii="仿宋_GB2312" w:eastAsia="仿宋_GB2312"/>
          <w:sz w:val="30"/>
          <w:szCs w:val="30"/>
          <w:lang w:val="en-US" w:eastAsia="zh-CN"/>
        </w:rPr>
        <w:t>0</w:t>
      </w:r>
      <w:r>
        <w:rPr>
          <w:rFonts w:hint="eastAsia" w:ascii="仿宋_GB2312" w:eastAsia="仿宋_GB2312"/>
          <w:sz w:val="30"/>
          <w:szCs w:val="30"/>
        </w:rPr>
        <w:t>%；经营收入</w:t>
      </w:r>
      <w:r>
        <w:rPr>
          <w:rFonts w:hint="eastAsia" w:ascii="仿宋_GB2312" w:eastAsia="仿宋_GB2312"/>
          <w:sz w:val="30"/>
          <w:szCs w:val="30"/>
          <w:lang w:val="en-US" w:eastAsia="zh-CN"/>
        </w:rPr>
        <w:t>0</w:t>
      </w:r>
      <w:r>
        <w:rPr>
          <w:rFonts w:hint="eastAsia" w:ascii="仿宋_GB2312" w:eastAsia="仿宋_GB2312"/>
          <w:sz w:val="30"/>
          <w:szCs w:val="30"/>
        </w:rPr>
        <w:t>万元，占总收入的</w:t>
      </w:r>
      <w:r>
        <w:rPr>
          <w:rFonts w:hint="eastAsia" w:ascii="仿宋_GB2312" w:eastAsia="仿宋_GB2312"/>
          <w:sz w:val="30"/>
          <w:szCs w:val="30"/>
          <w:lang w:val="en-US" w:eastAsia="zh-CN"/>
        </w:rPr>
        <w:t>0</w:t>
      </w:r>
      <w:r>
        <w:rPr>
          <w:rFonts w:hint="eastAsia" w:ascii="仿宋_GB2312" w:eastAsia="仿宋_GB2312"/>
          <w:sz w:val="30"/>
          <w:szCs w:val="30"/>
        </w:rPr>
        <w:t>%；附属单位缴款收入</w:t>
      </w:r>
      <w:r>
        <w:rPr>
          <w:rFonts w:hint="eastAsia" w:ascii="仿宋_GB2312" w:eastAsia="仿宋_GB2312"/>
          <w:sz w:val="30"/>
          <w:szCs w:val="30"/>
          <w:lang w:val="en-US" w:eastAsia="zh-CN"/>
        </w:rPr>
        <w:t>0</w:t>
      </w:r>
      <w:r>
        <w:rPr>
          <w:rFonts w:hint="eastAsia" w:ascii="仿宋_GB2312" w:eastAsia="仿宋_GB2312"/>
          <w:sz w:val="30"/>
          <w:szCs w:val="30"/>
        </w:rPr>
        <w:t>万元，占总收入的</w:t>
      </w:r>
      <w:r>
        <w:rPr>
          <w:rFonts w:hint="eastAsia" w:ascii="仿宋_GB2312" w:eastAsia="仿宋_GB2312"/>
          <w:sz w:val="30"/>
          <w:szCs w:val="30"/>
          <w:lang w:val="en-US" w:eastAsia="zh-CN"/>
        </w:rPr>
        <w:t>0</w:t>
      </w:r>
      <w:r>
        <w:rPr>
          <w:rFonts w:hint="eastAsia" w:ascii="仿宋_GB2312" w:eastAsia="仿宋_GB2312"/>
          <w:sz w:val="30"/>
          <w:szCs w:val="30"/>
        </w:rPr>
        <w:t>%；其他收入</w:t>
      </w:r>
      <w:r>
        <w:rPr>
          <w:rFonts w:hint="eastAsia" w:ascii="仿宋_GB2312" w:eastAsia="仿宋_GB2312"/>
          <w:sz w:val="30"/>
          <w:szCs w:val="30"/>
          <w:lang w:val="en-US" w:eastAsia="zh-CN"/>
        </w:rPr>
        <w:t>0</w:t>
      </w:r>
      <w:r>
        <w:rPr>
          <w:rFonts w:hint="eastAsia" w:ascii="仿宋_GB2312" w:eastAsia="仿宋_GB2312"/>
          <w:sz w:val="30"/>
          <w:szCs w:val="30"/>
        </w:rPr>
        <w:t>万元，占总收入的</w:t>
      </w:r>
      <w:r>
        <w:rPr>
          <w:rFonts w:hint="eastAsia" w:ascii="仿宋_GB2312" w:eastAsia="仿宋_GB2312"/>
          <w:sz w:val="30"/>
          <w:szCs w:val="30"/>
          <w:lang w:val="en-US" w:eastAsia="zh-CN"/>
        </w:rPr>
        <w:t>0</w:t>
      </w:r>
      <w:r>
        <w:rPr>
          <w:rFonts w:hint="eastAsia" w:ascii="仿宋_GB2312" w:eastAsia="仿宋_GB2312"/>
          <w:sz w:val="30"/>
          <w:szCs w:val="30"/>
        </w:rPr>
        <w:t>%。与上年对比增加了</w:t>
      </w:r>
      <w:r>
        <w:rPr>
          <w:rFonts w:hint="eastAsia" w:ascii="仿宋_GB2312" w:eastAsia="仿宋_GB2312"/>
          <w:sz w:val="30"/>
          <w:szCs w:val="30"/>
          <w:lang w:val="en-US" w:eastAsia="zh-CN"/>
        </w:rPr>
        <w:t>12288.71</w:t>
      </w:r>
      <w:r>
        <w:rPr>
          <w:rFonts w:hint="eastAsia" w:ascii="仿宋_GB2312" w:eastAsia="仿宋_GB2312"/>
          <w:sz w:val="30"/>
          <w:szCs w:val="30"/>
        </w:rPr>
        <w:t>万元，主要原因分析：</w:t>
      </w:r>
      <w:r>
        <w:rPr>
          <w:rFonts w:hint="eastAsia" w:ascii="仿宋_GB2312" w:eastAsia="仿宋_GB2312"/>
          <w:color w:val="auto"/>
          <w:sz w:val="30"/>
          <w:szCs w:val="30"/>
          <w:highlight w:val="none"/>
        </w:rPr>
        <w:t>根据《昆明市盘龙区财政局关于做好盘龙区机构改革经费保障、财务及资产移交工作的通知》（盘财〔2019〕33号），盘龙区国有资产监督管理委员会按照机构改革相关要求，其财务自2019年6月全部并入财政局</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2019年6月前</w:t>
      </w:r>
      <w:r>
        <w:rPr>
          <w:rFonts w:hint="eastAsia" w:ascii="仿宋_GB2312" w:eastAsia="仿宋_GB2312"/>
          <w:color w:val="auto"/>
          <w:sz w:val="30"/>
          <w:szCs w:val="30"/>
          <w:highlight w:val="none"/>
        </w:rPr>
        <w:t>盘龙区国有资产监督管理委员会</w:t>
      </w:r>
      <w:r>
        <w:rPr>
          <w:rFonts w:hint="eastAsia" w:ascii="仿宋_GB2312" w:eastAsia="仿宋_GB2312"/>
          <w:color w:val="auto"/>
          <w:sz w:val="30"/>
          <w:szCs w:val="30"/>
          <w:highlight w:val="none"/>
          <w:lang w:eastAsia="zh-CN"/>
        </w:rPr>
        <w:t>自行决算公开，</w:t>
      </w:r>
      <w:r>
        <w:rPr>
          <w:rFonts w:hint="eastAsia" w:ascii="仿宋_GB2312" w:eastAsia="仿宋_GB2312"/>
          <w:color w:val="auto"/>
          <w:sz w:val="30"/>
          <w:szCs w:val="30"/>
          <w:highlight w:val="none"/>
          <w:lang w:val="en-US" w:eastAsia="zh-CN"/>
        </w:rPr>
        <w:t>2020年预算做入我局。</w:t>
      </w:r>
    </w:p>
    <w:p>
      <w:pPr>
        <w:ind w:firstLine="600" w:firstLineChars="200"/>
        <w:jc w:val="left"/>
        <w:rPr>
          <w:rFonts w:ascii="黑体" w:hAnsi="黑体" w:eastAsia="黑体"/>
          <w:sz w:val="30"/>
          <w:szCs w:val="30"/>
          <w:highlight w:val="yellow"/>
        </w:rPr>
      </w:pPr>
      <w:r>
        <w:rPr>
          <w:rFonts w:hint="eastAsia" w:ascii="黑体" w:hAnsi="黑体" w:eastAsia="黑体"/>
          <w:sz w:val="30"/>
          <w:szCs w:val="30"/>
        </w:rPr>
        <w:t>二、</w:t>
      </w:r>
      <w:r>
        <w:rPr>
          <w:rFonts w:hint="eastAsia" w:ascii="黑体" w:hAnsi="黑体" w:eastAsia="黑体"/>
          <w:sz w:val="30"/>
          <w:szCs w:val="30"/>
          <w:highlight w:val="none"/>
        </w:rPr>
        <w:t>支出决算情况说明</w:t>
      </w:r>
    </w:p>
    <w:p>
      <w:pPr>
        <w:widowControl/>
        <w:snapToGrid w:val="0"/>
        <w:spacing w:before="100" w:after="100" w:line="600" w:lineRule="exact"/>
        <w:ind w:firstLine="538"/>
        <w:jc w:val="left"/>
        <w:rPr>
          <w:rFonts w:ascii="仿宋_GB2312" w:hAnsi="宋体" w:eastAsia="仿宋_GB2312" w:cs="Arial"/>
          <w:color w:val="auto"/>
          <w:kern w:val="0"/>
          <w:sz w:val="30"/>
          <w:szCs w:val="30"/>
          <w:highlight w:val="none"/>
        </w:rPr>
      </w:pPr>
      <w:r>
        <w:rPr>
          <w:rFonts w:hint="eastAsia" w:ascii="仿宋_GB2312" w:eastAsia="仿宋_GB2312"/>
          <w:sz w:val="30"/>
          <w:szCs w:val="30"/>
        </w:rPr>
        <w:t>昆明市盘龙区财政局</w:t>
      </w:r>
      <w:r>
        <w:rPr>
          <w:rFonts w:hint="eastAsia" w:ascii="仿宋_GB2312" w:eastAsia="仿宋_GB2312"/>
          <w:sz w:val="30"/>
          <w:szCs w:val="30"/>
          <w:lang w:val="en-US" w:eastAsia="zh-CN"/>
        </w:rPr>
        <w:t>2020</w:t>
      </w:r>
      <w:r>
        <w:rPr>
          <w:rFonts w:hint="eastAsia" w:ascii="仿宋_GB2312" w:eastAsia="仿宋_GB2312"/>
          <w:sz w:val="30"/>
          <w:szCs w:val="30"/>
        </w:rPr>
        <w:t>年度支出合计16,051.59万元。其中：</w:t>
      </w:r>
      <w:r>
        <w:rPr>
          <w:rFonts w:hint="eastAsia" w:ascii="仿宋_GB2312" w:hAnsi="宋体" w:eastAsia="仿宋_GB2312" w:cs="Arial"/>
          <w:kern w:val="0"/>
          <w:sz w:val="30"/>
          <w:szCs w:val="30"/>
        </w:rPr>
        <w:t>基本支出</w:t>
      </w:r>
      <w:r>
        <w:rPr>
          <w:rFonts w:hint="eastAsia" w:ascii="仿宋_GB2312" w:eastAsia="仿宋_GB2312"/>
          <w:sz w:val="30"/>
          <w:szCs w:val="30"/>
          <w:lang w:val="en-US" w:eastAsia="zh-CN"/>
        </w:rPr>
        <w:t>1567.68</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9.77</w:t>
      </w:r>
      <w:r>
        <w:rPr>
          <w:rFonts w:hint="eastAsia" w:ascii="仿宋_GB2312" w:hAnsi="宋体" w:eastAsia="仿宋_GB2312" w:cs="Arial"/>
          <w:kern w:val="0"/>
          <w:sz w:val="30"/>
          <w:szCs w:val="30"/>
        </w:rPr>
        <w:t>％；项目支出</w:t>
      </w:r>
      <w:r>
        <w:rPr>
          <w:rFonts w:hint="eastAsia" w:ascii="仿宋_GB2312" w:eastAsia="仿宋_GB2312"/>
          <w:sz w:val="30"/>
          <w:szCs w:val="30"/>
          <w:lang w:val="en-US" w:eastAsia="zh-CN"/>
        </w:rPr>
        <w:t>14483.90</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90.23</w:t>
      </w:r>
      <w:r>
        <w:rPr>
          <w:rFonts w:hint="eastAsia" w:ascii="仿宋_GB2312" w:hAnsi="宋体" w:eastAsia="仿宋_GB2312" w:cs="Arial"/>
          <w:kern w:val="0"/>
          <w:sz w:val="30"/>
          <w:szCs w:val="30"/>
        </w:rPr>
        <w:t>％；上缴上级支出、经营支出、对附属单位补助支出共</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万元，占总支出的</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w:t>
      </w:r>
      <w:r>
        <w:rPr>
          <w:rFonts w:hint="eastAsia" w:ascii="仿宋_GB2312" w:eastAsia="仿宋_GB2312"/>
          <w:sz w:val="30"/>
          <w:szCs w:val="30"/>
        </w:rPr>
        <w:t>与上年对比增加了</w:t>
      </w:r>
      <w:r>
        <w:rPr>
          <w:rFonts w:hint="eastAsia" w:ascii="仿宋_GB2312" w:eastAsia="仿宋_GB2312"/>
          <w:sz w:val="30"/>
          <w:szCs w:val="30"/>
          <w:lang w:val="en-US" w:eastAsia="zh-CN"/>
        </w:rPr>
        <w:t>12340.81</w:t>
      </w:r>
      <w:r>
        <w:rPr>
          <w:rFonts w:hint="eastAsia" w:ascii="仿宋_GB2312" w:eastAsia="仿宋_GB2312"/>
          <w:sz w:val="30"/>
          <w:szCs w:val="30"/>
        </w:rPr>
        <w:t>万元,主要原因分析：</w:t>
      </w:r>
      <w:r>
        <w:rPr>
          <w:rFonts w:hint="eastAsia" w:ascii="仿宋_GB2312" w:eastAsia="仿宋_GB2312"/>
          <w:color w:val="auto"/>
          <w:sz w:val="30"/>
          <w:szCs w:val="30"/>
          <w:highlight w:val="none"/>
        </w:rPr>
        <w:t>根据《昆明市盘龙区财政局关于做好盘龙区机构改革经费保障、财务及资产移交工作的通知》（盘财〔2019〕33号），盘龙区国有资产监督管理委员会按照机构改革相关要求，其财务自2019年6月全部并入财政局，</w:t>
      </w:r>
      <w:r>
        <w:rPr>
          <w:rFonts w:hint="eastAsia" w:ascii="仿宋_GB2312" w:eastAsia="仿宋_GB2312"/>
          <w:color w:val="auto"/>
          <w:sz w:val="30"/>
          <w:szCs w:val="30"/>
          <w:highlight w:val="none"/>
          <w:lang w:val="en-US" w:eastAsia="zh-CN"/>
        </w:rPr>
        <w:t>2019年6月前</w:t>
      </w:r>
      <w:r>
        <w:rPr>
          <w:rFonts w:hint="eastAsia" w:ascii="仿宋_GB2312" w:eastAsia="仿宋_GB2312"/>
          <w:color w:val="auto"/>
          <w:sz w:val="30"/>
          <w:szCs w:val="30"/>
          <w:highlight w:val="none"/>
        </w:rPr>
        <w:t>盘龙区国有资产监督管理委员会</w:t>
      </w:r>
      <w:r>
        <w:rPr>
          <w:rFonts w:hint="eastAsia" w:ascii="仿宋_GB2312" w:eastAsia="仿宋_GB2312"/>
          <w:color w:val="auto"/>
          <w:sz w:val="30"/>
          <w:szCs w:val="30"/>
          <w:highlight w:val="none"/>
          <w:lang w:eastAsia="zh-CN"/>
        </w:rPr>
        <w:t>自行决算公开，</w:t>
      </w:r>
      <w:r>
        <w:rPr>
          <w:rFonts w:hint="eastAsia" w:ascii="仿宋_GB2312" w:eastAsia="仿宋_GB2312"/>
          <w:color w:val="auto"/>
          <w:sz w:val="30"/>
          <w:szCs w:val="30"/>
          <w:highlight w:val="none"/>
          <w:lang w:val="en-US" w:eastAsia="zh-CN"/>
        </w:rPr>
        <w:t>2020年预算做入我局，</w:t>
      </w:r>
      <w:r>
        <w:rPr>
          <w:rFonts w:hint="eastAsia" w:ascii="仿宋_GB2312" w:eastAsia="仿宋_GB2312"/>
          <w:color w:val="auto"/>
          <w:sz w:val="30"/>
          <w:szCs w:val="30"/>
          <w:highlight w:val="none"/>
          <w:lang w:eastAsia="zh-CN"/>
        </w:rPr>
        <w:t>其</w:t>
      </w:r>
      <w:r>
        <w:rPr>
          <w:rFonts w:hint="eastAsia" w:ascii="仿宋_GB2312" w:eastAsia="仿宋_GB2312"/>
          <w:color w:val="auto"/>
          <w:sz w:val="30"/>
          <w:szCs w:val="30"/>
          <w:highlight w:val="none"/>
        </w:rPr>
        <w:t>经费由我局进行列支。</w:t>
      </w:r>
    </w:p>
    <w:p>
      <w:pPr>
        <w:widowControl/>
        <w:snapToGrid w:val="0"/>
        <w:spacing w:before="100" w:after="100" w:line="600" w:lineRule="exact"/>
        <w:ind w:firstLine="600" w:firstLineChars="200"/>
        <w:jc w:val="left"/>
        <w:rPr>
          <w:rFonts w:ascii="楷体" w:hAnsi="楷体" w:eastAsia="楷体"/>
          <w:sz w:val="30"/>
          <w:szCs w:val="30"/>
        </w:rPr>
      </w:pPr>
      <w:r>
        <w:rPr>
          <w:rFonts w:hint="eastAsia" w:ascii="楷体" w:hAnsi="楷体" w:eastAsia="楷体"/>
          <w:sz w:val="30"/>
          <w:szCs w:val="30"/>
        </w:rPr>
        <w:t>（一）基本支出情况</w:t>
      </w:r>
    </w:p>
    <w:p>
      <w:pPr>
        <w:widowControl/>
        <w:snapToGrid w:val="0"/>
        <w:spacing w:before="100" w:after="100" w:line="600" w:lineRule="exact"/>
        <w:ind w:firstLine="600" w:firstLineChars="200"/>
        <w:jc w:val="left"/>
        <w:rPr>
          <w:rFonts w:ascii="仿宋_GB2312" w:eastAsia="仿宋_GB2312"/>
          <w:sz w:val="30"/>
          <w:szCs w:val="30"/>
          <w:highlight w:val="none"/>
        </w:rPr>
      </w:pPr>
      <w:r>
        <w:rPr>
          <w:rFonts w:hint="eastAsia" w:ascii="仿宋_GB2312" w:eastAsia="仿宋_GB2312"/>
          <w:sz w:val="30"/>
          <w:szCs w:val="30"/>
          <w:lang w:val="en-US" w:eastAsia="zh-CN"/>
        </w:rPr>
        <w:t>2020</w:t>
      </w:r>
      <w:r>
        <w:rPr>
          <w:rFonts w:hint="eastAsia" w:ascii="仿宋_GB2312" w:eastAsia="仿宋_GB2312"/>
          <w:sz w:val="30"/>
          <w:szCs w:val="30"/>
        </w:rPr>
        <w:t>年度用于保障昆明市盘龙区财政局机关、下属事业单位等机构正常运转的日常支出</w:t>
      </w:r>
      <w:r>
        <w:rPr>
          <w:rFonts w:hint="eastAsia" w:ascii="仿宋_GB2312" w:eastAsia="仿宋_GB2312"/>
          <w:sz w:val="30"/>
          <w:szCs w:val="30"/>
          <w:lang w:val="en-US" w:eastAsia="zh-CN"/>
        </w:rPr>
        <w:t>1567.68</w:t>
      </w:r>
      <w:r>
        <w:rPr>
          <w:rFonts w:hint="eastAsia" w:ascii="仿宋_GB2312" w:eastAsia="仿宋_GB2312"/>
          <w:sz w:val="30"/>
          <w:szCs w:val="30"/>
        </w:rPr>
        <w:t>万元。与上年对比</w:t>
      </w:r>
      <w:r>
        <w:rPr>
          <w:rFonts w:hint="eastAsia" w:ascii="仿宋_GB2312" w:eastAsia="仿宋_GB2312"/>
          <w:sz w:val="30"/>
          <w:szCs w:val="30"/>
          <w:lang w:eastAsia="zh-CN"/>
        </w:rPr>
        <w:t>增加了</w:t>
      </w:r>
      <w:r>
        <w:rPr>
          <w:rFonts w:hint="eastAsia" w:ascii="仿宋_GB2312" w:eastAsia="仿宋_GB2312"/>
          <w:sz w:val="30"/>
          <w:szCs w:val="30"/>
          <w:lang w:val="en-US" w:eastAsia="zh-CN"/>
        </w:rPr>
        <w:t>330.98万元</w:t>
      </w:r>
      <w:r>
        <w:rPr>
          <w:rFonts w:hint="eastAsia" w:ascii="仿宋_GB2312" w:eastAsia="仿宋_GB2312"/>
          <w:sz w:val="30"/>
          <w:szCs w:val="30"/>
        </w:rPr>
        <w:t>，主要原因分析</w:t>
      </w:r>
      <w:r>
        <w:rPr>
          <w:rFonts w:hint="eastAsia" w:ascii="仿宋_GB2312" w:eastAsia="仿宋_GB2312"/>
          <w:sz w:val="30"/>
          <w:szCs w:val="30"/>
          <w:highlight w:val="none"/>
          <w:lang w:eastAsia="zh-CN"/>
        </w:rPr>
        <w:t>：养老保险、职业年金、医疗保险、公积金随基数核定增加而增加</w:t>
      </w:r>
      <w:r>
        <w:rPr>
          <w:rFonts w:hint="eastAsia" w:ascii="仿宋_GB2312" w:eastAsia="仿宋_GB2312"/>
          <w:sz w:val="30"/>
          <w:szCs w:val="30"/>
          <w:highlight w:val="none"/>
        </w:rPr>
        <w:t>。其中：基本工资、津贴补贴等人员经费支出</w:t>
      </w:r>
      <w:r>
        <w:rPr>
          <w:rFonts w:hint="eastAsia" w:ascii="仿宋_GB2312" w:eastAsia="仿宋_GB2312"/>
          <w:sz w:val="30"/>
          <w:szCs w:val="30"/>
          <w:highlight w:val="none"/>
          <w:lang w:val="en-US" w:eastAsia="zh-CN"/>
        </w:rPr>
        <w:t>1440.11</w:t>
      </w:r>
      <w:r>
        <w:rPr>
          <w:rFonts w:hint="eastAsia" w:ascii="仿宋_GB2312" w:eastAsia="仿宋_GB2312"/>
          <w:sz w:val="30"/>
          <w:szCs w:val="30"/>
          <w:highlight w:val="none"/>
        </w:rPr>
        <w:t>万元，占基本支出的</w:t>
      </w:r>
      <w:r>
        <w:rPr>
          <w:rFonts w:hint="eastAsia" w:ascii="仿宋_GB2312" w:eastAsia="仿宋_GB2312"/>
          <w:sz w:val="30"/>
          <w:szCs w:val="30"/>
          <w:highlight w:val="none"/>
          <w:lang w:val="en-US" w:eastAsia="zh-CN"/>
        </w:rPr>
        <w:t>91.86</w:t>
      </w:r>
      <w:r>
        <w:rPr>
          <w:rFonts w:hint="eastAsia" w:ascii="仿宋_GB2312" w:eastAsia="仿宋_GB2312"/>
          <w:sz w:val="30"/>
          <w:szCs w:val="30"/>
          <w:highlight w:val="none"/>
        </w:rPr>
        <w:t>％；办公费、印刷费、水电费、办公设备购置等公用经费</w:t>
      </w:r>
      <w:r>
        <w:rPr>
          <w:rFonts w:hint="eastAsia" w:ascii="仿宋_GB2312" w:eastAsia="仿宋_GB2312"/>
          <w:sz w:val="30"/>
          <w:szCs w:val="30"/>
          <w:highlight w:val="none"/>
          <w:lang w:val="en-US" w:eastAsia="zh-CN"/>
        </w:rPr>
        <w:t>127.58</w:t>
      </w:r>
      <w:r>
        <w:rPr>
          <w:rFonts w:hint="eastAsia" w:ascii="仿宋_GB2312" w:eastAsia="仿宋_GB2312"/>
          <w:sz w:val="30"/>
          <w:szCs w:val="30"/>
          <w:highlight w:val="none"/>
        </w:rPr>
        <w:t>万元，占基本支出的</w:t>
      </w:r>
      <w:r>
        <w:rPr>
          <w:rFonts w:hint="eastAsia" w:ascii="仿宋_GB2312" w:eastAsia="仿宋_GB2312"/>
          <w:sz w:val="30"/>
          <w:szCs w:val="30"/>
          <w:highlight w:val="none"/>
          <w:lang w:val="en-US" w:eastAsia="zh-CN"/>
        </w:rPr>
        <w:t>8.14</w:t>
      </w:r>
      <w:r>
        <w:rPr>
          <w:rFonts w:hint="eastAsia" w:ascii="仿宋_GB2312" w:eastAsia="仿宋_GB2312"/>
          <w:sz w:val="30"/>
          <w:szCs w:val="30"/>
          <w:highlight w:val="none"/>
        </w:rPr>
        <w:t>％。</w:t>
      </w:r>
    </w:p>
    <w:p>
      <w:pPr>
        <w:widowControl/>
        <w:snapToGrid w:val="0"/>
        <w:spacing w:before="100" w:after="100" w:line="600" w:lineRule="exact"/>
        <w:ind w:firstLine="600" w:firstLineChars="200"/>
        <w:jc w:val="left"/>
        <w:rPr>
          <w:rFonts w:ascii="楷体" w:hAnsi="楷体" w:eastAsia="楷体"/>
          <w:sz w:val="30"/>
          <w:szCs w:val="30"/>
        </w:rPr>
      </w:pPr>
      <w:r>
        <w:rPr>
          <w:rFonts w:hint="eastAsia" w:ascii="楷体" w:hAnsi="楷体" w:eastAsia="楷体"/>
          <w:sz w:val="30"/>
          <w:szCs w:val="30"/>
        </w:rPr>
        <w:t>（二）项目支出情况</w:t>
      </w:r>
    </w:p>
    <w:p>
      <w:pPr>
        <w:widowControl/>
        <w:snapToGrid w:val="0"/>
        <w:spacing w:before="100" w:after="100" w:line="600" w:lineRule="exact"/>
        <w:ind w:firstLine="600" w:firstLineChars="200"/>
        <w:jc w:val="left"/>
        <w:rPr>
          <w:rFonts w:hint="eastAsia" w:ascii="仿宋_GB2312" w:eastAsia="仿宋_GB2312"/>
          <w:sz w:val="30"/>
          <w:szCs w:val="30"/>
          <w:lang w:eastAsia="zh-CN"/>
        </w:rPr>
      </w:pPr>
      <w:r>
        <w:rPr>
          <w:rFonts w:hint="eastAsia" w:ascii="仿宋_GB2312" w:eastAsia="仿宋_GB2312"/>
          <w:sz w:val="30"/>
          <w:szCs w:val="30"/>
          <w:lang w:val="en-US" w:eastAsia="zh-CN"/>
        </w:rPr>
        <w:t>2020</w:t>
      </w:r>
      <w:r>
        <w:rPr>
          <w:rFonts w:hint="eastAsia" w:ascii="仿宋_GB2312" w:eastAsia="仿宋_GB2312"/>
          <w:sz w:val="30"/>
          <w:szCs w:val="30"/>
        </w:rPr>
        <w:t>年度用于保障昆明市盘龙区财政局</w:t>
      </w:r>
      <w:r>
        <w:rPr>
          <w:rFonts w:hint="eastAsia" w:ascii="仿宋_GB2312" w:eastAsia="仿宋_GB2312"/>
          <w:sz w:val="30"/>
          <w:szCs w:val="30"/>
          <w:lang w:eastAsia="zh-CN"/>
        </w:rPr>
        <w:t>机关</w:t>
      </w:r>
      <w:r>
        <w:rPr>
          <w:rFonts w:hint="eastAsia" w:ascii="仿宋_GB2312" w:eastAsia="仿宋_GB2312"/>
          <w:sz w:val="30"/>
          <w:szCs w:val="30"/>
        </w:rPr>
        <w:t>、下属事业单位等机构为完成特定的行政工作任务或事业发展目标，用于专项业务工作的经费支出</w:t>
      </w:r>
      <w:r>
        <w:rPr>
          <w:rFonts w:hint="eastAsia" w:ascii="仿宋_GB2312" w:eastAsia="仿宋_GB2312"/>
          <w:sz w:val="30"/>
          <w:szCs w:val="30"/>
          <w:lang w:val="en-US" w:eastAsia="zh-CN"/>
        </w:rPr>
        <w:t>14483.90</w:t>
      </w:r>
      <w:r>
        <w:rPr>
          <w:rFonts w:hint="eastAsia" w:ascii="仿宋_GB2312" w:eastAsia="仿宋_GB2312"/>
          <w:sz w:val="30"/>
          <w:szCs w:val="30"/>
        </w:rPr>
        <w:t>万元。与上年对比</w:t>
      </w:r>
      <w:r>
        <w:rPr>
          <w:rFonts w:hint="eastAsia" w:ascii="仿宋_GB2312" w:eastAsia="仿宋_GB2312"/>
          <w:sz w:val="30"/>
          <w:szCs w:val="30"/>
          <w:lang w:eastAsia="zh-CN"/>
        </w:rPr>
        <w:t>增加了</w:t>
      </w:r>
      <w:r>
        <w:rPr>
          <w:rFonts w:hint="eastAsia" w:ascii="仿宋_GB2312" w:eastAsia="仿宋_GB2312"/>
          <w:sz w:val="30"/>
          <w:szCs w:val="30"/>
          <w:lang w:val="en-US" w:eastAsia="zh-CN"/>
        </w:rPr>
        <w:t>12009.83万元</w:t>
      </w:r>
      <w:r>
        <w:rPr>
          <w:rFonts w:hint="eastAsia" w:ascii="仿宋_GB2312" w:eastAsia="仿宋_GB2312"/>
          <w:sz w:val="30"/>
          <w:szCs w:val="30"/>
        </w:rPr>
        <w:t>,主要原因分析</w:t>
      </w:r>
      <w:r>
        <w:rPr>
          <w:rFonts w:hint="eastAsia" w:ascii="仿宋_GB2312" w:eastAsia="仿宋_GB2312"/>
          <w:sz w:val="30"/>
          <w:szCs w:val="30"/>
          <w:lang w:eastAsia="zh-CN"/>
        </w:rPr>
        <w:t>：</w:t>
      </w:r>
      <w:r>
        <w:rPr>
          <w:rFonts w:hint="eastAsia" w:ascii="仿宋_GB2312" w:eastAsia="仿宋_GB2312"/>
          <w:sz w:val="30"/>
          <w:szCs w:val="30"/>
          <w:highlight w:val="none"/>
          <w:lang w:eastAsia="zh-CN"/>
        </w:rPr>
        <w:t>根据《昆明市盘龙区财政局关于做好盘龙区机构改革经费保障、财务及资产移交工作的通知》（盘财〔2019〕33号），盘龙区国有资产监督管理委员会按照机构改革相关要求，其财务自2019年6月全部并入财政局，20</w:t>
      </w:r>
      <w:r>
        <w:rPr>
          <w:rFonts w:hint="eastAsia" w:ascii="仿宋_GB2312" w:eastAsia="仿宋_GB2312"/>
          <w:sz w:val="30"/>
          <w:szCs w:val="30"/>
          <w:highlight w:val="none"/>
          <w:lang w:val="en-US" w:eastAsia="zh-CN"/>
        </w:rPr>
        <w:t>20</w:t>
      </w:r>
      <w:r>
        <w:rPr>
          <w:rFonts w:hint="eastAsia" w:ascii="仿宋_GB2312" w:eastAsia="仿宋_GB2312"/>
          <w:sz w:val="30"/>
          <w:szCs w:val="30"/>
          <w:highlight w:val="none"/>
          <w:lang w:eastAsia="zh-CN"/>
        </w:rPr>
        <w:t>年盘龙区国有资产监督管理委员会经费由我局进行列支</w:t>
      </w:r>
      <w:r>
        <w:rPr>
          <w:rFonts w:hint="eastAsia" w:ascii="仿宋_GB2312" w:eastAsia="仿宋_GB2312"/>
          <w:sz w:val="30"/>
          <w:szCs w:val="30"/>
          <w:highlight w:val="none"/>
        </w:rPr>
        <w:t>。具体项目开支及开展工作情况包括</w:t>
      </w:r>
      <w:r>
        <w:rPr>
          <w:rFonts w:hint="eastAsia" w:ascii="仿宋_GB2312" w:eastAsia="仿宋_GB2312"/>
          <w:sz w:val="30"/>
          <w:szCs w:val="30"/>
          <w:highlight w:val="none"/>
          <w:lang w:eastAsia="zh-CN"/>
        </w:rPr>
        <w:t>区国管公司注册资本专项资金</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国资业务经费</w:t>
      </w:r>
      <w:r>
        <w:rPr>
          <w:rFonts w:hint="eastAsia" w:ascii="仿宋_GB2312" w:eastAsia="仿宋_GB2312"/>
          <w:sz w:val="30"/>
          <w:szCs w:val="30"/>
          <w:highlight w:val="none"/>
        </w:rPr>
        <w:t>等。</w:t>
      </w:r>
    </w:p>
    <w:p>
      <w:pPr>
        <w:widowControl/>
        <w:snapToGrid w:val="0"/>
        <w:spacing w:before="100" w:after="100" w:line="600" w:lineRule="exact"/>
        <w:ind w:firstLine="600" w:firstLineChars="200"/>
        <w:jc w:val="left"/>
        <w:rPr>
          <w:rFonts w:ascii="黑体" w:hAnsi="黑体" w:eastAsia="黑体"/>
          <w:sz w:val="30"/>
          <w:szCs w:val="30"/>
        </w:rPr>
      </w:pPr>
      <w:r>
        <w:rPr>
          <w:rFonts w:hint="eastAsia" w:ascii="仿宋_GB2312" w:eastAsia="仿宋_GB2312"/>
          <w:sz w:val="30"/>
          <w:szCs w:val="30"/>
          <w:lang w:eastAsia="zh-CN"/>
        </w:rPr>
        <w:drawing>
          <wp:anchor distT="0" distB="0" distL="114300" distR="114300" simplePos="0" relativeHeight="251658240" behindDoc="0" locked="0" layoutInCell="1" allowOverlap="1">
            <wp:simplePos x="0" y="0"/>
            <wp:positionH relativeFrom="column">
              <wp:align>center</wp:align>
            </wp:positionH>
            <wp:positionV relativeFrom="paragraph">
              <wp:posOffset>21590</wp:posOffset>
            </wp:positionV>
            <wp:extent cx="5615305" cy="3930650"/>
            <wp:effectExtent l="0" t="0" r="4445" b="12700"/>
            <wp:wrapTopAndBottom/>
            <wp:docPr id="1" name="图片 1" descr="2020年项目支出明细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0年项目支出明细表"/>
                    <pic:cNvPicPr>
                      <a:picLocks noChangeAspect="1"/>
                    </pic:cNvPicPr>
                  </pic:nvPicPr>
                  <pic:blipFill>
                    <a:blip r:embed="rId7"/>
                    <a:stretch>
                      <a:fillRect/>
                    </a:stretch>
                  </pic:blipFill>
                  <pic:spPr>
                    <a:xfrm>
                      <a:off x="0" y="0"/>
                      <a:ext cx="5615305" cy="3930650"/>
                    </a:xfrm>
                    <a:prstGeom prst="rect">
                      <a:avLst/>
                    </a:prstGeom>
                  </pic:spPr>
                </pic:pic>
              </a:graphicData>
            </a:graphic>
          </wp:anchor>
        </w:drawing>
      </w:r>
      <w:r>
        <w:rPr>
          <w:rFonts w:hint="eastAsia" w:ascii="黑体" w:hAnsi="黑体" w:eastAsia="黑体"/>
          <w:sz w:val="30"/>
          <w:szCs w:val="30"/>
        </w:rPr>
        <w:t>三、一般公共预算财政拨款支出决算情况说明</w:t>
      </w:r>
    </w:p>
    <w:p>
      <w:pPr>
        <w:widowControl/>
        <w:snapToGrid w:val="0"/>
        <w:spacing w:before="100" w:after="100" w:line="600" w:lineRule="exact"/>
        <w:ind w:firstLine="600" w:firstLineChars="200"/>
        <w:jc w:val="left"/>
        <w:rPr>
          <w:rFonts w:ascii="楷体" w:hAnsi="楷体" w:eastAsia="楷体"/>
          <w:sz w:val="30"/>
          <w:szCs w:val="30"/>
        </w:rPr>
      </w:pPr>
      <w:r>
        <w:rPr>
          <w:rFonts w:hint="eastAsia" w:ascii="楷体" w:hAnsi="楷体" w:eastAsia="楷体"/>
          <w:sz w:val="30"/>
          <w:szCs w:val="30"/>
        </w:rPr>
        <w:t>（一）一般公共预算财政拨款支出决算总体情况</w:t>
      </w:r>
    </w:p>
    <w:p>
      <w:pPr>
        <w:widowControl/>
        <w:snapToGrid w:val="0"/>
        <w:spacing w:before="100" w:after="100" w:line="600" w:lineRule="exact"/>
        <w:ind w:firstLine="600" w:firstLineChars="200"/>
        <w:jc w:val="left"/>
        <w:rPr>
          <w:rFonts w:ascii="仿宋_GB2312" w:hAnsi="宋体" w:eastAsia="仿宋_GB2312" w:cs="Arial"/>
          <w:kern w:val="0"/>
          <w:sz w:val="30"/>
          <w:szCs w:val="30"/>
          <w:highlight w:val="none"/>
        </w:rPr>
      </w:pPr>
      <w:r>
        <w:rPr>
          <w:rFonts w:hint="eastAsia" w:ascii="仿宋_GB2312" w:eastAsia="仿宋_GB2312"/>
          <w:sz w:val="30"/>
          <w:szCs w:val="30"/>
        </w:rPr>
        <w:t>昆明市盘龙区财政局</w:t>
      </w:r>
      <w:r>
        <w:rPr>
          <w:rFonts w:hint="eastAsia" w:ascii="仿宋_GB2312" w:eastAsia="仿宋_GB2312"/>
          <w:sz w:val="30"/>
          <w:szCs w:val="30"/>
          <w:lang w:val="en-US" w:eastAsia="zh-CN"/>
        </w:rPr>
        <w:t>2020</w:t>
      </w:r>
      <w:r>
        <w:rPr>
          <w:rFonts w:hint="eastAsia" w:ascii="仿宋_GB2312" w:eastAsia="仿宋_GB2312"/>
          <w:sz w:val="30"/>
          <w:szCs w:val="30"/>
        </w:rPr>
        <w:t>年度一般公共预算财政拨款支出</w:t>
      </w:r>
      <w:r>
        <w:rPr>
          <w:rFonts w:hint="eastAsia" w:ascii="仿宋_GB2312" w:hAnsi="宋体" w:eastAsia="仿宋_GB2312" w:cs="Arial"/>
          <w:kern w:val="0"/>
          <w:sz w:val="30"/>
          <w:szCs w:val="30"/>
        </w:rPr>
        <w:t>15,918.59万元,占本年支出合计的</w:t>
      </w:r>
      <w:r>
        <w:rPr>
          <w:rFonts w:hint="eastAsia" w:ascii="仿宋_GB2312" w:eastAsia="仿宋_GB2312"/>
          <w:sz w:val="30"/>
          <w:szCs w:val="30"/>
          <w:lang w:val="en-US" w:eastAsia="zh-CN"/>
        </w:rPr>
        <w:t>99.17</w:t>
      </w:r>
      <w:r>
        <w:rPr>
          <w:rFonts w:hint="eastAsia" w:ascii="仿宋_GB2312" w:hAnsi="宋体" w:eastAsia="仿宋_GB2312" w:cs="Arial"/>
          <w:kern w:val="0"/>
          <w:sz w:val="30"/>
          <w:szCs w:val="30"/>
        </w:rPr>
        <w:t>%。与上年对比</w:t>
      </w:r>
      <w:r>
        <w:rPr>
          <w:rFonts w:hint="eastAsia" w:ascii="仿宋_GB2312" w:hAnsi="宋体" w:eastAsia="仿宋_GB2312" w:cs="Arial"/>
          <w:kern w:val="0"/>
          <w:sz w:val="30"/>
          <w:szCs w:val="30"/>
          <w:lang w:eastAsia="zh-CN"/>
        </w:rPr>
        <w:t>增加了</w:t>
      </w:r>
      <w:r>
        <w:rPr>
          <w:rFonts w:hint="eastAsia" w:ascii="仿宋_GB2312" w:hAnsi="宋体" w:eastAsia="仿宋_GB2312" w:cs="Arial"/>
          <w:kern w:val="0"/>
          <w:sz w:val="30"/>
          <w:szCs w:val="30"/>
          <w:lang w:val="en-US" w:eastAsia="zh-CN"/>
        </w:rPr>
        <w:t>12207.81万元</w:t>
      </w:r>
      <w:r>
        <w:rPr>
          <w:rFonts w:hint="eastAsia" w:ascii="仿宋_GB2312" w:eastAsia="仿宋_GB2312"/>
          <w:sz w:val="30"/>
          <w:szCs w:val="30"/>
        </w:rPr>
        <w:t>,主要</w:t>
      </w:r>
      <w:r>
        <w:rPr>
          <w:rFonts w:hint="eastAsia" w:ascii="仿宋_GB2312" w:hAnsi="宋体" w:eastAsia="仿宋_GB2312" w:cs="Arial"/>
          <w:kern w:val="0"/>
          <w:sz w:val="30"/>
          <w:szCs w:val="30"/>
        </w:rPr>
        <w:t>原因分析</w:t>
      </w:r>
      <w:r>
        <w:rPr>
          <w:rFonts w:hint="eastAsia" w:ascii="仿宋_GB2312" w:hAnsi="宋体" w:eastAsia="仿宋_GB2312" w:cs="Arial"/>
          <w:kern w:val="0"/>
          <w:sz w:val="30"/>
          <w:szCs w:val="30"/>
          <w:lang w:eastAsia="zh-CN"/>
        </w:rPr>
        <w:t>：</w:t>
      </w:r>
      <w:r>
        <w:rPr>
          <w:rFonts w:hint="eastAsia" w:ascii="仿宋_GB2312" w:hAnsi="宋体" w:eastAsia="仿宋_GB2312" w:cs="Arial"/>
          <w:kern w:val="0"/>
          <w:sz w:val="30"/>
          <w:szCs w:val="30"/>
          <w:highlight w:val="none"/>
          <w:lang w:eastAsia="zh-CN"/>
        </w:rPr>
        <w:t>根据《昆明市盘龙区财政局关于做好盘龙区机构改革经费保障、财务及资产移交工作的通知》（盘财〔2019〕33号），盘龙区国有资产监督管理委员会按照机构改革相关要求，其财务自2019年6月全部并入财政局，</w:t>
      </w:r>
      <w:r>
        <w:rPr>
          <w:rFonts w:hint="eastAsia" w:ascii="仿宋_GB2312" w:hAnsi="宋体" w:eastAsia="仿宋_GB2312" w:cs="Arial"/>
          <w:kern w:val="0"/>
          <w:sz w:val="30"/>
          <w:szCs w:val="30"/>
          <w:highlight w:val="none"/>
          <w:lang w:val="en-US" w:eastAsia="zh-CN"/>
        </w:rPr>
        <w:t>2020</w:t>
      </w:r>
      <w:r>
        <w:rPr>
          <w:rFonts w:hint="eastAsia" w:ascii="仿宋_GB2312" w:hAnsi="宋体" w:eastAsia="仿宋_GB2312" w:cs="Arial"/>
          <w:kern w:val="0"/>
          <w:sz w:val="30"/>
          <w:szCs w:val="30"/>
          <w:highlight w:val="none"/>
          <w:lang w:eastAsia="zh-CN"/>
        </w:rPr>
        <w:t>年盘龙区国有资产监督管理委员会经费由我局进行列支。</w:t>
      </w:r>
    </w:p>
    <w:p>
      <w:pPr>
        <w:widowControl/>
        <w:snapToGrid w:val="0"/>
        <w:spacing w:before="100" w:after="100" w:line="600" w:lineRule="exact"/>
        <w:ind w:firstLine="600" w:firstLineChars="200"/>
        <w:jc w:val="left"/>
        <w:rPr>
          <w:rFonts w:ascii="楷体" w:hAnsi="楷体" w:eastAsia="楷体"/>
          <w:sz w:val="30"/>
          <w:szCs w:val="30"/>
        </w:rPr>
      </w:pPr>
      <w:r>
        <w:rPr>
          <w:rFonts w:hint="eastAsia" w:ascii="楷体" w:hAnsi="楷体" w:eastAsia="楷体"/>
          <w:sz w:val="30"/>
          <w:szCs w:val="30"/>
        </w:rPr>
        <w:t>（二）一般公共预算财政拨款支出决算具体情况</w:t>
      </w:r>
      <w:r>
        <w:rPr>
          <w:rFonts w:hint="eastAsia" w:ascii="楷体" w:hAnsi="楷体" w:eastAsia="楷体"/>
          <w:sz w:val="30"/>
          <w:szCs w:val="30"/>
        </w:rPr>
        <w:tab/>
      </w:r>
      <w:r>
        <w:rPr>
          <w:rFonts w:hint="eastAsia" w:ascii="楷体" w:hAnsi="楷体" w:eastAsia="楷体"/>
          <w:sz w:val="30"/>
          <w:szCs w:val="30"/>
        </w:rPr>
        <w:tab/>
      </w:r>
      <w:r>
        <w:rPr>
          <w:rFonts w:hint="eastAsia" w:ascii="楷体" w:hAnsi="楷体" w:eastAsia="楷体"/>
          <w:sz w:val="30"/>
          <w:szCs w:val="30"/>
        </w:rPr>
        <w:tab/>
      </w:r>
    </w:p>
    <w:p>
      <w:pPr>
        <w:widowControl/>
        <w:snapToGrid w:val="0"/>
        <w:spacing w:before="100" w:after="100" w:line="360" w:lineRule="auto"/>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1.一般公共服务（类）支出</w:t>
      </w:r>
      <w:r>
        <w:rPr>
          <w:rFonts w:hint="eastAsia" w:ascii="仿宋_GB2312" w:hAnsi="宋体" w:eastAsia="仿宋_GB2312" w:cs="Arial"/>
          <w:kern w:val="0"/>
          <w:sz w:val="30"/>
          <w:szCs w:val="30"/>
          <w:lang w:val="en-US" w:eastAsia="zh-CN"/>
        </w:rPr>
        <w:t>15105.99</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94.90</w:t>
      </w:r>
      <w:r>
        <w:rPr>
          <w:rFonts w:hint="eastAsia" w:ascii="仿宋_GB2312" w:eastAsia="仿宋_GB2312"/>
          <w:sz w:val="30"/>
          <w:szCs w:val="30"/>
        </w:rPr>
        <w:t>%。</w:t>
      </w:r>
      <w:r>
        <w:rPr>
          <w:rFonts w:hint="eastAsia" w:ascii="仿宋_GB2312" w:hAnsi="宋体" w:eastAsia="仿宋_GB2312" w:cs="Arial"/>
          <w:kern w:val="0"/>
          <w:sz w:val="30"/>
          <w:szCs w:val="30"/>
        </w:rPr>
        <w:t>主要用于行政运行、事业运行、一般行政管理事务、财政国库业务、其他财政事务支出等；</w:t>
      </w:r>
    </w:p>
    <w:p>
      <w:pPr>
        <w:widowControl/>
        <w:snapToGrid w:val="0"/>
        <w:spacing w:before="100" w:after="100" w:line="360" w:lineRule="auto"/>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w:t>
      </w:r>
      <w:r>
        <w:rPr>
          <w:rFonts w:hint="eastAsia" w:ascii="仿宋_GB2312" w:hAnsi="宋体" w:eastAsia="仿宋_GB2312" w:cs="Arial"/>
          <w:kern w:val="0"/>
          <w:sz w:val="30"/>
          <w:szCs w:val="30"/>
          <w:lang w:eastAsia="zh-CN"/>
        </w:rPr>
        <w:t>教育</w:t>
      </w:r>
      <w:r>
        <w:rPr>
          <w:rFonts w:hint="eastAsia" w:ascii="仿宋_GB2312" w:hAnsi="宋体" w:eastAsia="仿宋_GB2312" w:cs="Arial"/>
          <w:kern w:val="0"/>
          <w:sz w:val="30"/>
          <w:szCs w:val="30"/>
        </w:rPr>
        <w:t>（类）支出</w:t>
      </w:r>
      <w:r>
        <w:rPr>
          <w:rFonts w:hint="eastAsia" w:ascii="仿宋_GB2312" w:eastAsia="仿宋_GB2312"/>
          <w:sz w:val="30"/>
          <w:szCs w:val="30"/>
          <w:lang w:val="en-US" w:eastAsia="zh-CN"/>
        </w:rPr>
        <w:t>383.03</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2.41</w:t>
      </w:r>
      <w:r>
        <w:rPr>
          <w:rFonts w:hint="eastAsia" w:ascii="仿宋_GB2312" w:eastAsia="仿宋_GB2312"/>
          <w:sz w:val="30"/>
          <w:szCs w:val="30"/>
        </w:rPr>
        <w:t>%。</w:t>
      </w:r>
      <w:r>
        <w:rPr>
          <w:rFonts w:hint="eastAsia" w:ascii="仿宋_GB2312" w:hAnsi="宋体" w:eastAsia="仿宋_GB2312" w:cs="Arial"/>
          <w:kern w:val="0"/>
          <w:sz w:val="30"/>
          <w:szCs w:val="30"/>
        </w:rPr>
        <w:t>主要用于</w:t>
      </w:r>
      <w:r>
        <w:rPr>
          <w:rFonts w:hint="eastAsia" w:ascii="仿宋_GB2312" w:hAnsi="宋体" w:eastAsia="仿宋_GB2312" w:cs="Arial"/>
          <w:kern w:val="0"/>
          <w:sz w:val="30"/>
          <w:szCs w:val="30"/>
          <w:lang w:eastAsia="zh-CN"/>
        </w:rPr>
        <w:t>学前教育</w:t>
      </w:r>
      <w:r>
        <w:rPr>
          <w:rFonts w:hint="eastAsia" w:ascii="仿宋_GB2312" w:hAnsi="宋体" w:eastAsia="仿宋_GB2312" w:cs="Arial"/>
          <w:kern w:val="0"/>
          <w:sz w:val="30"/>
          <w:szCs w:val="30"/>
        </w:rPr>
        <w:t>；</w:t>
      </w:r>
    </w:p>
    <w:p>
      <w:pPr>
        <w:widowControl/>
        <w:snapToGrid w:val="0"/>
        <w:spacing w:before="100" w:after="100" w:line="360" w:lineRule="auto"/>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3.</w:t>
      </w:r>
      <w:r>
        <w:rPr>
          <w:rFonts w:hint="eastAsia" w:ascii="仿宋_GB2312" w:hAnsi="宋体" w:eastAsia="仿宋_GB2312" w:cs="Arial"/>
          <w:kern w:val="0"/>
          <w:sz w:val="30"/>
          <w:szCs w:val="30"/>
          <w:lang w:eastAsia="zh-CN"/>
        </w:rPr>
        <w:t>科学技术</w:t>
      </w:r>
      <w:r>
        <w:rPr>
          <w:rFonts w:hint="eastAsia" w:ascii="仿宋_GB2312" w:hAnsi="宋体" w:eastAsia="仿宋_GB2312" w:cs="Arial"/>
          <w:kern w:val="0"/>
          <w:sz w:val="30"/>
          <w:szCs w:val="30"/>
        </w:rPr>
        <w:t>（类）支出</w:t>
      </w:r>
      <w:r>
        <w:rPr>
          <w:rFonts w:hint="eastAsia" w:ascii="仿宋_GB2312" w:eastAsia="仿宋_GB2312"/>
          <w:sz w:val="30"/>
          <w:szCs w:val="30"/>
          <w:lang w:val="en-US" w:eastAsia="zh-CN"/>
        </w:rPr>
        <w:t>21.51</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0.14</w:t>
      </w:r>
      <w:r>
        <w:rPr>
          <w:rFonts w:hint="eastAsia" w:ascii="仿宋_GB2312" w:eastAsia="仿宋_GB2312"/>
          <w:sz w:val="30"/>
          <w:szCs w:val="30"/>
        </w:rPr>
        <w:t>%。</w:t>
      </w:r>
      <w:r>
        <w:rPr>
          <w:rFonts w:hint="eastAsia" w:ascii="仿宋_GB2312" w:hAnsi="宋体" w:eastAsia="仿宋_GB2312" w:cs="Arial"/>
          <w:kern w:val="0"/>
          <w:sz w:val="30"/>
          <w:szCs w:val="30"/>
        </w:rPr>
        <w:t>主要用于科技成果转化与扩散；</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rPr>
        <w:t>4.社会保障和就业（类）支出</w:t>
      </w:r>
      <w:r>
        <w:rPr>
          <w:rFonts w:hint="eastAsia" w:ascii="仿宋_GB2312" w:eastAsia="仿宋_GB2312"/>
          <w:sz w:val="30"/>
          <w:szCs w:val="30"/>
          <w:lang w:val="en-US" w:eastAsia="zh-CN"/>
        </w:rPr>
        <w:t>119.86</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w:t>
      </w:r>
      <w:r>
        <w:rPr>
          <w:rFonts w:hint="eastAsia" w:ascii="仿宋_GB2312" w:eastAsia="仿宋_GB2312"/>
          <w:sz w:val="30"/>
          <w:szCs w:val="30"/>
          <w:lang w:val="en-US" w:eastAsia="zh-CN"/>
        </w:rPr>
        <w:t>0.75</w:t>
      </w:r>
      <w:r>
        <w:rPr>
          <w:rFonts w:hint="eastAsia" w:ascii="仿宋_GB2312" w:eastAsia="仿宋_GB2312"/>
          <w:sz w:val="30"/>
          <w:szCs w:val="30"/>
        </w:rPr>
        <w:t>%。</w:t>
      </w:r>
      <w:r>
        <w:rPr>
          <w:rFonts w:hint="eastAsia" w:ascii="仿宋_GB2312" w:hAnsi="宋体" w:eastAsia="仿宋_GB2312" w:cs="Arial"/>
          <w:kern w:val="0"/>
          <w:sz w:val="30"/>
          <w:szCs w:val="30"/>
        </w:rPr>
        <w:t>主要用于机关事业单位基本养老保险缴费支出；</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lang w:val="en-US" w:eastAsia="zh-CN"/>
        </w:rPr>
        <w:t>5.</w:t>
      </w:r>
      <w:r>
        <w:rPr>
          <w:rFonts w:hint="eastAsia" w:ascii="仿宋_GB2312" w:hAnsi="宋体" w:eastAsia="仿宋_GB2312" w:cs="Arial"/>
          <w:kern w:val="0"/>
          <w:sz w:val="30"/>
          <w:szCs w:val="30"/>
        </w:rPr>
        <w:t>卫生健康（类）支出</w:t>
      </w:r>
      <w:r>
        <w:rPr>
          <w:rFonts w:hint="eastAsia" w:ascii="仿宋_GB2312" w:hAnsi="宋体" w:eastAsia="仿宋_GB2312" w:cs="Arial"/>
          <w:kern w:val="0"/>
          <w:sz w:val="30"/>
          <w:szCs w:val="30"/>
          <w:lang w:val="en-US" w:eastAsia="zh-CN"/>
        </w:rPr>
        <w:t>111.94</w:t>
      </w:r>
      <w:r>
        <w:rPr>
          <w:rFonts w:hint="eastAsia" w:ascii="仿宋_GB2312" w:hAnsi="宋体" w:eastAsia="仿宋_GB2312" w:cs="Arial"/>
          <w:kern w:val="0"/>
          <w:sz w:val="30"/>
          <w:szCs w:val="30"/>
        </w:rPr>
        <w:t>万元，占一般公共预算财政拨款总支出的</w:t>
      </w:r>
      <w:r>
        <w:rPr>
          <w:rFonts w:hint="eastAsia" w:ascii="仿宋_GB2312" w:hAnsi="宋体" w:eastAsia="仿宋_GB2312" w:cs="Arial"/>
          <w:kern w:val="0"/>
          <w:sz w:val="30"/>
          <w:szCs w:val="30"/>
          <w:lang w:val="en-US" w:eastAsia="zh-CN"/>
        </w:rPr>
        <w:t>0.70</w:t>
      </w:r>
      <w:r>
        <w:rPr>
          <w:rFonts w:hint="eastAsia" w:ascii="仿宋_GB2312" w:hAnsi="宋体" w:eastAsia="仿宋_GB2312" w:cs="Arial"/>
          <w:kern w:val="0"/>
          <w:sz w:val="30"/>
          <w:szCs w:val="30"/>
        </w:rPr>
        <w:t>%。主要用于行政单位医疗、事业单位医疗、公务员医疗补助；</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lang w:val="en-US" w:eastAsia="zh-CN"/>
        </w:rPr>
        <w:t>6</w:t>
      </w:r>
      <w:r>
        <w:rPr>
          <w:rFonts w:hint="eastAsia" w:ascii="仿宋_GB2312" w:hAnsi="宋体" w:eastAsia="仿宋_GB2312" w:cs="Arial"/>
          <w:kern w:val="0"/>
          <w:sz w:val="30"/>
          <w:szCs w:val="30"/>
        </w:rPr>
        <w:t>.资源勘探</w:t>
      </w:r>
      <w:r>
        <w:rPr>
          <w:rFonts w:hint="eastAsia" w:ascii="仿宋_GB2312" w:hAnsi="宋体" w:eastAsia="仿宋_GB2312" w:cs="Arial"/>
          <w:kern w:val="0"/>
          <w:sz w:val="30"/>
          <w:szCs w:val="30"/>
          <w:lang w:eastAsia="zh-CN"/>
        </w:rPr>
        <w:t>工业</w:t>
      </w:r>
      <w:r>
        <w:rPr>
          <w:rFonts w:hint="eastAsia" w:ascii="仿宋_GB2312" w:hAnsi="宋体" w:eastAsia="仿宋_GB2312" w:cs="Arial"/>
          <w:kern w:val="0"/>
          <w:sz w:val="30"/>
          <w:szCs w:val="30"/>
        </w:rPr>
        <w:t>信息等（类）支出</w:t>
      </w:r>
      <w:r>
        <w:rPr>
          <w:rFonts w:hint="eastAsia" w:ascii="仿宋_GB2312" w:hAnsi="宋体" w:eastAsia="仿宋_GB2312" w:cs="Arial"/>
          <w:kern w:val="0"/>
          <w:sz w:val="30"/>
          <w:szCs w:val="30"/>
          <w:lang w:val="en-US" w:eastAsia="zh-CN"/>
        </w:rPr>
        <w:t>62.21</w:t>
      </w:r>
      <w:r>
        <w:rPr>
          <w:rFonts w:hint="eastAsia" w:ascii="仿宋_GB2312" w:hAnsi="宋体" w:eastAsia="仿宋_GB2312" w:cs="Arial"/>
          <w:kern w:val="0"/>
          <w:sz w:val="30"/>
          <w:szCs w:val="30"/>
        </w:rPr>
        <w:t>万元，占一般公共预算财政拨款总支出的0.</w:t>
      </w:r>
      <w:r>
        <w:rPr>
          <w:rFonts w:hint="eastAsia" w:ascii="仿宋_GB2312" w:hAnsi="宋体" w:eastAsia="仿宋_GB2312" w:cs="Arial"/>
          <w:kern w:val="0"/>
          <w:sz w:val="30"/>
          <w:szCs w:val="30"/>
          <w:lang w:val="en-US" w:eastAsia="zh-CN"/>
        </w:rPr>
        <w:t>39</w:t>
      </w:r>
      <w:r>
        <w:rPr>
          <w:rFonts w:hint="eastAsia" w:ascii="仿宋_GB2312" w:hAnsi="宋体" w:eastAsia="仿宋_GB2312" w:cs="Arial"/>
          <w:kern w:val="0"/>
          <w:sz w:val="30"/>
          <w:szCs w:val="30"/>
        </w:rPr>
        <w:t>%。主要用于</w:t>
      </w:r>
      <w:r>
        <w:rPr>
          <w:rFonts w:hint="eastAsia" w:ascii="仿宋_GB2312" w:hAnsi="宋体" w:eastAsia="仿宋_GB2312" w:cs="Arial"/>
          <w:kern w:val="0"/>
          <w:sz w:val="30"/>
          <w:szCs w:val="30"/>
          <w:lang w:eastAsia="zh-CN"/>
        </w:rPr>
        <w:t>支持中小企业</w:t>
      </w:r>
      <w:r>
        <w:rPr>
          <w:rFonts w:hint="eastAsia" w:ascii="仿宋_GB2312" w:hAnsi="宋体" w:eastAsia="仿宋_GB2312" w:cs="Arial"/>
          <w:kern w:val="0"/>
          <w:sz w:val="30"/>
          <w:szCs w:val="30"/>
        </w:rPr>
        <w:t>发展；</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rPr>
        <w:t xml:space="preserve"> </w:t>
      </w:r>
      <w:r>
        <w:rPr>
          <w:rFonts w:hint="eastAsia" w:ascii="仿宋_GB2312" w:hAnsi="宋体" w:eastAsia="仿宋_GB2312" w:cs="Arial"/>
          <w:kern w:val="0"/>
          <w:sz w:val="30"/>
          <w:szCs w:val="30"/>
          <w:lang w:val="en-US" w:eastAsia="zh-CN"/>
        </w:rPr>
        <w:t>7.</w:t>
      </w:r>
      <w:r>
        <w:rPr>
          <w:rFonts w:hint="eastAsia" w:ascii="仿宋_GB2312" w:hAnsi="宋体" w:eastAsia="仿宋_GB2312" w:cs="Arial"/>
          <w:kern w:val="0"/>
          <w:sz w:val="30"/>
          <w:szCs w:val="30"/>
        </w:rPr>
        <w:t>住房保障支出（类）支出</w:t>
      </w:r>
      <w:r>
        <w:rPr>
          <w:rFonts w:hint="eastAsia" w:ascii="仿宋_GB2312" w:hAnsi="宋体" w:eastAsia="仿宋_GB2312" w:cs="Arial"/>
          <w:kern w:val="0"/>
          <w:sz w:val="30"/>
          <w:szCs w:val="30"/>
          <w:lang w:val="en-US" w:eastAsia="zh-CN"/>
        </w:rPr>
        <w:t>114.06</w:t>
      </w:r>
      <w:r>
        <w:rPr>
          <w:rFonts w:hint="eastAsia" w:ascii="仿宋_GB2312" w:hAnsi="宋体" w:eastAsia="仿宋_GB2312" w:cs="Arial"/>
          <w:kern w:val="0"/>
          <w:sz w:val="30"/>
          <w:szCs w:val="30"/>
        </w:rPr>
        <w:t>万元，占一般公共预算财政拨款总支出的</w:t>
      </w:r>
      <w:r>
        <w:rPr>
          <w:rFonts w:hint="eastAsia" w:ascii="仿宋_GB2312" w:hAnsi="宋体" w:eastAsia="仿宋_GB2312" w:cs="Arial"/>
          <w:kern w:val="0"/>
          <w:sz w:val="30"/>
          <w:szCs w:val="30"/>
          <w:lang w:val="en-US" w:eastAsia="zh-CN"/>
        </w:rPr>
        <w:t>0.72</w:t>
      </w:r>
      <w:r>
        <w:rPr>
          <w:rFonts w:hint="eastAsia" w:ascii="仿宋_GB2312" w:hAnsi="宋体" w:eastAsia="仿宋_GB2312" w:cs="Arial"/>
          <w:kern w:val="0"/>
          <w:sz w:val="30"/>
          <w:szCs w:val="30"/>
        </w:rPr>
        <w:t>%。主要用于</w:t>
      </w:r>
      <w:r>
        <w:rPr>
          <w:rFonts w:hint="eastAsia" w:ascii="仿宋_GB2312" w:hAnsi="宋体" w:eastAsia="仿宋_GB2312" w:cs="Arial"/>
          <w:kern w:val="0"/>
          <w:sz w:val="30"/>
          <w:szCs w:val="30"/>
          <w:lang w:eastAsia="zh-CN"/>
        </w:rPr>
        <w:t>单位住房公积金缴费支出</w:t>
      </w:r>
      <w:r>
        <w:rPr>
          <w:rFonts w:hint="eastAsia" w:ascii="仿宋_GB2312" w:hAnsi="宋体" w:eastAsia="仿宋_GB2312" w:cs="Arial"/>
          <w:kern w:val="0"/>
          <w:sz w:val="30"/>
          <w:szCs w:val="30"/>
        </w:rPr>
        <w:t>。</w:t>
      </w:r>
    </w:p>
    <w:p>
      <w:pPr>
        <w:widowControl/>
        <w:snapToGrid w:val="0"/>
        <w:spacing w:before="100" w:after="100" w:line="360" w:lineRule="auto"/>
        <w:ind w:firstLine="600" w:firstLineChars="200"/>
        <w:jc w:val="left"/>
        <w:rPr>
          <w:rFonts w:ascii="黑体" w:hAnsi="黑体" w:eastAsia="黑体"/>
          <w:sz w:val="30"/>
          <w:szCs w:val="30"/>
        </w:rPr>
      </w:pPr>
      <w:r>
        <w:rPr>
          <w:rFonts w:hint="eastAsia" w:ascii="黑体" w:hAnsi="黑体" w:eastAsia="黑体"/>
          <w:sz w:val="30"/>
          <w:szCs w:val="30"/>
        </w:rPr>
        <w:t>四、一般公共预算财政拨款“三公”经费支出决算情况说明</w:t>
      </w:r>
    </w:p>
    <w:p>
      <w:pPr>
        <w:widowControl/>
        <w:snapToGrid w:val="0"/>
        <w:spacing w:before="100" w:after="100" w:line="360" w:lineRule="auto"/>
        <w:ind w:firstLine="600" w:firstLineChars="200"/>
        <w:jc w:val="left"/>
        <w:rPr>
          <w:rFonts w:ascii="楷体" w:hAnsi="楷体" w:eastAsia="楷体"/>
          <w:sz w:val="30"/>
          <w:szCs w:val="30"/>
        </w:rPr>
      </w:pPr>
      <w:r>
        <w:rPr>
          <w:rFonts w:hint="eastAsia" w:ascii="楷体" w:hAnsi="楷体" w:eastAsia="楷体"/>
          <w:sz w:val="30"/>
          <w:szCs w:val="30"/>
        </w:rPr>
        <w:t>(一)一般公共预算财政拨款“三公”经费支出决算总体情况</w:t>
      </w:r>
    </w:p>
    <w:p>
      <w:pPr>
        <w:widowControl/>
        <w:snapToGrid w:val="0"/>
        <w:spacing w:before="100" w:after="100" w:line="360" w:lineRule="auto"/>
        <w:ind w:firstLine="600" w:firstLineChars="200"/>
        <w:jc w:val="left"/>
        <w:rPr>
          <w:rFonts w:ascii="仿宋_GB2312" w:eastAsia="仿宋_GB2312"/>
          <w:sz w:val="30"/>
          <w:szCs w:val="30"/>
        </w:rPr>
      </w:pPr>
      <w:r>
        <w:rPr>
          <w:rFonts w:hint="eastAsia" w:ascii="仿宋_GB2312" w:eastAsia="仿宋_GB2312"/>
          <w:sz w:val="30"/>
          <w:szCs w:val="30"/>
        </w:rPr>
        <w:t>昆明市盘龙区财政局</w:t>
      </w:r>
      <w:r>
        <w:rPr>
          <w:rFonts w:hint="eastAsia" w:ascii="仿宋_GB2312" w:eastAsia="仿宋_GB2312"/>
          <w:sz w:val="30"/>
          <w:szCs w:val="30"/>
          <w:lang w:val="en-US" w:eastAsia="zh-CN"/>
        </w:rPr>
        <w:t>2020</w:t>
      </w:r>
      <w:r>
        <w:rPr>
          <w:rFonts w:hint="eastAsia" w:ascii="仿宋_GB2312" w:eastAsia="仿宋_GB2312"/>
          <w:sz w:val="30"/>
          <w:szCs w:val="30"/>
        </w:rPr>
        <w:t>年度一般公共预算财政拨款“三公”经费支出预算为</w:t>
      </w:r>
      <w:r>
        <w:rPr>
          <w:rFonts w:hint="eastAsia" w:ascii="仿宋_GB2312" w:eastAsia="仿宋_GB2312"/>
          <w:sz w:val="30"/>
          <w:szCs w:val="30"/>
          <w:lang w:val="en-US" w:eastAsia="zh-CN"/>
        </w:rPr>
        <w:t>2.85</w:t>
      </w:r>
      <w:r>
        <w:rPr>
          <w:rFonts w:hint="eastAsia" w:ascii="仿宋_GB2312" w:eastAsia="仿宋_GB2312"/>
          <w:sz w:val="30"/>
          <w:szCs w:val="30"/>
        </w:rPr>
        <w:t>万元，支出决算为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%。其中：因公出国（境）费支出决算为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%；公务用车购置及运行费支出决算为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%；公务接待费支出决算为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w:t>
      </w:r>
      <w:r>
        <w:rPr>
          <w:rFonts w:hint="eastAsia" w:ascii="仿宋_GB2312" w:eastAsia="仿宋_GB2312"/>
          <w:sz w:val="30"/>
          <w:szCs w:val="30"/>
          <w:lang w:val="en-US" w:eastAsia="zh-CN"/>
        </w:rPr>
        <w:t>2020</w:t>
      </w:r>
      <w:r>
        <w:rPr>
          <w:rFonts w:hint="eastAsia" w:ascii="仿宋_GB2312" w:eastAsia="仿宋_GB2312"/>
          <w:sz w:val="30"/>
          <w:szCs w:val="30"/>
        </w:rPr>
        <w:t>年度一般公共预算财政拨款“三公”经费支出决算数小于预算数的主要原因</w:t>
      </w:r>
      <w:r>
        <w:rPr>
          <w:rFonts w:hint="eastAsia" w:ascii="仿宋_GB2312" w:eastAsia="仿宋_GB2312"/>
          <w:sz w:val="30"/>
          <w:szCs w:val="30"/>
          <w:lang w:eastAsia="zh-CN"/>
        </w:rPr>
        <w:t>是</w:t>
      </w:r>
      <w:r>
        <w:rPr>
          <w:rFonts w:hint="eastAsia" w:ascii="仿宋_GB2312" w:eastAsia="仿宋_GB2312"/>
          <w:sz w:val="30"/>
          <w:szCs w:val="30"/>
          <w:lang w:val="en-US" w:eastAsia="zh-CN"/>
        </w:rPr>
        <w:t>2020</w:t>
      </w:r>
      <w:r>
        <w:rPr>
          <w:rFonts w:hint="eastAsia" w:ascii="仿宋_GB2312" w:eastAsia="仿宋_GB2312"/>
          <w:sz w:val="30"/>
          <w:szCs w:val="30"/>
          <w:lang w:eastAsia="zh-CN"/>
        </w:rPr>
        <w:t>年度无公务接待事宜发生</w:t>
      </w:r>
      <w:r>
        <w:rPr>
          <w:rFonts w:hint="eastAsia" w:ascii="仿宋_GB2312" w:eastAsia="仿宋_GB2312"/>
          <w:sz w:val="30"/>
          <w:szCs w:val="30"/>
        </w:rPr>
        <w:t>。</w:t>
      </w:r>
    </w:p>
    <w:p>
      <w:pPr>
        <w:widowControl/>
        <w:snapToGrid w:val="0"/>
        <w:spacing w:before="100" w:after="100" w:line="360" w:lineRule="auto"/>
        <w:ind w:firstLine="600" w:firstLineChars="200"/>
        <w:jc w:val="left"/>
        <w:rPr>
          <w:rFonts w:ascii="仿宋_GB2312" w:eastAsia="仿宋_GB2312"/>
          <w:sz w:val="30"/>
          <w:szCs w:val="30"/>
        </w:rPr>
      </w:pPr>
      <w:r>
        <w:rPr>
          <w:rFonts w:hint="eastAsia" w:ascii="仿宋_GB2312" w:eastAsia="仿宋_GB2312"/>
          <w:sz w:val="30"/>
          <w:szCs w:val="30"/>
          <w:lang w:val="en-US" w:eastAsia="zh-CN"/>
        </w:rPr>
        <w:t>2020</w:t>
      </w:r>
      <w:r>
        <w:rPr>
          <w:rFonts w:hint="eastAsia" w:ascii="仿宋_GB2312" w:eastAsia="仿宋_GB2312"/>
          <w:sz w:val="30"/>
          <w:szCs w:val="30"/>
        </w:rPr>
        <w:t>年度一般公共预算财政拨款“三公”经费支出决算数比</w:t>
      </w:r>
      <w:r>
        <w:rPr>
          <w:rFonts w:hint="eastAsia" w:ascii="仿宋_GB2312" w:eastAsia="仿宋_GB2312"/>
          <w:sz w:val="30"/>
          <w:szCs w:val="30"/>
          <w:lang w:val="en-US" w:eastAsia="zh-CN"/>
        </w:rPr>
        <w:t>2019</w:t>
      </w:r>
      <w:r>
        <w:rPr>
          <w:rFonts w:hint="eastAsia" w:ascii="仿宋_GB2312" w:eastAsia="仿宋_GB2312"/>
          <w:sz w:val="30"/>
          <w:szCs w:val="30"/>
        </w:rPr>
        <w:t>年增加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%。其中：因公出国（境）费支出决算增加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%；公务用车购置及运行费支出决算增加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%；公务接待费支出决算增加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w:t>
      </w:r>
    </w:p>
    <w:p>
      <w:pPr>
        <w:widowControl/>
        <w:snapToGrid w:val="0"/>
        <w:spacing w:before="100" w:after="100" w:line="360" w:lineRule="auto"/>
        <w:ind w:firstLine="600" w:firstLineChars="200"/>
        <w:jc w:val="left"/>
        <w:rPr>
          <w:rFonts w:ascii="楷体" w:hAnsi="楷体" w:eastAsia="楷体"/>
          <w:sz w:val="30"/>
          <w:szCs w:val="30"/>
        </w:rPr>
      </w:pPr>
      <w:r>
        <w:rPr>
          <w:rFonts w:hint="eastAsia" w:ascii="楷体" w:hAnsi="楷体" w:eastAsia="楷体"/>
          <w:sz w:val="30"/>
          <w:szCs w:val="30"/>
        </w:rPr>
        <w:t>(二)一般公共预算财政拨款“三公”经费支出决算具体情况</w:t>
      </w:r>
    </w:p>
    <w:p>
      <w:pPr>
        <w:widowControl/>
        <w:snapToGrid w:val="0"/>
        <w:spacing w:before="100" w:after="100" w:line="360" w:lineRule="auto"/>
        <w:ind w:firstLine="600" w:firstLineChars="200"/>
        <w:jc w:val="left"/>
        <w:rPr>
          <w:rFonts w:ascii="仿宋_GB2312" w:eastAsia="仿宋_GB2312"/>
          <w:sz w:val="30"/>
          <w:szCs w:val="30"/>
        </w:rPr>
      </w:pPr>
      <w:r>
        <w:rPr>
          <w:rFonts w:hint="eastAsia" w:ascii="仿宋_GB2312" w:eastAsia="仿宋_GB2312"/>
          <w:sz w:val="30"/>
          <w:szCs w:val="30"/>
          <w:lang w:val="en-US" w:eastAsia="zh-CN"/>
        </w:rPr>
        <w:t>2020</w:t>
      </w:r>
      <w:r>
        <w:rPr>
          <w:rFonts w:hint="eastAsia" w:ascii="仿宋_GB2312" w:eastAsia="仿宋_GB2312"/>
          <w:sz w:val="30"/>
          <w:szCs w:val="30"/>
        </w:rPr>
        <w:t>年度一般公共预算财政拨款“三公”经费支出决算中，因公出国（境）费支出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%；公务用车购置及运行维护费支出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%；公务接待费支出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%。具体情况如下：</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1.因公出国（境）费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万元，共安排因公出国（境）团组</w:t>
      </w:r>
      <w:r>
        <w:rPr>
          <w:rFonts w:hint="eastAsia" w:ascii="仿宋_GB2312" w:eastAsia="仿宋_GB2312"/>
          <w:sz w:val="30"/>
          <w:szCs w:val="30"/>
          <w:lang w:val="en-US" w:eastAsia="zh-CN"/>
        </w:rPr>
        <w:t>0</w:t>
      </w:r>
      <w:r>
        <w:rPr>
          <w:rFonts w:hint="eastAsia" w:ascii="仿宋_GB2312" w:eastAsia="仿宋_GB2312"/>
          <w:sz w:val="30"/>
          <w:szCs w:val="30"/>
        </w:rPr>
        <w:t>个，累计</w:t>
      </w:r>
      <w:r>
        <w:rPr>
          <w:rFonts w:hint="eastAsia" w:ascii="仿宋_GB2312" w:eastAsia="仿宋_GB2312"/>
          <w:sz w:val="30"/>
          <w:szCs w:val="30"/>
          <w:lang w:val="en-US" w:eastAsia="zh-CN"/>
        </w:rPr>
        <w:t>0</w:t>
      </w:r>
      <w:r>
        <w:rPr>
          <w:rFonts w:hint="eastAsia" w:ascii="仿宋_GB2312" w:eastAsia="仿宋_GB2312"/>
          <w:sz w:val="30"/>
          <w:szCs w:val="30"/>
        </w:rPr>
        <w:t>人次。</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2. 公务用车购置及运行维护费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公务用车购置</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万元，购置车辆</w:t>
      </w:r>
      <w:r>
        <w:rPr>
          <w:rFonts w:hint="eastAsia" w:ascii="仿宋_GB2312" w:eastAsia="仿宋_GB2312"/>
          <w:sz w:val="30"/>
          <w:szCs w:val="30"/>
          <w:lang w:val="en-US" w:eastAsia="zh-CN"/>
        </w:rPr>
        <w:t>0</w:t>
      </w:r>
      <w:r>
        <w:rPr>
          <w:rFonts w:hint="eastAsia" w:ascii="仿宋_GB2312" w:eastAsia="仿宋_GB2312"/>
          <w:sz w:val="30"/>
          <w:szCs w:val="30"/>
        </w:rPr>
        <w:t>辆。</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公务用车运行维护</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万元，开支一般公共预算财政拨款的公务用车保有量为</w:t>
      </w:r>
      <w:r>
        <w:rPr>
          <w:rFonts w:hint="eastAsia" w:ascii="仿宋_GB2312" w:eastAsia="仿宋_GB2312"/>
          <w:sz w:val="30"/>
          <w:szCs w:val="30"/>
          <w:lang w:val="en-US" w:eastAsia="zh-CN"/>
        </w:rPr>
        <w:t>0</w:t>
      </w:r>
      <w:r>
        <w:rPr>
          <w:rFonts w:hint="eastAsia" w:ascii="仿宋_GB2312" w:eastAsia="仿宋_GB2312"/>
          <w:sz w:val="30"/>
          <w:szCs w:val="30"/>
        </w:rPr>
        <w:t>辆。</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3.公务接待费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国内接待费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万元（其中：外事接待费支出</w:t>
      </w:r>
      <w:r>
        <w:rPr>
          <w:rFonts w:hint="eastAsia" w:ascii="仿宋_GB2312" w:eastAsia="仿宋_GB2312"/>
          <w:sz w:val="30"/>
          <w:szCs w:val="30"/>
          <w:lang w:val="en-US" w:eastAsia="zh-CN"/>
        </w:rPr>
        <w:t>0</w:t>
      </w:r>
      <w:r>
        <w:rPr>
          <w:rFonts w:hint="eastAsia" w:ascii="仿宋_GB2312" w:eastAsia="仿宋_GB2312"/>
          <w:sz w:val="30"/>
          <w:szCs w:val="30"/>
        </w:rPr>
        <w:t>万元），共安排国内公务接待</w:t>
      </w:r>
      <w:r>
        <w:rPr>
          <w:rFonts w:hint="eastAsia" w:ascii="仿宋_GB2312" w:eastAsia="仿宋_GB2312"/>
          <w:sz w:val="30"/>
          <w:szCs w:val="30"/>
          <w:lang w:val="en-US" w:eastAsia="zh-CN"/>
        </w:rPr>
        <w:t>0</w:t>
      </w:r>
      <w:r>
        <w:rPr>
          <w:rFonts w:hint="eastAsia" w:ascii="仿宋_GB2312" w:eastAsia="仿宋_GB2312"/>
          <w:sz w:val="30"/>
          <w:szCs w:val="30"/>
        </w:rPr>
        <w:t>批次（其中：外事接待</w:t>
      </w:r>
      <w:r>
        <w:rPr>
          <w:rFonts w:hint="eastAsia" w:ascii="仿宋_GB2312" w:eastAsia="仿宋_GB2312"/>
          <w:sz w:val="30"/>
          <w:szCs w:val="30"/>
          <w:lang w:val="en-US" w:eastAsia="zh-CN"/>
        </w:rPr>
        <w:t>0</w:t>
      </w:r>
      <w:r>
        <w:rPr>
          <w:rFonts w:hint="eastAsia" w:ascii="仿宋_GB2312" w:eastAsia="仿宋_GB2312"/>
          <w:sz w:val="30"/>
          <w:szCs w:val="30"/>
        </w:rPr>
        <w:t>批次），接待人次</w:t>
      </w:r>
      <w:r>
        <w:rPr>
          <w:rFonts w:hint="eastAsia" w:ascii="仿宋_GB2312" w:eastAsia="仿宋_GB2312"/>
          <w:sz w:val="30"/>
          <w:szCs w:val="30"/>
          <w:lang w:val="en-US" w:eastAsia="zh-CN"/>
        </w:rPr>
        <w:t>0</w:t>
      </w:r>
      <w:r>
        <w:rPr>
          <w:rFonts w:hint="eastAsia" w:ascii="仿宋_GB2312" w:eastAsia="仿宋_GB2312"/>
          <w:sz w:val="30"/>
          <w:szCs w:val="30"/>
        </w:rPr>
        <w:t>人（其中：外事接待人次</w:t>
      </w:r>
      <w:r>
        <w:rPr>
          <w:rFonts w:hint="eastAsia" w:ascii="仿宋_GB2312" w:eastAsia="仿宋_GB2312"/>
          <w:sz w:val="30"/>
          <w:szCs w:val="30"/>
          <w:lang w:val="en-US" w:eastAsia="zh-CN"/>
        </w:rPr>
        <w:t>0</w:t>
      </w:r>
      <w:r>
        <w:rPr>
          <w:rFonts w:hint="eastAsia" w:ascii="仿宋_GB2312" w:eastAsia="仿宋_GB2312"/>
          <w:sz w:val="30"/>
          <w:szCs w:val="30"/>
        </w:rPr>
        <w:t>人）。</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国（境）外接待费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万元，共安排国（境）外公务接待</w:t>
      </w:r>
      <w:r>
        <w:rPr>
          <w:rFonts w:hint="eastAsia" w:ascii="仿宋_GB2312" w:eastAsia="仿宋_GB2312"/>
          <w:sz w:val="30"/>
          <w:szCs w:val="30"/>
          <w:lang w:val="en-US" w:eastAsia="zh-CN"/>
        </w:rPr>
        <w:t>0</w:t>
      </w:r>
      <w:r>
        <w:rPr>
          <w:rFonts w:hint="eastAsia" w:ascii="仿宋_GB2312" w:eastAsia="仿宋_GB2312"/>
          <w:sz w:val="30"/>
          <w:szCs w:val="30"/>
        </w:rPr>
        <w:t>批次，接待人次</w:t>
      </w:r>
      <w:r>
        <w:rPr>
          <w:rFonts w:hint="eastAsia" w:ascii="仿宋_GB2312" w:eastAsia="仿宋_GB2312"/>
          <w:sz w:val="30"/>
          <w:szCs w:val="30"/>
          <w:lang w:val="en-US" w:eastAsia="zh-CN"/>
        </w:rPr>
        <w:t>0</w:t>
      </w:r>
      <w:r>
        <w:rPr>
          <w:rFonts w:hint="eastAsia" w:ascii="仿宋_GB2312" w:eastAsia="仿宋_GB2312"/>
          <w:sz w:val="30"/>
          <w:szCs w:val="30"/>
        </w:rPr>
        <w:t>人。</w:t>
      </w:r>
    </w:p>
    <w:p>
      <w:pPr>
        <w:widowControl/>
        <w:snapToGrid w:val="0"/>
        <w:spacing w:before="100" w:after="100" w:line="360" w:lineRule="auto"/>
        <w:ind w:firstLine="640" w:firstLineChars="200"/>
        <w:jc w:val="left"/>
        <w:rPr>
          <w:rFonts w:ascii="仿宋_GB2312" w:eastAsia="仿宋_GB2312"/>
          <w:sz w:val="32"/>
          <w:szCs w:val="32"/>
        </w:rPr>
      </w:pPr>
      <w:r>
        <w:rPr>
          <w:rFonts w:hint="eastAsia" w:ascii="黑体" w:hAnsi="黑体" w:eastAsia="黑体" w:cs="方正小标宋简体"/>
          <w:sz w:val="32"/>
          <w:szCs w:val="32"/>
        </w:rPr>
        <w:t xml:space="preserve">第四部分  </w:t>
      </w:r>
      <w:r>
        <w:rPr>
          <w:rFonts w:hint="eastAsia" w:ascii="黑体" w:hAnsi="黑体" w:eastAsia="黑体"/>
          <w:sz w:val="32"/>
          <w:szCs w:val="32"/>
        </w:rPr>
        <w:t>其他重要事项及相关口径情况说明</w:t>
      </w:r>
    </w:p>
    <w:p>
      <w:pPr>
        <w:ind w:firstLine="600" w:firstLineChars="200"/>
        <w:jc w:val="left"/>
        <w:rPr>
          <w:rFonts w:ascii="黑体" w:hAnsi="黑体" w:eastAsia="黑体" w:cs="黑体"/>
          <w:sz w:val="30"/>
          <w:szCs w:val="30"/>
        </w:rPr>
      </w:pPr>
      <w:r>
        <w:rPr>
          <w:rFonts w:hint="eastAsia" w:ascii="黑体" w:hAnsi="黑体" w:eastAsia="黑体" w:cs="黑体"/>
          <w:sz w:val="30"/>
          <w:szCs w:val="30"/>
        </w:rPr>
        <w:t>一、机关运行经费支出情况</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昆明市盘龙区财政局</w:t>
      </w:r>
      <w:r>
        <w:rPr>
          <w:rFonts w:hint="eastAsia" w:ascii="仿宋_GB2312" w:hAnsi="黑体" w:eastAsia="仿宋_GB2312" w:cs="方正小标宋简体"/>
          <w:sz w:val="30"/>
          <w:szCs w:val="30"/>
          <w:lang w:val="en-US" w:eastAsia="zh-CN"/>
        </w:rPr>
        <w:t>2020</w:t>
      </w:r>
      <w:r>
        <w:rPr>
          <w:rFonts w:hint="eastAsia" w:ascii="仿宋_GB2312" w:hAnsi="黑体" w:eastAsia="仿宋_GB2312" w:cs="方正小标宋简体"/>
          <w:sz w:val="30"/>
          <w:szCs w:val="30"/>
        </w:rPr>
        <w:t>年机关运行经费支出</w:t>
      </w:r>
      <w:r>
        <w:rPr>
          <w:rFonts w:hint="eastAsia" w:ascii="仿宋_GB2312" w:hAnsi="黑体" w:eastAsia="仿宋_GB2312" w:cs="方正小标宋简体"/>
          <w:sz w:val="30"/>
          <w:szCs w:val="30"/>
          <w:lang w:val="en-US" w:eastAsia="zh-CN"/>
        </w:rPr>
        <w:t>127.58</w:t>
      </w:r>
      <w:r>
        <w:rPr>
          <w:rFonts w:hint="eastAsia" w:ascii="仿宋_GB2312" w:hAnsi="黑体" w:eastAsia="仿宋_GB2312" w:cs="方正小标宋简体"/>
          <w:sz w:val="30"/>
          <w:szCs w:val="30"/>
        </w:rPr>
        <w:t>万元，与上年对比减少</w:t>
      </w:r>
      <w:r>
        <w:rPr>
          <w:rFonts w:hint="eastAsia" w:ascii="仿宋_GB2312" w:hAnsi="黑体" w:eastAsia="仿宋_GB2312" w:cs="方正小标宋简体"/>
          <w:sz w:val="30"/>
          <w:szCs w:val="30"/>
          <w:lang w:eastAsia="zh-CN"/>
        </w:rPr>
        <w:t>了</w:t>
      </w:r>
      <w:r>
        <w:rPr>
          <w:rFonts w:hint="eastAsia" w:ascii="仿宋_GB2312" w:hAnsi="黑体" w:eastAsia="仿宋_GB2312" w:cs="方正小标宋简体"/>
          <w:sz w:val="30"/>
          <w:szCs w:val="30"/>
          <w:lang w:val="en-US" w:eastAsia="zh-CN"/>
        </w:rPr>
        <w:t>14.02</w:t>
      </w:r>
      <w:r>
        <w:rPr>
          <w:rFonts w:hint="eastAsia" w:ascii="仿宋_GB2312" w:hAnsi="黑体" w:eastAsia="仿宋_GB2312" w:cs="方正小标宋简体"/>
          <w:sz w:val="30"/>
          <w:szCs w:val="30"/>
        </w:rPr>
        <w:t>万元,主要原因分析</w:t>
      </w:r>
      <w:r>
        <w:rPr>
          <w:rFonts w:hint="eastAsia" w:ascii="仿宋_GB2312" w:hAnsi="黑体" w:eastAsia="仿宋_GB2312" w:cs="方正小标宋简体"/>
          <w:sz w:val="30"/>
          <w:szCs w:val="30"/>
          <w:lang w:eastAsia="zh-CN"/>
        </w:rPr>
        <w:t>：办公经费、差旅费等费用相较201</w:t>
      </w:r>
      <w:r>
        <w:rPr>
          <w:rFonts w:hint="eastAsia" w:ascii="仿宋_GB2312" w:hAnsi="黑体" w:eastAsia="仿宋_GB2312" w:cs="方正小标宋简体"/>
          <w:sz w:val="30"/>
          <w:szCs w:val="30"/>
          <w:lang w:val="en-US" w:eastAsia="zh-CN"/>
        </w:rPr>
        <w:t>9</w:t>
      </w:r>
      <w:r>
        <w:rPr>
          <w:rFonts w:hint="eastAsia" w:ascii="仿宋_GB2312" w:hAnsi="黑体" w:eastAsia="仿宋_GB2312" w:cs="方正小标宋简体"/>
          <w:sz w:val="30"/>
          <w:szCs w:val="30"/>
          <w:lang w:eastAsia="zh-CN"/>
        </w:rPr>
        <w:t>年进行了压缩</w:t>
      </w:r>
      <w:r>
        <w:rPr>
          <w:rFonts w:hint="eastAsia" w:ascii="仿宋_GB2312" w:hAnsi="黑体" w:eastAsia="仿宋_GB2312" w:cs="方正小标宋简体"/>
          <w:sz w:val="30"/>
          <w:szCs w:val="30"/>
        </w:rPr>
        <w:t>。部门机关运行经费主要用于办公费、水</w:t>
      </w:r>
      <w:r>
        <w:rPr>
          <w:rFonts w:hint="eastAsia" w:ascii="仿宋_GB2312" w:hAnsi="黑体" w:eastAsia="仿宋_GB2312" w:cs="方正小标宋简体"/>
          <w:sz w:val="30"/>
          <w:szCs w:val="30"/>
          <w:lang w:eastAsia="zh-CN"/>
        </w:rPr>
        <w:t>电</w:t>
      </w:r>
      <w:r>
        <w:rPr>
          <w:rFonts w:hint="eastAsia" w:ascii="仿宋_GB2312" w:hAnsi="黑体" w:eastAsia="仿宋_GB2312" w:cs="方正小标宋简体"/>
          <w:sz w:val="30"/>
          <w:szCs w:val="30"/>
        </w:rPr>
        <w:t>费、邮电费、差旅费、维修（护）费、会议费、培训费、劳务费、委托业务费、工会经费、福利费、</w:t>
      </w:r>
      <w:r>
        <w:rPr>
          <w:rFonts w:hint="eastAsia" w:ascii="仿宋_GB2312" w:hAnsi="黑体" w:eastAsia="仿宋_GB2312" w:cs="方正小标宋简体"/>
          <w:sz w:val="30"/>
          <w:szCs w:val="30"/>
          <w:lang w:eastAsia="zh-CN"/>
        </w:rPr>
        <w:t>其他交通费用</w:t>
      </w:r>
      <w:r>
        <w:rPr>
          <w:rFonts w:hint="eastAsia" w:ascii="仿宋_GB2312" w:hAnsi="黑体" w:eastAsia="仿宋_GB2312" w:cs="方正小标宋简体"/>
          <w:sz w:val="30"/>
          <w:szCs w:val="30"/>
        </w:rPr>
        <w:t>及其他商品和服务支出等。</w:t>
      </w:r>
    </w:p>
    <w:p>
      <w:pPr>
        <w:widowControl/>
        <w:ind w:firstLine="600" w:firstLineChars="200"/>
        <w:rPr>
          <w:rFonts w:ascii="黑体" w:hAnsi="黑体" w:eastAsia="黑体" w:cs="黑体"/>
          <w:color w:val="000000"/>
          <w:kern w:val="0"/>
          <w:sz w:val="30"/>
          <w:szCs w:val="30"/>
        </w:rPr>
      </w:pPr>
      <w:r>
        <w:rPr>
          <w:rFonts w:hint="eastAsia" w:ascii="黑体" w:hAnsi="黑体" w:eastAsia="黑体" w:cs="黑体"/>
          <w:color w:val="000000"/>
          <w:kern w:val="0"/>
          <w:sz w:val="30"/>
          <w:szCs w:val="30"/>
        </w:rPr>
        <w:t>二、</w:t>
      </w:r>
      <w:r>
        <w:rPr>
          <w:rFonts w:hint="eastAsia" w:ascii="黑体" w:hAnsi="黑体" w:eastAsia="黑体" w:cs="黑体"/>
          <w:color w:val="000000"/>
          <w:kern w:val="0"/>
          <w:sz w:val="30"/>
          <w:szCs w:val="30"/>
          <w:highlight w:val="none"/>
        </w:rPr>
        <w:t>国有资产占用情况</w:t>
      </w:r>
    </w:p>
    <w:p>
      <w:pPr>
        <w:widowControl/>
        <w:ind w:firstLine="600" w:firstLineChars="200"/>
        <w:rPr>
          <w:rFonts w:hint="eastAsia" w:ascii="仿宋_GB2312" w:hAnsi="黑体" w:eastAsia="仿宋_GB2312" w:cs="方正小标宋简体"/>
          <w:color w:val="000000"/>
          <w:kern w:val="0"/>
          <w:sz w:val="30"/>
          <w:szCs w:val="30"/>
          <w:lang w:val="en-US" w:eastAsia="zh-CN"/>
        </w:rPr>
      </w:pPr>
      <w:r>
        <w:rPr>
          <w:rFonts w:hint="eastAsia" w:ascii="仿宋_GB2312" w:hAnsi="黑体" w:eastAsia="仿宋_GB2312" w:cs="方正小标宋简体"/>
          <w:color w:val="000000"/>
          <w:kern w:val="0"/>
          <w:sz w:val="30"/>
          <w:szCs w:val="30"/>
        </w:rPr>
        <w:t>截至</w:t>
      </w:r>
      <w:r>
        <w:rPr>
          <w:rFonts w:hint="eastAsia" w:ascii="仿宋_GB2312" w:hAnsi="黑体" w:eastAsia="仿宋_GB2312" w:cs="方正小标宋简体"/>
          <w:color w:val="000000"/>
          <w:kern w:val="0"/>
          <w:sz w:val="30"/>
          <w:szCs w:val="30"/>
          <w:lang w:val="en-US" w:eastAsia="zh-CN"/>
        </w:rPr>
        <w:t>2020</w:t>
      </w:r>
      <w:r>
        <w:rPr>
          <w:rFonts w:hint="eastAsia" w:ascii="仿宋_GB2312" w:hAnsi="黑体" w:eastAsia="仿宋_GB2312" w:cs="方正小标宋简体"/>
          <w:color w:val="000000"/>
          <w:kern w:val="0"/>
          <w:sz w:val="30"/>
          <w:szCs w:val="30"/>
        </w:rPr>
        <w:t>年</w:t>
      </w:r>
      <w:r>
        <w:rPr>
          <w:rFonts w:hint="eastAsia" w:ascii="仿宋_GB2312" w:hAnsi="黑体" w:eastAsia="仿宋_GB2312" w:cs="方正小标宋简体"/>
          <w:color w:val="000000"/>
          <w:kern w:val="0"/>
          <w:sz w:val="30"/>
          <w:szCs w:val="30"/>
          <w:lang w:val="en-US" w:eastAsia="zh-CN"/>
        </w:rPr>
        <w:t>12</w:t>
      </w:r>
      <w:r>
        <w:rPr>
          <w:rFonts w:hint="eastAsia" w:ascii="仿宋_GB2312" w:hAnsi="黑体" w:eastAsia="仿宋_GB2312" w:cs="方正小标宋简体"/>
          <w:color w:val="000000"/>
          <w:kern w:val="0"/>
          <w:sz w:val="30"/>
          <w:szCs w:val="30"/>
        </w:rPr>
        <w:t>月</w:t>
      </w:r>
      <w:r>
        <w:rPr>
          <w:rFonts w:hint="eastAsia" w:ascii="仿宋_GB2312" w:hAnsi="黑体" w:eastAsia="仿宋_GB2312" w:cs="方正小标宋简体"/>
          <w:color w:val="000000"/>
          <w:kern w:val="0"/>
          <w:sz w:val="30"/>
          <w:szCs w:val="30"/>
          <w:lang w:val="en-US" w:eastAsia="zh-CN"/>
        </w:rPr>
        <w:t>31</w:t>
      </w:r>
      <w:r>
        <w:rPr>
          <w:rFonts w:hint="eastAsia" w:ascii="仿宋_GB2312" w:hAnsi="黑体" w:eastAsia="仿宋_GB2312" w:cs="方正小标宋简体"/>
          <w:color w:val="000000"/>
          <w:kern w:val="0"/>
          <w:sz w:val="30"/>
          <w:szCs w:val="30"/>
        </w:rPr>
        <w:t>日，昆明市盘龙区财政局资产总额</w:t>
      </w:r>
      <w:r>
        <w:rPr>
          <w:rFonts w:hint="eastAsia" w:ascii="仿宋_GB2312" w:hAnsi="黑体" w:eastAsia="仿宋_GB2312" w:cs="方正小标宋简体"/>
          <w:color w:val="000000"/>
          <w:kern w:val="0"/>
          <w:sz w:val="30"/>
          <w:szCs w:val="30"/>
          <w:lang w:val="en-US" w:eastAsia="zh-CN"/>
        </w:rPr>
        <w:t>965.46</w:t>
      </w:r>
      <w:r>
        <w:rPr>
          <w:rFonts w:hint="eastAsia" w:ascii="仿宋_GB2312" w:hAnsi="黑体" w:eastAsia="仿宋_GB2312" w:cs="方正小标宋简体"/>
          <w:color w:val="000000"/>
          <w:kern w:val="0"/>
          <w:sz w:val="30"/>
          <w:szCs w:val="30"/>
        </w:rPr>
        <w:t>万元，其中，流动资产</w:t>
      </w:r>
      <w:r>
        <w:rPr>
          <w:rFonts w:hint="eastAsia" w:ascii="仿宋_GB2312" w:hAnsi="黑体" w:eastAsia="仿宋_GB2312" w:cs="方正小标宋简体"/>
          <w:color w:val="000000"/>
          <w:kern w:val="0"/>
          <w:sz w:val="30"/>
          <w:szCs w:val="30"/>
          <w:lang w:val="en-US" w:eastAsia="zh-CN"/>
        </w:rPr>
        <w:t>124.53</w:t>
      </w:r>
      <w:r>
        <w:rPr>
          <w:rFonts w:hint="eastAsia" w:ascii="仿宋_GB2312" w:hAnsi="黑体" w:eastAsia="仿宋_GB2312" w:cs="方正小标宋简体"/>
          <w:color w:val="000000"/>
          <w:kern w:val="0"/>
          <w:sz w:val="30"/>
          <w:szCs w:val="30"/>
        </w:rPr>
        <w:t>万元，固定资产</w:t>
      </w:r>
      <w:r>
        <w:rPr>
          <w:rFonts w:hint="eastAsia" w:ascii="仿宋_GB2312" w:hAnsi="黑体" w:eastAsia="仿宋_GB2312" w:cs="方正小标宋简体"/>
          <w:color w:val="000000"/>
          <w:kern w:val="0"/>
          <w:sz w:val="30"/>
          <w:szCs w:val="30"/>
          <w:lang w:val="en-US" w:eastAsia="zh-CN"/>
        </w:rPr>
        <w:t>821.76</w:t>
      </w:r>
      <w:r>
        <w:rPr>
          <w:rFonts w:hint="eastAsia" w:ascii="仿宋_GB2312" w:hAnsi="黑体" w:eastAsia="仿宋_GB2312" w:cs="方正小标宋简体"/>
          <w:color w:val="000000"/>
          <w:kern w:val="0"/>
          <w:sz w:val="30"/>
          <w:szCs w:val="30"/>
        </w:rPr>
        <w:t>万元，对外投资及有价证券</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万元，在建工程</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万元，无形资产</w:t>
      </w:r>
      <w:r>
        <w:rPr>
          <w:rFonts w:hint="eastAsia" w:ascii="仿宋_GB2312" w:hAnsi="黑体" w:eastAsia="仿宋_GB2312" w:cs="方正小标宋简体"/>
          <w:color w:val="000000"/>
          <w:kern w:val="0"/>
          <w:sz w:val="30"/>
          <w:szCs w:val="30"/>
          <w:lang w:val="en-US" w:eastAsia="zh-CN"/>
        </w:rPr>
        <w:t>19.17</w:t>
      </w:r>
      <w:r>
        <w:rPr>
          <w:rFonts w:hint="eastAsia" w:ascii="仿宋_GB2312" w:hAnsi="黑体" w:eastAsia="仿宋_GB2312" w:cs="方正小标宋简体"/>
          <w:color w:val="000000"/>
          <w:kern w:val="0"/>
          <w:sz w:val="30"/>
          <w:szCs w:val="30"/>
        </w:rPr>
        <w:t>万元，其他资产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万元（具体内容详见附表）。与上年相比，本年资产总额减少</w:t>
      </w:r>
      <w:r>
        <w:rPr>
          <w:rFonts w:hint="eastAsia" w:ascii="仿宋_GB2312" w:hAnsi="黑体" w:eastAsia="仿宋_GB2312" w:cs="方正小标宋简体"/>
          <w:color w:val="000000"/>
          <w:kern w:val="0"/>
          <w:sz w:val="30"/>
          <w:szCs w:val="30"/>
          <w:lang w:val="en-US" w:eastAsia="zh-CN"/>
        </w:rPr>
        <w:t>693.77</w:t>
      </w:r>
      <w:r>
        <w:rPr>
          <w:rFonts w:hint="eastAsia" w:ascii="仿宋_GB2312" w:hAnsi="黑体" w:eastAsia="仿宋_GB2312" w:cs="方正小标宋简体"/>
          <w:color w:val="000000"/>
          <w:kern w:val="0"/>
          <w:sz w:val="30"/>
          <w:szCs w:val="30"/>
        </w:rPr>
        <w:t>万元，其中固定资产</w:t>
      </w:r>
      <w:r>
        <w:rPr>
          <w:rFonts w:hint="eastAsia" w:ascii="仿宋_GB2312" w:hAnsi="黑体" w:eastAsia="仿宋_GB2312" w:cs="方正小标宋简体"/>
          <w:color w:val="000000"/>
          <w:kern w:val="0"/>
          <w:sz w:val="30"/>
          <w:szCs w:val="30"/>
          <w:lang w:eastAsia="zh-CN"/>
        </w:rPr>
        <w:t>增加</w:t>
      </w:r>
      <w:r>
        <w:rPr>
          <w:rFonts w:hint="eastAsia" w:ascii="仿宋_GB2312" w:hAnsi="黑体" w:eastAsia="仿宋_GB2312" w:cs="方正小标宋简体"/>
          <w:color w:val="000000"/>
          <w:kern w:val="0"/>
          <w:sz w:val="30"/>
          <w:szCs w:val="30"/>
          <w:lang w:val="en-US" w:eastAsia="zh-CN"/>
        </w:rPr>
        <w:t>7.56</w:t>
      </w:r>
      <w:r>
        <w:rPr>
          <w:rFonts w:hint="eastAsia" w:ascii="仿宋_GB2312" w:hAnsi="黑体" w:eastAsia="仿宋_GB2312" w:cs="方正小标宋简体"/>
          <w:color w:val="000000"/>
          <w:kern w:val="0"/>
          <w:sz w:val="30"/>
          <w:szCs w:val="30"/>
        </w:rPr>
        <w:t>万元。处置房屋建筑物</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平方米，账面原值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万元；处置车辆</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辆，账面原值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万元；报废报损资产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项，账面原值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万元，实现资产处置收入</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万元；出租房屋</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平方米，账面原值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万元，实现资产使用收入</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w:t>
      </w:r>
    </w:p>
    <w:tbl>
      <w:tblPr>
        <w:tblStyle w:val="5"/>
        <w:tblpPr w:leftFromText="180" w:rightFromText="180" w:topFromText="100" w:bottomFromText="100" w:vertAnchor="text" w:horzAnchor="page" w:tblpX="534" w:tblpY="490"/>
        <w:tblOverlap w:val="never"/>
        <w:tblW w:w="10770" w:type="dxa"/>
        <w:tblInd w:w="0" w:type="dxa"/>
        <w:tblLayout w:type="fixed"/>
        <w:tblCellMar>
          <w:top w:w="0" w:type="dxa"/>
          <w:left w:w="0" w:type="dxa"/>
          <w:bottom w:w="0" w:type="dxa"/>
          <w:right w:w="0" w:type="dxa"/>
        </w:tblCellMar>
      </w:tblPr>
      <w:tblGrid>
        <w:gridCol w:w="715"/>
        <w:gridCol w:w="546"/>
        <w:gridCol w:w="700"/>
        <w:gridCol w:w="684"/>
        <w:gridCol w:w="474"/>
        <w:gridCol w:w="725"/>
        <w:gridCol w:w="769"/>
        <w:gridCol w:w="67"/>
        <w:gridCol w:w="865"/>
        <w:gridCol w:w="331"/>
        <w:gridCol w:w="643"/>
        <w:gridCol w:w="196"/>
        <w:gridCol w:w="978"/>
        <w:gridCol w:w="979"/>
        <w:gridCol w:w="360"/>
        <w:gridCol w:w="618"/>
        <w:gridCol w:w="360"/>
        <w:gridCol w:w="142"/>
        <w:gridCol w:w="476"/>
        <w:gridCol w:w="142"/>
      </w:tblGrid>
      <w:tr>
        <w:tblPrEx>
          <w:tblLayout w:type="fixed"/>
          <w:tblCellMar>
            <w:top w:w="0" w:type="dxa"/>
            <w:left w:w="0" w:type="dxa"/>
            <w:bottom w:w="0" w:type="dxa"/>
            <w:right w:w="0" w:type="dxa"/>
          </w:tblCellMar>
        </w:tblPrEx>
        <w:trPr>
          <w:trHeight w:val="495" w:hRule="atLeast"/>
        </w:trPr>
        <w:tc>
          <w:tcPr>
            <w:tcW w:w="10628" w:type="dxa"/>
            <w:gridSpan w:val="19"/>
            <w:tcBorders>
              <w:top w:val="nil"/>
              <w:left w:val="nil"/>
              <w:bottom w:val="nil"/>
              <w:right w:val="nil"/>
            </w:tcBorders>
            <w:shd w:val="clear" w:color="auto" w:fill="FFFFFF"/>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仿宋_GB2312" w:hAnsi="方正小标宋_GBK" w:eastAsia="仿宋_GB2312" w:cs="方正小标宋_GBK"/>
                <w:b/>
                <w:color w:val="000000"/>
                <w:kern w:val="0"/>
                <w:sz w:val="30"/>
                <w:szCs w:val="30"/>
              </w:rPr>
              <w:t>国有资产占有使用情况表</w:t>
            </w:r>
          </w:p>
        </w:tc>
        <w:tc>
          <w:tcPr>
            <w:tcW w:w="142" w:type="dxa"/>
            <w:tcBorders>
              <w:top w:val="nil"/>
              <w:left w:val="nil"/>
              <w:bottom w:val="nil"/>
              <w:right w:val="nil"/>
            </w:tcBorders>
            <w:noWrap/>
            <w:vAlign w:val="center"/>
          </w:tcPr>
          <w:p>
            <w:pPr>
              <w:widowControl/>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347" w:hRule="atLeast"/>
        </w:trPr>
        <w:tc>
          <w:tcPr>
            <w:tcW w:w="4680" w:type="dxa"/>
            <w:gridSpan w:val="8"/>
            <w:tcBorders>
              <w:top w:val="nil"/>
              <w:left w:val="nil"/>
              <w:bottom w:val="single" w:color="808080" w:sz="4" w:space="0"/>
              <w:right w:val="nil"/>
            </w:tcBorders>
            <w:shd w:val="clear" w:color="auto" w:fill="FFFFFF"/>
            <w:noWrap/>
            <w:tcMar>
              <w:top w:w="15" w:type="dxa"/>
              <w:left w:w="15" w:type="dxa"/>
              <w:bottom w:w="15" w:type="dxa"/>
              <w:right w:w="15" w:type="dxa"/>
            </w:tcMar>
            <w:vAlign w:val="center"/>
          </w:tcPr>
          <w:p>
            <w:pPr>
              <w:widowControl/>
              <w:jc w:val="left"/>
              <w:textAlignment w:val="center"/>
              <w:rPr>
                <w:rFonts w:ascii="宋体" w:hAnsi="宋体" w:cs="宋体"/>
                <w:color w:val="000000"/>
                <w:kern w:val="0"/>
                <w:sz w:val="24"/>
              </w:rPr>
            </w:pPr>
            <w:r>
              <w:rPr>
                <w:rFonts w:hint="eastAsia" w:ascii="宋体" w:hAnsi="宋体" w:cs="宋体"/>
                <w:color w:val="000000"/>
                <w:kern w:val="0"/>
                <w:sz w:val="20"/>
                <w:szCs w:val="20"/>
              </w:rPr>
              <w:t> </w:t>
            </w:r>
          </w:p>
        </w:tc>
        <w:tc>
          <w:tcPr>
            <w:tcW w:w="865" w:type="dxa"/>
            <w:tcBorders>
              <w:top w:val="nil"/>
              <w:left w:val="nil"/>
              <w:bottom w:val="single" w:color="808080" w:sz="4" w:space="0"/>
              <w:right w:val="nil"/>
            </w:tcBorders>
            <w:shd w:val="clear" w:color="auto" w:fill="FFFFFF"/>
            <w:noWrap/>
            <w:tcMar>
              <w:top w:w="15" w:type="dxa"/>
              <w:left w:w="15" w:type="dxa"/>
              <w:bottom w:w="15" w:type="dxa"/>
              <w:right w:w="15" w:type="dxa"/>
            </w:tcMar>
            <w:vAlign w:val="center"/>
          </w:tcPr>
          <w:p>
            <w:pPr>
              <w:widowControl/>
              <w:jc w:val="left"/>
              <w:rPr>
                <w:rFonts w:ascii="宋体" w:hAnsi="宋体" w:cs="宋体"/>
                <w:color w:val="000000"/>
                <w:kern w:val="0"/>
                <w:sz w:val="24"/>
              </w:rPr>
            </w:pPr>
            <w:r>
              <w:rPr>
                <w:rFonts w:hint="eastAsia" w:ascii="宋体" w:hAnsi="宋体" w:cs="宋体"/>
                <w:color w:val="000000"/>
                <w:kern w:val="0"/>
                <w:sz w:val="20"/>
                <w:szCs w:val="20"/>
              </w:rPr>
              <w:t> </w:t>
            </w:r>
          </w:p>
        </w:tc>
        <w:tc>
          <w:tcPr>
            <w:tcW w:w="974" w:type="dxa"/>
            <w:gridSpan w:val="2"/>
            <w:tcBorders>
              <w:top w:val="nil"/>
              <w:left w:val="nil"/>
              <w:bottom w:val="single" w:color="808080" w:sz="4" w:space="0"/>
              <w:right w:val="nil"/>
            </w:tcBorders>
            <w:shd w:val="clear" w:color="auto" w:fill="FFFFFF"/>
            <w:noWrap/>
            <w:tcMar>
              <w:top w:w="15" w:type="dxa"/>
              <w:left w:w="15" w:type="dxa"/>
              <w:bottom w:w="15" w:type="dxa"/>
              <w:right w:w="15" w:type="dxa"/>
            </w:tcMar>
            <w:vAlign w:val="center"/>
          </w:tcPr>
          <w:p>
            <w:pPr>
              <w:widowControl/>
              <w:jc w:val="left"/>
              <w:rPr>
                <w:rFonts w:ascii="宋体" w:hAnsi="宋体" w:cs="宋体"/>
                <w:color w:val="000000"/>
                <w:kern w:val="0"/>
                <w:sz w:val="24"/>
              </w:rPr>
            </w:pPr>
            <w:r>
              <w:rPr>
                <w:rFonts w:hint="eastAsia" w:ascii="宋体" w:hAnsi="宋体" w:cs="宋体"/>
                <w:color w:val="000000"/>
                <w:kern w:val="0"/>
                <w:sz w:val="20"/>
                <w:szCs w:val="20"/>
              </w:rPr>
              <w:t> </w:t>
            </w:r>
          </w:p>
        </w:tc>
        <w:tc>
          <w:tcPr>
            <w:tcW w:w="196" w:type="dxa"/>
            <w:tcBorders>
              <w:top w:val="nil"/>
              <w:left w:val="nil"/>
              <w:bottom w:val="single" w:color="808080" w:sz="4" w:space="0"/>
              <w:right w:val="nil"/>
            </w:tcBorders>
            <w:shd w:val="clear" w:color="auto" w:fill="FFFFFF"/>
            <w:noWrap/>
            <w:tcMar>
              <w:top w:w="15" w:type="dxa"/>
              <w:left w:w="15" w:type="dxa"/>
              <w:bottom w:w="15" w:type="dxa"/>
              <w:right w:w="15" w:type="dxa"/>
            </w:tcMar>
            <w:vAlign w:val="center"/>
          </w:tcPr>
          <w:p>
            <w:pPr>
              <w:widowControl/>
              <w:jc w:val="left"/>
              <w:rPr>
                <w:rFonts w:ascii="宋体" w:hAnsi="宋体" w:cs="宋体"/>
                <w:color w:val="000000"/>
                <w:kern w:val="0"/>
                <w:sz w:val="24"/>
              </w:rPr>
            </w:pPr>
            <w:r>
              <w:rPr>
                <w:rFonts w:hint="eastAsia" w:ascii="宋体" w:hAnsi="宋体" w:cs="宋体"/>
                <w:color w:val="000000"/>
                <w:kern w:val="0"/>
                <w:sz w:val="20"/>
                <w:szCs w:val="20"/>
              </w:rPr>
              <w:t> </w:t>
            </w:r>
          </w:p>
        </w:tc>
        <w:tc>
          <w:tcPr>
            <w:tcW w:w="978" w:type="dxa"/>
            <w:tcBorders>
              <w:top w:val="nil"/>
              <w:left w:val="nil"/>
              <w:bottom w:val="single" w:color="808080" w:sz="4" w:space="0"/>
              <w:right w:val="nil"/>
            </w:tcBorders>
            <w:shd w:val="clear" w:color="auto" w:fill="FFFFFF"/>
            <w:noWrap/>
            <w:tcMar>
              <w:top w:w="15" w:type="dxa"/>
              <w:left w:w="15" w:type="dxa"/>
              <w:bottom w:w="15" w:type="dxa"/>
              <w:right w:w="15" w:type="dxa"/>
            </w:tcMar>
            <w:vAlign w:val="center"/>
          </w:tcPr>
          <w:p>
            <w:pPr>
              <w:widowControl/>
              <w:jc w:val="left"/>
              <w:rPr>
                <w:rFonts w:ascii="宋体" w:hAnsi="宋体" w:cs="宋体"/>
                <w:color w:val="000000"/>
                <w:kern w:val="0"/>
                <w:sz w:val="24"/>
              </w:rPr>
            </w:pPr>
            <w:r>
              <w:rPr>
                <w:rFonts w:hint="eastAsia" w:ascii="宋体" w:hAnsi="宋体" w:cs="宋体"/>
                <w:color w:val="000000"/>
                <w:kern w:val="0"/>
                <w:sz w:val="20"/>
                <w:szCs w:val="20"/>
              </w:rPr>
              <w:t> </w:t>
            </w:r>
          </w:p>
        </w:tc>
        <w:tc>
          <w:tcPr>
            <w:tcW w:w="979" w:type="dxa"/>
            <w:tcBorders>
              <w:top w:val="nil"/>
              <w:left w:val="nil"/>
              <w:bottom w:val="single" w:color="808080" w:sz="4" w:space="0"/>
              <w:right w:val="nil"/>
            </w:tcBorders>
            <w:shd w:val="clear" w:color="auto" w:fill="FFFFFF"/>
            <w:noWrap/>
            <w:tcMar>
              <w:top w:w="15" w:type="dxa"/>
              <w:left w:w="15" w:type="dxa"/>
              <w:bottom w:w="15" w:type="dxa"/>
              <w:right w:w="15" w:type="dxa"/>
            </w:tcMar>
            <w:vAlign w:val="center"/>
          </w:tcPr>
          <w:p>
            <w:pPr>
              <w:widowControl/>
              <w:jc w:val="left"/>
              <w:rPr>
                <w:rFonts w:ascii="宋体" w:hAnsi="宋体" w:cs="宋体"/>
                <w:color w:val="000000"/>
                <w:kern w:val="0"/>
                <w:sz w:val="24"/>
              </w:rPr>
            </w:pPr>
            <w:r>
              <w:rPr>
                <w:rFonts w:hint="eastAsia" w:ascii="宋体" w:hAnsi="宋体" w:cs="宋体"/>
                <w:color w:val="000000"/>
                <w:kern w:val="0"/>
                <w:sz w:val="20"/>
                <w:szCs w:val="20"/>
              </w:rPr>
              <w:t> </w:t>
            </w:r>
          </w:p>
        </w:tc>
        <w:tc>
          <w:tcPr>
            <w:tcW w:w="1956" w:type="dxa"/>
            <w:gridSpan w:val="5"/>
            <w:tcBorders>
              <w:top w:val="nil"/>
              <w:left w:val="nil"/>
              <w:bottom w:val="single" w:color="808080" w:sz="4" w:space="0"/>
              <w:right w:val="nil"/>
            </w:tcBorders>
            <w:shd w:val="clear" w:color="auto" w:fill="FFFFFF"/>
            <w:noWrap/>
            <w:tcMar>
              <w:top w:w="15" w:type="dxa"/>
              <w:left w:w="15" w:type="dxa"/>
              <w:bottom w:w="15" w:type="dxa"/>
              <w:right w:w="15" w:type="dxa"/>
            </w:tcMar>
            <w:vAlign w:val="center"/>
          </w:tcPr>
          <w:p>
            <w:pPr>
              <w:widowControl/>
              <w:jc w:val="right"/>
              <w:textAlignment w:val="center"/>
              <w:rPr>
                <w:rFonts w:ascii="宋体" w:hAnsi="宋体" w:cs="宋体"/>
                <w:color w:val="000000"/>
                <w:kern w:val="0"/>
                <w:sz w:val="24"/>
              </w:rPr>
            </w:pPr>
            <w:r>
              <w:rPr>
                <w:rFonts w:hint="eastAsia" w:ascii="宋体" w:hAnsi="宋体" w:cs="宋体"/>
                <w:color w:val="000000"/>
                <w:kern w:val="0"/>
                <w:sz w:val="20"/>
                <w:szCs w:val="20"/>
              </w:rPr>
              <w:t>单位：万元</w:t>
            </w:r>
          </w:p>
        </w:tc>
        <w:tc>
          <w:tcPr>
            <w:tcW w:w="142" w:type="dxa"/>
            <w:tcBorders>
              <w:top w:val="nil"/>
              <w:left w:val="nil"/>
              <w:bottom w:val="nil"/>
              <w:right w:val="nil"/>
            </w:tcBorders>
            <w:noWrap/>
            <w:vAlign w:val="center"/>
          </w:tcPr>
          <w:p>
            <w:pPr>
              <w:widowControl/>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415" w:hRule="atLeast"/>
        </w:trPr>
        <w:tc>
          <w:tcPr>
            <w:tcW w:w="715"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项目</w:t>
            </w:r>
          </w:p>
        </w:tc>
        <w:tc>
          <w:tcPr>
            <w:tcW w:w="546"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行次</w:t>
            </w:r>
          </w:p>
        </w:tc>
        <w:tc>
          <w:tcPr>
            <w:tcW w:w="7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资产总额</w:t>
            </w:r>
          </w:p>
        </w:tc>
        <w:tc>
          <w:tcPr>
            <w:tcW w:w="684"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流动资产</w:t>
            </w:r>
          </w:p>
        </w:tc>
        <w:tc>
          <w:tcPr>
            <w:tcW w:w="4070" w:type="dxa"/>
            <w:gridSpan w:val="8"/>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highlight w:val="none"/>
              </w:rPr>
            </w:pPr>
            <w:r>
              <w:rPr>
                <w:rFonts w:hint="eastAsia" w:ascii="宋体" w:hAnsi="宋体" w:cs="宋体"/>
                <w:color w:val="000000"/>
                <w:kern w:val="0"/>
                <w:sz w:val="20"/>
                <w:szCs w:val="20"/>
                <w:highlight w:val="none"/>
              </w:rPr>
              <w:t>固定资产</w:t>
            </w:r>
          </w:p>
        </w:tc>
        <w:tc>
          <w:tcPr>
            <w:tcW w:w="978"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对外投资/有价证券</w:t>
            </w:r>
          </w:p>
        </w:tc>
        <w:tc>
          <w:tcPr>
            <w:tcW w:w="979"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在建工程</w:t>
            </w:r>
          </w:p>
        </w:tc>
        <w:tc>
          <w:tcPr>
            <w:tcW w:w="978" w:type="dxa"/>
            <w:gridSpan w:val="2"/>
            <w:vMerge w:val="restart"/>
            <w:tcBorders>
              <w:top w:val="nil"/>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无形资产</w:t>
            </w:r>
          </w:p>
        </w:tc>
        <w:tc>
          <w:tcPr>
            <w:tcW w:w="978" w:type="dxa"/>
            <w:gridSpan w:val="3"/>
            <w:vMerge w:val="restart"/>
            <w:tcBorders>
              <w:top w:val="nil"/>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其他资产</w:t>
            </w:r>
          </w:p>
        </w:tc>
        <w:tc>
          <w:tcPr>
            <w:tcW w:w="142" w:type="dxa"/>
            <w:tcBorders>
              <w:top w:val="nil"/>
              <w:left w:val="nil"/>
              <w:bottom w:val="nil"/>
              <w:right w:val="nil"/>
            </w:tcBorders>
            <w:noWrap/>
            <w:vAlign w:val="center"/>
          </w:tcPr>
          <w:p>
            <w:pPr>
              <w:widowControl/>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34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54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70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68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474"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highlight w:val="none"/>
              </w:rPr>
            </w:pPr>
            <w:r>
              <w:rPr>
                <w:rFonts w:hint="eastAsia" w:ascii="宋体" w:hAnsi="宋体" w:cs="宋体"/>
                <w:color w:val="000000"/>
                <w:kern w:val="0"/>
                <w:sz w:val="20"/>
                <w:szCs w:val="20"/>
                <w:highlight w:val="none"/>
              </w:rPr>
              <w:t>小计</w:t>
            </w:r>
          </w:p>
        </w:tc>
        <w:tc>
          <w:tcPr>
            <w:tcW w:w="725"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highlight w:val="none"/>
              </w:rPr>
            </w:pPr>
            <w:r>
              <w:rPr>
                <w:rFonts w:hint="eastAsia" w:ascii="宋体" w:hAnsi="宋体" w:cs="宋体"/>
                <w:color w:val="000000"/>
                <w:kern w:val="0"/>
                <w:sz w:val="20"/>
                <w:szCs w:val="20"/>
                <w:highlight w:val="none"/>
              </w:rPr>
              <w:t>房屋构筑物</w:t>
            </w:r>
          </w:p>
        </w:tc>
        <w:tc>
          <w:tcPr>
            <w:tcW w:w="769"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highlight w:val="none"/>
              </w:rPr>
            </w:pPr>
            <w:r>
              <w:rPr>
                <w:rFonts w:hint="eastAsia" w:ascii="宋体" w:hAnsi="宋体" w:cs="宋体"/>
                <w:color w:val="000000"/>
                <w:kern w:val="0"/>
                <w:sz w:val="20"/>
                <w:szCs w:val="20"/>
                <w:highlight w:val="none"/>
              </w:rPr>
              <w:t>车辆</w:t>
            </w:r>
          </w:p>
        </w:tc>
        <w:tc>
          <w:tcPr>
            <w:tcW w:w="1263" w:type="dxa"/>
            <w:gridSpan w:val="3"/>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highlight w:val="none"/>
              </w:rPr>
            </w:pPr>
            <w:r>
              <w:rPr>
                <w:rFonts w:hint="eastAsia" w:ascii="宋体" w:hAnsi="宋体" w:cs="宋体"/>
                <w:color w:val="000000"/>
                <w:kern w:val="0"/>
                <w:sz w:val="20"/>
                <w:szCs w:val="20"/>
                <w:highlight w:val="none"/>
              </w:rPr>
              <w:t>单价200万以上大型设备</w:t>
            </w:r>
          </w:p>
        </w:tc>
        <w:tc>
          <w:tcPr>
            <w:tcW w:w="839" w:type="dxa"/>
            <w:gridSpan w:val="2"/>
            <w:vMerge w:val="restart"/>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highlight w:val="none"/>
              </w:rPr>
            </w:pPr>
            <w:r>
              <w:rPr>
                <w:rFonts w:hint="eastAsia" w:ascii="宋体" w:hAnsi="宋体" w:cs="宋体"/>
                <w:color w:val="000000"/>
                <w:kern w:val="0"/>
                <w:sz w:val="20"/>
                <w:szCs w:val="20"/>
                <w:highlight w:val="none"/>
              </w:rPr>
              <w:t>其他固定资产</w:t>
            </w:r>
          </w:p>
        </w:tc>
        <w:tc>
          <w:tcPr>
            <w:tcW w:w="978"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979"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978" w:type="dxa"/>
            <w:gridSpan w:val="2"/>
            <w:vMerge w:val="continue"/>
            <w:tcBorders>
              <w:top w:val="nil"/>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978" w:type="dxa"/>
            <w:gridSpan w:val="3"/>
            <w:vMerge w:val="continue"/>
            <w:tcBorders>
              <w:top w:val="nil"/>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142" w:type="dxa"/>
            <w:tcBorders>
              <w:top w:val="nil"/>
              <w:left w:val="nil"/>
              <w:bottom w:val="nil"/>
              <w:right w:val="nil"/>
            </w:tcBorders>
            <w:noWrap/>
            <w:vAlign w:val="center"/>
          </w:tcPr>
          <w:p>
            <w:pPr>
              <w:widowControl/>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39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54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70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68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47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72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769"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1263"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839"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978"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979"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978" w:type="dxa"/>
            <w:gridSpan w:val="2"/>
            <w:vMerge w:val="continue"/>
            <w:tcBorders>
              <w:top w:val="nil"/>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978" w:type="dxa"/>
            <w:gridSpan w:val="3"/>
            <w:vMerge w:val="continue"/>
            <w:tcBorders>
              <w:top w:val="nil"/>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4"/>
              </w:rPr>
            </w:pPr>
          </w:p>
        </w:tc>
        <w:tc>
          <w:tcPr>
            <w:tcW w:w="142" w:type="dxa"/>
            <w:tcBorders>
              <w:top w:val="nil"/>
              <w:left w:val="nil"/>
              <w:bottom w:val="nil"/>
              <w:right w:val="nil"/>
            </w:tcBorders>
            <w:noWrap/>
            <w:vAlign w:val="center"/>
          </w:tcPr>
          <w:p>
            <w:pPr>
              <w:widowControl/>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90" w:hRule="atLeast"/>
        </w:trPr>
        <w:tc>
          <w:tcPr>
            <w:tcW w:w="715"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栏次</w:t>
            </w:r>
          </w:p>
        </w:tc>
        <w:tc>
          <w:tcPr>
            <w:tcW w:w="546"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left"/>
              <w:rPr>
                <w:rFonts w:ascii="宋体" w:hAnsi="宋体" w:cs="宋体"/>
                <w:color w:val="000000"/>
                <w:kern w:val="0"/>
                <w:sz w:val="24"/>
              </w:rPr>
            </w:pPr>
            <w:r>
              <w:rPr>
                <w:rFonts w:hint="eastAsia" w:ascii="宋体" w:hAnsi="宋体" w:cs="宋体"/>
                <w:color w:val="000000"/>
                <w:kern w:val="0"/>
                <w:sz w:val="20"/>
                <w:szCs w:val="20"/>
              </w:rPr>
              <w:t> </w:t>
            </w:r>
          </w:p>
        </w:tc>
        <w:tc>
          <w:tcPr>
            <w:tcW w:w="700"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1</w:t>
            </w:r>
          </w:p>
        </w:tc>
        <w:tc>
          <w:tcPr>
            <w:tcW w:w="684"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2</w:t>
            </w:r>
          </w:p>
        </w:tc>
        <w:tc>
          <w:tcPr>
            <w:tcW w:w="474"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3</w:t>
            </w:r>
          </w:p>
        </w:tc>
        <w:tc>
          <w:tcPr>
            <w:tcW w:w="725"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4</w:t>
            </w:r>
          </w:p>
        </w:tc>
        <w:tc>
          <w:tcPr>
            <w:tcW w:w="769"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5</w:t>
            </w:r>
          </w:p>
        </w:tc>
        <w:tc>
          <w:tcPr>
            <w:tcW w:w="1263"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6</w:t>
            </w:r>
          </w:p>
        </w:tc>
        <w:tc>
          <w:tcPr>
            <w:tcW w:w="839"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7</w:t>
            </w:r>
          </w:p>
        </w:tc>
        <w:tc>
          <w:tcPr>
            <w:tcW w:w="978"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8</w:t>
            </w:r>
          </w:p>
        </w:tc>
        <w:tc>
          <w:tcPr>
            <w:tcW w:w="979"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9</w:t>
            </w:r>
          </w:p>
        </w:tc>
        <w:tc>
          <w:tcPr>
            <w:tcW w:w="978"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10</w:t>
            </w:r>
          </w:p>
        </w:tc>
        <w:tc>
          <w:tcPr>
            <w:tcW w:w="978"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11</w:t>
            </w:r>
          </w:p>
        </w:tc>
        <w:tc>
          <w:tcPr>
            <w:tcW w:w="142" w:type="dxa"/>
            <w:tcBorders>
              <w:top w:val="nil"/>
              <w:left w:val="nil"/>
              <w:bottom w:val="nil"/>
              <w:right w:val="nil"/>
            </w:tcBorders>
            <w:noWrap/>
            <w:vAlign w:val="center"/>
          </w:tcPr>
          <w:p>
            <w:pPr>
              <w:widowControl/>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563" w:hRule="atLeast"/>
        </w:trPr>
        <w:tc>
          <w:tcPr>
            <w:tcW w:w="715"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合计</w:t>
            </w:r>
          </w:p>
        </w:tc>
        <w:tc>
          <w:tcPr>
            <w:tcW w:w="546"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center"/>
              <w:textAlignment w:val="center"/>
              <w:rPr>
                <w:rFonts w:ascii="宋体" w:hAnsi="宋体" w:cs="宋体"/>
                <w:color w:val="000000"/>
                <w:kern w:val="0"/>
                <w:sz w:val="24"/>
              </w:rPr>
            </w:pPr>
            <w:r>
              <w:rPr>
                <w:rFonts w:hint="eastAsia" w:ascii="宋体" w:hAnsi="宋体" w:cs="宋体"/>
                <w:color w:val="000000"/>
                <w:kern w:val="0"/>
                <w:sz w:val="20"/>
                <w:szCs w:val="20"/>
              </w:rPr>
              <w:t>1</w:t>
            </w:r>
          </w:p>
        </w:tc>
        <w:tc>
          <w:tcPr>
            <w:tcW w:w="700"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right"/>
              <w:rPr>
                <w:rFonts w:ascii="宋体" w:hAnsi="宋体" w:cs="宋体"/>
                <w:color w:val="000000"/>
                <w:kern w:val="0"/>
                <w:sz w:val="24"/>
              </w:rPr>
            </w:pPr>
            <w:r>
              <w:rPr>
                <w:rFonts w:hint="eastAsia" w:ascii="宋体" w:hAnsi="宋体" w:cs="宋体"/>
                <w:color w:val="000000"/>
                <w:kern w:val="0"/>
                <w:sz w:val="20"/>
                <w:szCs w:val="20"/>
                <w:lang w:val="en-US" w:eastAsia="zh-CN"/>
              </w:rPr>
              <w:t>965.46</w:t>
            </w:r>
            <w:r>
              <w:rPr>
                <w:rFonts w:hint="eastAsia" w:ascii="宋体" w:hAnsi="宋体" w:cs="宋体"/>
                <w:color w:val="000000"/>
                <w:kern w:val="0"/>
                <w:sz w:val="20"/>
                <w:szCs w:val="20"/>
              </w:rPr>
              <w:t> </w:t>
            </w:r>
          </w:p>
        </w:tc>
        <w:tc>
          <w:tcPr>
            <w:tcW w:w="684"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right"/>
              <w:rPr>
                <w:rFonts w:ascii="宋体" w:hAnsi="宋体" w:cs="宋体"/>
                <w:color w:val="000000"/>
                <w:kern w:val="0"/>
                <w:sz w:val="24"/>
              </w:rPr>
            </w:pPr>
            <w:r>
              <w:rPr>
                <w:rFonts w:hint="eastAsia" w:ascii="宋体" w:hAnsi="宋体" w:cs="宋体"/>
                <w:color w:val="000000"/>
                <w:kern w:val="0"/>
                <w:sz w:val="20"/>
                <w:szCs w:val="20"/>
                <w:lang w:val="en-US" w:eastAsia="zh-CN"/>
              </w:rPr>
              <w:t>124.53</w:t>
            </w:r>
            <w:r>
              <w:rPr>
                <w:rFonts w:hint="eastAsia" w:ascii="宋体" w:hAnsi="宋体" w:cs="宋体"/>
                <w:color w:val="000000"/>
                <w:kern w:val="0"/>
                <w:sz w:val="20"/>
                <w:szCs w:val="20"/>
              </w:rPr>
              <w:t> </w:t>
            </w:r>
          </w:p>
        </w:tc>
        <w:tc>
          <w:tcPr>
            <w:tcW w:w="474"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right"/>
              <w:rPr>
                <w:rFonts w:ascii="宋体" w:hAnsi="宋体" w:cs="宋体"/>
                <w:color w:val="000000"/>
                <w:kern w:val="0"/>
                <w:sz w:val="24"/>
              </w:rPr>
            </w:pPr>
            <w:r>
              <w:rPr>
                <w:rFonts w:hint="eastAsia" w:ascii="宋体" w:hAnsi="宋体" w:cs="宋体"/>
                <w:color w:val="000000"/>
                <w:kern w:val="0"/>
                <w:sz w:val="20"/>
                <w:szCs w:val="20"/>
                <w:lang w:val="en-US" w:eastAsia="zh-CN"/>
              </w:rPr>
              <w:t>821.76</w:t>
            </w:r>
            <w:r>
              <w:rPr>
                <w:rFonts w:hint="eastAsia" w:ascii="宋体" w:hAnsi="宋体" w:cs="宋体"/>
                <w:color w:val="000000"/>
                <w:kern w:val="0"/>
                <w:sz w:val="20"/>
                <w:szCs w:val="20"/>
              </w:rPr>
              <w:t> </w:t>
            </w:r>
          </w:p>
        </w:tc>
        <w:tc>
          <w:tcPr>
            <w:tcW w:w="725"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right"/>
              <w:rPr>
                <w:rFonts w:ascii="宋体" w:hAnsi="宋体" w:cs="宋体"/>
                <w:color w:val="000000"/>
                <w:kern w:val="0"/>
                <w:sz w:val="24"/>
              </w:rPr>
            </w:pPr>
            <w:r>
              <w:rPr>
                <w:rFonts w:hint="eastAsia" w:ascii="宋体" w:hAnsi="宋体" w:cs="宋体"/>
                <w:color w:val="000000"/>
                <w:kern w:val="0"/>
                <w:sz w:val="20"/>
                <w:szCs w:val="20"/>
                <w:lang w:val="en-US" w:eastAsia="zh-CN"/>
              </w:rPr>
              <w:t>440.77</w:t>
            </w:r>
            <w:r>
              <w:rPr>
                <w:rFonts w:hint="eastAsia" w:ascii="宋体" w:hAnsi="宋体" w:cs="宋体"/>
                <w:color w:val="000000"/>
                <w:kern w:val="0"/>
                <w:sz w:val="20"/>
                <w:szCs w:val="20"/>
              </w:rPr>
              <w:t> </w:t>
            </w:r>
          </w:p>
        </w:tc>
        <w:tc>
          <w:tcPr>
            <w:tcW w:w="769"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right"/>
              <w:rPr>
                <w:rFonts w:ascii="宋体" w:hAnsi="宋体" w:cs="宋体"/>
                <w:color w:val="000000"/>
                <w:kern w:val="0"/>
                <w:sz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1263"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right"/>
              <w:rPr>
                <w:rFonts w:ascii="宋体" w:hAnsi="宋体" w:cs="宋体"/>
                <w:color w:val="000000"/>
                <w:kern w:val="0"/>
                <w:sz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839"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right"/>
              <w:rPr>
                <w:rFonts w:ascii="宋体" w:hAnsi="宋体" w:cs="宋体"/>
                <w:color w:val="000000"/>
                <w:kern w:val="0"/>
                <w:sz w:val="24"/>
              </w:rPr>
            </w:pPr>
            <w:r>
              <w:rPr>
                <w:rFonts w:hint="eastAsia" w:ascii="宋体" w:hAnsi="宋体" w:cs="宋体"/>
                <w:color w:val="000000"/>
                <w:kern w:val="0"/>
                <w:sz w:val="20"/>
                <w:szCs w:val="20"/>
                <w:lang w:val="en-US" w:eastAsia="zh-CN"/>
              </w:rPr>
              <w:t>380.99</w:t>
            </w:r>
            <w:r>
              <w:rPr>
                <w:rFonts w:hint="eastAsia" w:ascii="宋体" w:hAnsi="宋体" w:cs="宋体"/>
                <w:color w:val="000000"/>
                <w:kern w:val="0"/>
                <w:sz w:val="20"/>
                <w:szCs w:val="20"/>
              </w:rPr>
              <w:t> </w:t>
            </w:r>
          </w:p>
        </w:tc>
        <w:tc>
          <w:tcPr>
            <w:tcW w:w="978"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right"/>
              <w:rPr>
                <w:rFonts w:ascii="宋体" w:hAnsi="宋体" w:cs="宋体"/>
                <w:color w:val="000000"/>
                <w:kern w:val="0"/>
                <w:sz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979" w:type="dxa"/>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right"/>
              <w:rPr>
                <w:rFonts w:ascii="宋体" w:hAnsi="宋体" w:cs="宋体"/>
                <w:color w:val="000000"/>
                <w:kern w:val="0"/>
                <w:sz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978" w:type="dxa"/>
            <w:gridSpan w:val="2"/>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right"/>
              <w:rPr>
                <w:rFonts w:ascii="宋体" w:hAnsi="宋体" w:cs="宋体"/>
                <w:color w:val="000000"/>
                <w:kern w:val="0"/>
                <w:sz w:val="24"/>
              </w:rPr>
            </w:pPr>
            <w:r>
              <w:rPr>
                <w:rFonts w:hint="eastAsia" w:ascii="宋体" w:hAnsi="宋体" w:cs="宋体"/>
                <w:color w:val="000000"/>
                <w:kern w:val="0"/>
                <w:sz w:val="20"/>
                <w:szCs w:val="20"/>
                <w:lang w:val="en-US" w:eastAsia="zh-CN"/>
              </w:rPr>
              <w:t>19.17</w:t>
            </w:r>
            <w:r>
              <w:rPr>
                <w:rFonts w:hint="eastAsia" w:ascii="宋体" w:hAnsi="宋体" w:cs="宋体"/>
                <w:color w:val="000000"/>
                <w:kern w:val="0"/>
                <w:sz w:val="20"/>
                <w:szCs w:val="20"/>
              </w:rPr>
              <w:t> </w:t>
            </w:r>
          </w:p>
        </w:tc>
        <w:tc>
          <w:tcPr>
            <w:tcW w:w="978" w:type="dxa"/>
            <w:gridSpan w:val="3"/>
            <w:tcBorders>
              <w:top w:val="single" w:color="000000" w:sz="4" w:space="0"/>
              <w:left w:val="single" w:color="000000" w:sz="4" w:space="0"/>
              <w:bottom w:val="single" w:color="000000" w:sz="4" w:space="0"/>
              <w:right w:val="single" w:color="000000" w:sz="4" w:space="0"/>
            </w:tcBorders>
            <w:noWrap/>
            <w:tcMar>
              <w:top w:w="15" w:type="dxa"/>
              <w:left w:w="15" w:type="dxa"/>
              <w:bottom w:w="15" w:type="dxa"/>
              <w:right w:w="15" w:type="dxa"/>
            </w:tcMar>
            <w:vAlign w:val="center"/>
          </w:tcPr>
          <w:p>
            <w:pPr>
              <w:widowControl/>
              <w:jc w:val="right"/>
              <w:rPr>
                <w:rFonts w:ascii="宋体" w:hAnsi="宋体" w:cs="宋体"/>
                <w:color w:val="000000"/>
                <w:kern w:val="0"/>
                <w:sz w:val="24"/>
              </w:rPr>
            </w:pPr>
            <w:r>
              <w:rPr>
                <w:rFonts w:hint="eastAsia" w:ascii="宋体" w:hAnsi="宋体" w:cs="宋体"/>
                <w:color w:val="000000"/>
                <w:kern w:val="0"/>
                <w:sz w:val="20"/>
                <w:szCs w:val="20"/>
                <w:lang w:val="en-US" w:eastAsia="zh-CN"/>
              </w:rPr>
              <w:t>0</w:t>
            </w:r>
            <w:r>
              <w:rPr>
                <w:rFonts w:hint="eastAsia" w:ascii="宋体" w:hAnsi="宋体" w:cs="宋体"/>
                <w:color w:val="000000"/>
                <w:kern w:val="0"/>
                <w:sz w:val="20"/>
                <w:szCs w:val="20"/>
              </w:rPr>
              <w:t> </w:t>
            </w:r>
          </w:p>
        </w:tc>
        <w:tc>
          <w:tcPr>
            <w:tcW w:w="142" w:type="dxa"/>
            <w:tcBorders>
              <w:top w:val="nil"/>
              <w:left w:val="nil"/>
              <w:bottom w:val="nil"/>
              <w:right w:val="nil"/>
            </w:tcBorders>
            <w:noWrap/>
            <w:vAlign w:val="center"/>
          </w:tcPr>
          <w:p>
            <w:pPr>
              <w:widowControl/>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gridAfter w:val="2"/>
          <w:wAfter w:w="618" w:type="dxa"/>
          <w:trHeight w:val="259" w:hRule="atLeast"/>
        </w:trPr>
        <w:tc>
          <w:tcPr>
            <w:tcW w:w="8672" w:type="dxa"/>
            <w:gridSpan w:val="14"/>
            <w:tcBorders>
              <w:top w:val="nil"/>
              <w:left w:val="nil"/>
              <w:bottom w:val="nil"/>
              <w:right w:val="nil"/>
            </w:tcBorders>
            <w:noWrap/>
            <w:tcMar>
              <w:top w:w="15" w:type="dxa"/>
              <w:left w:w="15" w:type="dxa"/>
              <w:bottom w:w="15" w:type="dxa"/>
              <w:right w:w="15" w:type="dxa"/>
            </w:tcMar>
            <w:vAlign w:val="bottom"/>
          </w:tcPr>
          <w:p>
            <w:pPr>
              <w:widowControl/>
              <w:rPr>
                <w:rFonts w:ascii="宋体" w:hAnsi="宋体" w:cs="宋体"/>
                <w:color w:val="000000"/>
                <w:kern w:val="0"/>
                <w:sz w:val="24"/>
              </w:rPr>
            </w:pPr>
          </w:p>
        </w:tc>
        <w:tc>
          <w:tcPr>
            <w:tcW w:w="360" w:type="dxa"/>
            <w:tcBorders>
              <w:top w:val="nil"/>
              <w:left w:val="nil"/>
              <w:bottom w:val="nil"/>
              <w:right w:val="nil"/>
            </w:tcBorders>
            <w:noWrap/>
            <w:tcMar>
              <w:top w:w="15" w:type="dxa"/>
              <w:left w:w="15" w:type="dxa"/>
              <w:bottom w:w="15" w:type="dxa"/>
              <w:right w:w="15" w:type="dxa"/>
            </w:tcMar>
            <w:vAlign w:val="bottom"/>
          </w:tcPr>
          <w:p>
            <w:pPr>
              <w:widowControl/>
              <w:rPr>
                <w:rFonts w:ascii="宋体" w:hAnsi="宋体" w:cs="宋体"/>
                <w:color w:val="000000"/>
                <w:kern w:val="0"/>
                <w:sz w:val="20"/>
              </w:rPr>
            </w:pPr>
          </w:p>
        </w:tc>
        <w:tc>
          <w:tcPr>
            <w:tcW w:w="978" w:type="dxa"/>
            <w:gridSpan w:val="2"/>
            <w:tcBorders>
              <w:top w:val="nil"/>
              <w:left w:val="nil"/>
              <w:bottom w:val="nil"/>
              <w:right w:val="nil"/>
            </w:tcBorders>
            <w:noWrap/>
            <w:tcMar>
              <w:top w:w="15" w:type="dxa"/>
              <w:left w:w="15" w:type="dxa"/>
              <w:bottom w:w="15" w:type="dxa"/>
              <w:right w:w="15" w:type="dxa"/>
            </w:tcMar>
            <w:vAlign w:val="bottom"/>
          </w:tcPr>
          <w:p>
            <w:pPr>
              <w:widowControl/>
              <w:jc w:val="left"/>
              <w:rPr>
                <w:rFonts w:ascii="宋体" w:hAnsi="宋体" w:cs="宋体"/>
                <w:color w:val="000000"/>
                <w:kern w:val="0"/>
                <w:sz w:val="24"/>
              </w:rPr>
            </w:pPr>
          </w:p>
        </w:tc>
        <w:tc>
          <w:tcPr>
            <w:tcW w:w="142" w:type="dxa"/>
            <w:tcBorders>
              <w:top w:val="nil"/>
              <w:left w:val="nil"/>
              <w:bottom w:val="nil"/>
              <w:right w:val="nil"/>
            </w:tcBorders>
            <w:noWrap/>
            <w:vAlign w:val="center"/>
          </w:tcPr>
          <w:p>
            <w:pPr>
              <w:widowControl/>
              <w:jc w:val="left"/>
              <w:rPr>
                <w:rFonts w:ascii="宋体" w:hAnsi="宋体" w:cs="宋体"/>
                <w:color w:val="000000"/>
                <w:kern w:val="0"/>
                <w:sz w:val="17"/>
                <w:szCs w:val="17"/>
              </w:rPr>
            </w:pPr>
          </w:p>
        </w:tc>
      </w:tr>
      <w:tr>
        <w:tblPrEx>
          <w:tblLayout w:type="fixed"/>
          <w:tblCellMar>
            <w:top w:w="0" w:type="dxa"/>
            <w:left w:w="0" w:type="dxa"/>
            <w:bottom w:w="0" w:type="dxa"/>
            <w:right w:w="0" w:type="dxa"/>
          </w:tblCellMar>
        </w:tblPrEx>
        <w:trPr>
          <w:trHeight w:val="766" w:hRule="atLeast"/>
        </w:trPr>
        <w:tc>
          <w:tcPr>
            <w:tcW w:w="9650" w:type="dxa"/>
            <w:gridSpan w:val="16"/>
            <w:tcBorders>
              <w:top w:val="nil"/>
              <w:left w:val="nil"/>
              <w:bottom w:val="nil"/>
              <w:right w:val="nil"/>
            </w:tcBorders>
            <w:noWrap/>
            <w:tcMar>
              <w:top w:w="15" w:type="dxa"/>
              <w:left w:w="15" w:type="dxa"/>
              <w:bottom w:w="15" w:type="dxa"/>
              <w:right w:w="15" w:type="dxa"/>
            </w:tcMar>
            <w:vAlign w:val="bottom"/>
          </w:tcPr>
          <w:p>
            <w:pPr>
              <w:widowControl/>
              <w:ind w:firstLine="400" w:firstLineChars="200"/>
              <w:rPr>
                <w:rFonts w:ascii="宋体" w:hAnsi="宋体" w:cs="宋体"/>
                <w:color w:val="000000"/>
                <w:kern w:val="0"/>
                <w:sz w:val="20"/>
                <w:szCs w:val="20"/>
              </w:rPr>
            </w:pPr>
            <w:r>
              <w:rPr>
                <w:rFonts w:hint="eastAsia" w:ascii="宋体" w:hAnsi="宋体" w:cs="宋体"/>
                <w:color w:val="000000"/>
                <w:kern w:val="0"/>
                <w:sz w:val="20"/>
                <w:szCs w:val="20"/>
              </w:rPr>
              <w:t>填报说明：1.资产总额＝流动资产＋固定资产＋对外投资／有价证券＋在建工程＋无形资产＋其他资产；</w:t>
            </w:r>
          </w:p>
          <w:p>
            <w:pPr>
              <w:widowControl/>
              <w:numPr>
                <w:ilvl w:val="0"/>
                <w:numId w:val="1"/>
              </w:numPr>
              <w:ind w:firstLine="1400" w:firstLineChars="700"/>
              <w:rPr>
                <w:rFonts w:ascii="宋体" w:hAnsi="宋体" w:cs="宋体"/>
                <w:color w:val="000000"/>
                <w:kern w:val="0"/>
                <w:sz w:val="20"/>
                <w:szCs w:val="20"/>
              </w:rPr>
            </w:pPr>
            <w:r>
              <w:rPr>
                <w:rFonts w:hint="eastAsia" w:ascii="宋体" w:hAnsi="宋体" w:cs="宋体"/>
                <w:color w:val="000000"/>
                <w:kern w:val="0"/>
                <w:sz w:val="20"/>
                <w:szCs w:val="20"/>
              </w:rPr>
              <w:t>固定资产＝房屋构筑物＋车辆＋单价200万元以上大型设备＋其他固定资产；</w:t>
            </w:r>
          </w:p>
          <w:p>
            <w:pPr>
              <w:widowControl/>
              <w:numPr>
                <w:ilvl w:val="0"/>
                <w:numId w:val="1"/>
              </w:numPr>
              <w:ind w:firstLine="1400" w:firstLineChars="700"/>
              <w:rPr>
                <w:rFonts w:ascii="宋体" w:hAnsi="宋体" w:cs="宋体"/>
                <w:color w:val="000000"/>
                <w:kern w:val="0"/>
                <w:sz w:val="20"/>
                <w:szCs w:val="20"/>
              </w:rPr>
            </w:pPr>
            <w:r>
              <w:rPr>
                <w:rFonts w:hint="eastAsia" w:ascii="宋体" w:hAnsi="宋体" w:cs="宋体"/>
                <w:color w:val="000000"/>
                <w:kern w:val="0"/>
                <w:sz w:val="20"/>
                <w:szCs w:val="20"/>
                <w:highlight w:val="none"/>
              </w:rPr>
              <w:t>填报金额为资产“账面原值”。</w:t>
            </w:r>
          </w:p>
        </w:tc>
        <w:tc>
          <w:tcPr>
            <w:tcW w:w="978" w:type="dxa"/>
            <w:gridSpan w:val="3"/>
            <w:tcBorders>
              <w:top w:val="nil"/>
              <w:left w:val="nil"/>
              <w:bottom w:val="nil"/>
              <w:right w:val="nil"/>
            </w:tcBorders>
            <w:noWrap/>
            <w:tcMar>
              <w:top w:w="15" w:type="dxa"/>
              <w:left w:w="15" w:type="dxa"/>
              <w:bottom w:w="15" w:type="dxa"/>
              <w:right w:w="15" w:type="dxa"/>
            </w:tcMar>
            <w:vAlign w:val="bottom"/>
          </w:tcPr>
          <w:p>
            <w:pPr>
              <w:widowControl/>
              <w:jc w:val="left"/>
              <w:rPr>
                <w:rFonts w:ascii="宋体" w:hAnsi="宋体" w:cs="宋体"/>
                <w:color w:val="000000"/>
                <w:kern w:val="0"/>
                <w:sz w:val="24"/>
              </w:rPr>
            </w:pPr>
            <w:r>
              <w:rPr>
                <w:rFonts w:ascii="Arial" w:hAnsi="Arial" w:cs="Arial"/>
                <w:color w:val="000000"/>
                <w:kern w:val="0"/>
                <w:sz w:val="20"/>
                <w:szCs w:val="20"/>
              </w:rPr>
              <w:t> </w:t>
            </w:r>
          </w:p>
        </w:tc>
        <w:tc>
          <w:tcPr>
            <w:tcW w:w="142" w:type="dxa"/>
            <w:noWrap/>
            <w:vAlign w:val="center"/>
          </w:tcPr>
          <w:p>
            <w:pPr>
              <w:widowControl/>
              <w:jc w:val="left"/>
              <w:rPr>
                <w:rFonts w:eastAsia="Times New Roman"/>
                <w:kern w:val="0"/>
                <w:sz w:val="20"/>
                <w:szCs w:val="20"/>
              </w:rPr>
            </w:pPr>
          </w:p>
        </w:tc>
      </w:tr>
    </w:tbl>
    <w:p>
      <w:pPr>
        <w:ind w:firstLine="600" w:firstLineChars="200"/>
        <w:jc w:val="left"/>
        <w:rPr>
          <w:rFonts w:ascii="黑体" w:hAnsi="黑体" w:eastAsia="黑体" w:cs="黑体"/>
          <w:sz w:val="30"/>
          <w:szCs w:val="30"/>
        </w:rPr>
      </w:pPr>
      <w:r>
        <w:rPr>
          <w:rFonts w:hint="eastAsia" w:ascii="黑体" w:hAnsi="黑体" w:eastAsia="黑体" w:cs="黑体"/>
          <w:sz w:val="30"/>
          <w:szCs w:val="30"/>
        </w:rPr>
        <w:t>三、政府采购支出情况</w:t>
      </w:r>
    </w:p>
    <w:p>
      <w:pPr>
        <w:ind w:firstLine="600" w:firstLineChars="200"/>
        <w:rPr>
          <w:rFonts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2020</w:t>
      </w:r>
      <w:r>
        <w:rPr>
          <w:rFonts w:hint="eastAsia" w:ascii="仿宋_GB2312" w:hAnsi="仿宋_GB2312" w:eastAsia="仿宋_GB2312" w:cs="仿宋_GB2312"/>
          <w:sz w:val="30"/>
          <w:szCs w:val="30"/>
          <w:highlight w:val="none"/>
        </w:rPr>
        <w:t>年度，部门政府采购支出总额</w:t>
      </w:r>
      <w:r>
        <w:rPr>
          <w:rFonts w:hint="eastAsia" w:ascii="仿宋_GB2312" w:hAnsi="仿宋_GB2312" w:eastAsia="仿宋_GB2312" w:cs="仿宋_GB2312"/>
          <w:sz w:val="30"/>
          <w:szCs w:val="30"/>
          <w:highlight w:val="none"/>
          <w:lang w:val="en-US" w:eastAsia="zh-CN"/>
        </w:rPr>
        <w:t>144.38</w:t>
      </w:r>
      <w:r>
        <w:rPr>
          <w:rFonts w:hint="eastAsia" w:ascii="仿宋_GB2312" w:hAnsi="仿宋_GB2312" w:eastAsia="仿宋_GB2312" w:cs="仿宋_GB2312"/>
          <w:sz w:val="30"/>
          <w:szCs w:val="30"/>
          <w:highlight w:val="none"/>
        </w:rPr>
        <w:t>万元，其中：政府采购货物支出</w:t>
      </w:r>
      <w:r>
        <w:rPr>
          <w:rFonts w:hint="eastAsia" w:ascii="仿宋_GB2312" w:hAnsi="仿宋_GB2312" w:eastAsia="仿宋_GB2312" w:cs="仿宋_GB2312"/>
          <w:sz w:val="30"/>
          <w:szCs w:val="30"/>
          <w:highlight w:val="none"/>
          <w:lang w:val="en-US" w:eastAsia="zh-CN"/>
        </w:rPr>
        <w:t>0.18</w:t>
      </w:r>
      <w:r>
        <w:rPr>
          <w:rFonts w:hint="eastAsia" w:ascii="仿宋_GB2312" w:hAnsi="仿宋_GB2312" w:eastAsia="仿宋_GB2312" w:cs="仿宋_GB2312"/>
          <w:sz w:val="30"/>
          <w:szCs w:val="30"/>
          <w:highlight w:val="none"/>
        </w:rPr>
        <w:t>万元；政府采购工程支出</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rPr>
        <w:t>万元；政府采购服务支出</w:t>
      </w:r>
      <w:r>
        <w:rPr>
          <w:rFonts w:hint="eastAsia" w:ascii="仿宋_GB2312" w:hAnsi="仿宋_GB2312" w:eastAsia="仿宋_GB2312" w:cs="仿宋_GB2312"/>
          <w:sz w:val="30"/>
          <w:szCs w:val="30"/>
          <w:highlight w:val="none"/>
          <w:lang w:val="en-US" w:eastAsia="zh-CN"/>
        </w:rPr>
        <w:t>144.20</w:t>
      </w:r>
      <w:r>
        <w:rPr>
          <w:rFonts w:hint="eastAsia" w:ascii="仿宋_GB2312" w:hAnsi="仿宋_GB2312" w:eastAsia="仿宋_GB2312" w:cs="仿宋_GB2312"/>
          <w:sz w:val="30"/>
          <w:szCs w:val="30"/>
          <w:highlight w:val="none"/>
        </w:rPr>
        <w:t>万元。授予中小企业合同金额</w:t>
      </w:r>
      <w:r>
        <w:rPr>
          <w:rFonts w:hint="eastAsia" w:ascii="仿宋_GB2312" w:hAnsi="仿宋_GB2312" w:eastAsia="仿宋_GB2312" w:cs="仿宋_GB2312"/>
          <w:sz w:val="30"/>
          <w:szCs w:val="30"/>
          <w:highlight w:val="none"/>
          <w:lang w:val="en-US" w:eastAsia="zh-CN"/>
        </w:rPr>
        <w:t>144.38</w:t>
      </w:r>
      <w:r>
        <w:rPr>
          <w:rFonts w:hint="eastAsia" w:ascii="仿宋_GB2312" w:hAnsi="仿宋_GB2312" w:eastAsia="仿宋_GB2312" w:cs="仿宋_GB2312"/>
          <w:sz w:val="30"/>
          <w:szCs w:val="30"/>
          <w:highlight w:val="none"/>
        </w:rPr>
        <w:t>万元，占政府采购支出总额的</w:t>
      </w:r>
      <w:r>
        <w:rPr>
          <w:rFonts w:hint="eastAsia" w:ascii="仿宋_GB2312" w:hAnsi="仿宋_GB2312" w:eastAsia="仿宋_GB2312" w:cs="仿宋_GB2312"/>
          <w:sz w:val="30"/>
          <w:szCs w:val="30"/>
          <w:highlight w:val="none"/>
          <w:lang w:val="en-US" w:eastAsia="zh-CN"/>
        </w:rPr>
        <w:t>100</w:t>
      </w:r>
      <w:r>
        <w:rPr>
          <w:rFonts w:hint="eastAsia" w:ascii="仿宋_GB2312" w:hAnsi="仿宋_GB2312" w:eastAsia="仿宋_GB2312" w:cs="仿宋_GB2312"/>
          <w:sz w:val="30"/>
          <w:szCs w:val="30"/>
          <w:highlight w:val="none"/>
        </w:rPr>
        <w:t>%。</w:t>
      </w:r>
    </w:p>
    <w:p>
      <w:pPr>
        <w:ind w:firstLine="600" w:firstLineChars="200"/>
        <w:jc w:val="left"/>
        <w:rPr>
          <w:rFonts w:ascii="黑体" w:hAnsi="黑体" w:eastAsia="黑体" w:cs="黑体"/>
          <w:sz w:val="30"/>
          <w:szCs w:val="30"/>
        </w:rPr>
      </w:pPr>
      <w:r>
        <w:rPr>
          <w:rFonts w:hint="eastAsia" w:ascii="黑体" w:hAnsi="黑体" w:eastAsia="黑体" w:cs="黑体"/>
          <w:sz w:val="30"/>
          <w:szCs w:val="30"/>
        </w:rPr>
        <w:t>四、部门绩效自评情况</w:t>
      </w:r>
    </w:p>
    <w:p>
      <w:pPr>
        <w:widowControl/>
        <w:snapToGrid w:val="0"/>
        <w:spacing w:before="100" w:after="100" w:line="360" w:lineRule="auto"/>
        <w:ind w:firstLine="6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部门绩效自评情况详见附表（附表10—附表12）。</w:t>
      </w:r>
    </w:p>
    <w:p>
      <w:pPr>
        <w:widowControl/>
        <w:snapToGrid w:val="0"/>
        <w:spacing w:before="100" w:after="100"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五、其他重要事项情况说明</w:t>
      </w:r>
    </w:p>
    <w:p>
      <w:pPr>
        <w:ind w:firstLine="600" w:firstLineChars="200"/>
        <w:jc w:val="left"/>
        <w:rPr>
          <w:rFonts w:ascii="仿宋_GB2312" w:hAnsi="黑体" w:eastAsia="仿宋_GB2312" w:cs="方正小标宋简体"/>
          <w:sz w:val="30"/>
          <w:szCs w:val="30"/>
        </w:rPr>
      </w:pPr>
      <w:bookmarkStart w:id="0" w:name="_GoBack"/>
      <w:bookmarkEnd w:id="0"/>
      <w:r>
        <w:rPr>
          <w:rFonts w:hint="eastAsia" w:ascii="仿宋_GB2312" w:hAnsi="黑体" w:eastAsia="仿宋_GB2312" w:cs="方正小标宋简体"/>
          <w:sz w:val="30"/>
          <w:szCs w:val="30"/>
          <w:lang w:eastAsia="zh-CN"/>
        </w:rPr>
        <w:t>昆明市盘龙区财政局2020年无其他重要事项情况说明</w:t>
      </w:r>
      <w:r>
        <w:rPr>
          <w:rFonts w:hint="eastAsia" w:ascii="仿宋_GB2312" w:hAnsi="黑体" w:eastAsia="仿宋_GB2312" w:cs="方正小标宋简体"/>
          <w:sz w:val="30"/>
          <w:szCs w:val="30"/>
        </w:rPr>
        <w:t>。</w:t>
      </w:r>
    </w:p>
    <w:p>
      <w:pPr>
        <w:widowControl/>
        <w:snapToGrid w:val="0"/>
        <w:spacing w:before="100" w:after="100"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六、相关口径说明</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（一）基本支出中人员经费包括工资福利支出和对个人和家庭的补助，公用经费包括商品和服务支出、资本性支出等人员经费以外的支出。</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（二）机关运行经费指行政单位和参照公务员法管理的事业单位使用一般公共预算财政拨款安排的基本支出中的公用经费支出。</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四）“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jc w:val="center"/>
        <w:rPr>
          <w:rFonts w:ascii="黑体" w:hAnsi="黑体" w:eastAsia="黑体" w:cs="方正小标宋简体"/>
          <w:sz w:val="32"/>
          <w:szCs w:val="32"/>
        </w:rPr>
      </w:pPr>
      <w:r>
        <w:rPr>
          <w:rFonts w:hint="eastAsia" w:ascii="黑体" w:hAnsi="黑体" w:eastAsia="黑体" w:cs="方正小标宋简体"/>
          <w:sz w:val="32"/>
          <w:szCs w:val="32"/>
        </w:rPr>
        <w:t>第五部分  名词解释</w:t>
      </w:r>
    </w:p>
    <w:p>
      <w:pPr>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情况说明里涉及到需要解释说明的决算相关专用名词，在此进行说明解释。若没有涉及专用名词，请说明不涉及专用名词。</w:t>
      </w:r>
    </w:p>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path/>
          <v:fill on="f" focussize="0,0"/>
          <v:stroke on="f" weight="1.25pt" joinstyle="miter"/>
          <v:imagedata o:title=""/>
          <o:lock v:ext="edit"/>
          <v:textbox inset="0mm,0mm,0mm,0mm" style="mso-fit-shape-to-text:t;">
            <w:txbxContent>
              <w:p>
                <w:pPr>
                  <w:pStyle w:val="3"/>
                  <w:rPr>
                    <w:rStyle w:val="7"/>
                  </w:rPr>
                </w:pP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- 8 -</w:t>
                </w:r>
                <w:r>
                  <w:rPr>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78A1DF"/>
    <w:multiLevelType w:val="singleLevel"/>
    <w:tmpl w:val="FF78A1DF"/>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46697918"/>
    <w:rsid w:val="001821DA"/>
    <w:rsid w:val="002C76BA"/>
    <w:rsid w:val="00421ACA"/>
    <w:rsid w:val="0069217B"/>
    <w:rsid w:val="00754B3D"/>
    <w:rsid w:val="00862E86"/>
    <w:rsid w:val="00F7746E"/>
    <w:rsid w:val="00F8703A"/>
    <w:rsid w:val="02D775DD"/>
    <w:rsid w:val="030B6DD0"/>
    <w:rsid w:val="04582B1A"/>
    <w:rsid w:val="06295081"/>
    <w:rsid w:val="08DC51FB"/>
    <w:rsid w:val="09100D6A"/>
    <w:rsid w:val="0E787C0C"/>
    <w:rsid w:val="10264289"/>
    <w:rsid w:val="10E75376"/>
    <w:rsid w:val="13553369"/>
    <w:rsid w:val="14607B2D"/>
    <w:rsid w:val="15F41612"/>
    <w:rsid w:val="1C190E5B"/>
    <w:rsid w:val="214E24EC"/>
    <w:rsid w:val="24A5644B"/>
    <w:rsid w:val="253874B5"/>
    <w:rsid w:val="259D5C67"/>
    <w:rsid w:val="2C6C454A"/>
    <w:rsid w:val="37A458C4"/>
    <w:rsid w:val="46697918"/>
    <w:rsid w:val="47AD2348"/>
    <w:rsid w:val="4A72302C"/>
    <w:rsid w:val="4F8A2DE8"/>
    <w:rsid w:val="5111069F"/>
    <w:rsid w:val="52C5545D"/>
    <w:rsid w:val="53AB45DC"/>
    <w:rsid w:val="549740FE"/>
    <w:rsid w:val="58AB6200"/>
    <w:rsid w:val="5C7E6B3A"/>
    <w:rsid w:val="60953CF9"/>
    <w:rsid w:val="707916E5"/>
    <w:rsid w:val="770C487F"/>
    <w:rsid w:val="79114710"/>
    <w:rsid w:val="799F08DD"/>
    <w:rsid w:val="7C873EE6"/>
    <w:rsid w:val="7D335F8A"/>
    <w:rsid w:val="7E677532"/>
    <w:rsid w:val="7E9F31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昆明市直属党政机关单位</Company>
  <Pages>11</Pages>
  <Words>639</Words>
  <Characters>3645</Characters>
  <Lines>30</Lines>
  <Paragraphs>8</Paragraphs>
  <TotalTime>202</TotalTime>
  <ScaleCrop>false</ScaleCrop>
  <LinksUpToDate>false</LinksUpToDate>
  <CharactersWithSpaces>4276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2021-08-17T01:56:00Z</dcterms:created>
  <dc:creator>张琴</dc:creator>
  <cp:lastModifiedBy>闭思维</cp:lastModifiedBy>
  <dcterms:modified xsi:type="dcterms:W3CDTF">2021-11-24T03:17:16Z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