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监督索引号53010300121600000</w:t>
      </w:r>
    </w:p>
    <w:p>
      <w:pPr>
        <w:widowControl/>
        <w:spacing w:line="450" w:lineRule="atLeast"/>
        <w:jc w:val="center"/>
        <w:rPr>
          <w:rFonts w:ascii="仿宋" w:hAnsi="仿宋" w:eastAsia="仿宋" w:cs="仿宋"/>
          <w:color w:val="333333"/>
          <w:kern w:val="0"/>
          <w:sz w:val="44"/>
          <w:szCs w:val="44"/>
        </w:rPr>
      </w:pPr>
      <w:r>
        <w:rPr>
          <w:rFonts w:hint="eastAsia" w:ascii="仿宋" w:hAnsi="仿宋" w:eastAsia="仿宋" w:cs="仿宋"/>
          <w:color w:val="333333"/>
          <w:kern w:val="0"/>
          <w:sz w:val="44"/>
          <w:szCs w:val="44"/>
        </w:rPr>
        <w:t>中共昆明市盘龙区委政法委员会</w:t>
      </w:r>
    </w:p>
    <w:p>
      <w:pPr>
        <w:widowControl/>
        <w:spacing w:line="450" w:lineRule="atLeast"/>
        <w:jc w:val="center"/>
        <w:rPr>
          <w:rFonts w:ascii="仿宋" w:hAnsi="仿宋" w:eastAsia="仿宋" w:cs="仿宋"/>
          <w:color w:val="333333"/>
          <w:kern w:val="0"/>
          <w:sz w:val="44"/>
          <w:szCs w:val="44"/>
        </w:rPr>
      </w:pPr>
      <w:r>
        <w:rPr>
          <w:rFonts w:hint="eastAsia" w:ascii="仿宋" w:hAnsi="仿宋" w:eastAsia="仿宋" w:cs="仿宋"/>
          <w:color w:val="333333"/>
          <w:kern w:val="0"/>
          <w:sz w:val="44"/>
          <w:szCs w:val="44"/>
        </w:rPr>
        <w:t>2021年预算公开目录</w:t>
      </w:r>
    </w:p>
    <w:p>
      <w:pPr>
        <w:widowControl/>
        <w:spacing w:line="58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第一部分 盘龙区委政法委员会2021年部门预算编制说明</w:t>
      </w:r>
    </w:p>
    <w:p>
      <w:pPr>
        <w:widowControl/>
        <w:spacing w:line="58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第二部分 盘龙区委政法委员会2021年部门预算表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一、2021年部门财务收支预算总表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二、2021年部门收入预算表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三、2021年部门支出预算表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四、2021年部门财政拨款收支预算表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五、盘龙区本级2021年财政拨款“三公”经费支出预算表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六、2021年部门一般公共预算支出预算表（按功能科目分类）</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七、2021年部门一般公共预算“三公”经费支出预算表</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八、2021年部门基本支出预算表（人员类、运转类公用经费项目）</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九、2021年部门项目支出预算表（其他运转类、特定目标类项目）</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十、2021年部门政府性基金预算支出预算表（按功能科目分类）</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十一、2021年部门财政拨款支出预算表（按经济科目分类）</w:t>
      </w:r>
    </w:p>
    <w:p>
      <w:pPr>
        <w:widowControl/>
        <w:spacing w:line="58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十二、2021年区本级项目支出绩效目标表（本次下达）</w:t>
      </w:r>
    </w:p>
    <w:p>
      <w:pPr>
        <w:widowControl/>
        <w:autoSpaceDE w:val="0"/>
        <w:autoSpaceDN w:val="0"/>
        <w:adjustRightInd w:val="0"/>
        <w:jc w:val="left"/>
        <w:rPr>
          <w:rFonts w:ascii="仿宋" w:hAnsi="仿宋" w:eastAsia="仿宋" w:cs="仿宋"/>
          <w:color w:val="262626"/>
          <w:kern w:val="0"/>
          <w:sz w:val="32"/>
          <w:szCs w:val="32"/>
        </w:rPr>
      </w:pPr>
      <w:r>
        <w:rPr>
          <w:rFonts w:hint="eastAsia" w:ascii="仿宋" w:hAnsi="仿宋" w:eastAsia="仿宋" w:cs="仿宋"/>
          <w:color w:val="262626"/>
          <w:kern w:val="0"/>
          <w:sz w:val="32"/>
          <w:szCs w:val="32"/>
        </w:rPr>
        <w:t>十三、</w:t>
      </w:r>
      <w:r>
        <w:rPr>
          <w:rFonts w:hint="eastAsia" w:ascii="仿宋" w:hAnsi="仿宋" w:eastAsia="仿宋" w:cs="仿宋"/>
          <w:color w:val="333333"/>
          <w:kern w:val="0"/>
          <w:sz w:val="32"/>
          <w:szCs w:val="32"/>
        </w:rPr>
        <w:t>2021年区本级项目支出绩效目标表（另文下达）</w:t>
      </w:r>
    </w:p>
    <w:p>
      <w:pPr>
        <w:widowControl/>
        <w:autoSpaceDE w:val="0"/>
        <w:autoSpaceDN w:val="0"/>
        <w:adjustRightInd w:val="0"/>
        <w:jc w:val="left"/>
        <w:rPr>
          <w:rFonts w:ascii="仿宋" w:hAnsi="仿宋" w:eastAsia="仿宋" w:cs="仿宋"/>
          <w:color w:val="262626"/>
          <w:kern w:val="0"/>
          <w:sz w:val="32"/>
          <w:szCs w:val="32"/>
        </w:rPr>
      </w:pPr>
      <w:r>
        <w:rPr>
          <w:rFonts w:hint="eastAsia" w:ascii="仿宋" w:hAnsi="仿宋" w:eastAsia="仿宋" w:cs="仿宋"/>
          <w:color w:val="262626"/>
          <w:kern w:val="0"/>
          <w:sz w:val="32"/>
          <w:szCs w:val="32"/>
        </w:rPr>
        <w:t>十四、</w:t>
      </w:r>
      <w:r>
        <w:rPr>
          <w:rFonts w:hint="eastAsia" w:ascii="仿宋" w:hAnsi="仿宋" w:eastAsia="仿宋" w:cs="仿宋"/>
          <w:color w:val="333333"/>
          <w:kern w:val="0"/>
          <w:sz w:val="32"/>
          <w:szCs w:val="32"/>
        </w:rPr>
        <w:t>2021年区对下转移支付预算表</w:t>
      </w:r>
    </w:p>
    <w:p>
      <w:pPr>
        <w:widowControl/>
        <w:autoSpaceDE w:val="0"/>
        <w:autoSpaceDN w:val="0"/>
        <w:adjustRightInd w:val="0"/>
        <w:jc w:val="left"/>
        <w:rPr>
          <w:rFonts w:ascii="仿宋" w:hAnsi="仿宋" w:eastAsia="仿宋" w:cs="仿宋"/>
          <w:color w:val="262626"/>
          <w:kern w:val="0"/>
          <w:sz w:val="32"/>
          <w:szCs w:val="32"/>
        </w:rPr>
      </w:pPr>
      <w:r>
        <w:rPr>
          <w:rFonts w:hint="eastAsia" w:ascii="仿宋" w:hAnsi="仿宋" w:eastAsia="仿宋" w:cs="仿宋"/>
          <w:color w:val="262626"/>
          <w:kern w:val="0"/>
          <w:sz w:val="32"/>
          <w:szCs w:val="32"/>
        </w:rPr>
        <w:t>十五、</w:t>
      </w:r>
      <w:r>
        <w:rPr>
          <w:rFonts w:hint="eastAsia" w:ascii="仿宋" w:hAnsi="仿宋" w:eastAsia="仿宋" w:cs="仿宋"/>
          <w:color w:val="333333"/>
          <w:kern w:val="0"/>
          <w:sz w:val="32"/>
          <w:szCs w:val="32"/>
        </w:rPr>
        <w:t>2021年区对下转移支付绩效目标表</w:t>
      </w:r>
    </w:p>
    <w:p>
      <w:pPr>
        <w:widowControl/>
        <w:autoSpaceDE w:val="0"/>
        <w:autoSpaceDN w:val="0"/>
        <w:adjustRightInd w:val="0"/>
        <w:jc w:val="left"/>
        <w:rPr>
          <w:rFonts w:ascii="仿宋" w:hAnsi="仿宋" w:eastAsia="仿宋" w:cs="仿宋"/>
          <w:color w:val="262626"/>
          <w:kern w:val="0"/>
          <w:sz w:val="32"/>
          <w:szCs w:val="32"/>
        </w:rPr>
      </w:pPr>
      <w:r>
        <w:rPr>
          <w:rFonts w:hint="eastAsia" w:ascii="仿宋" w:hAnsi="仿宋" w:eastAsia="仿宋" w:cs="仿宋"/>
          <w:color w:val="262626"/>
          <w:kern w:val="0"/>
          <w:sz w:val="32"/>
          <w:szCs w:val="32"/>
        </w:rPr>
        <w:t>十六、</w:t>
      </w:r>
      <w:r>
        <w:rPr>
          <w:rFonts w:hint="eastAsia" w:ascii="仿宋" w:hAnsi="仿宋" w:eastAsia="仿宋" w:cs="仿宋"/>
          <w:color w:val="333333"/>
          <w:kern w:val="0"/>
          <w:sz w:val="32"/>
          <w:szCs w:val="32"/>
        </w:rPr>
        <w:t>2021年部门新增资产配置表</w:t>
      </w:r>
    </w:p>
    <w:p>
      <w:pPr>
        <w:widowControl/>
        <w:autoSpaceDE w:val="0"/>
        <w:autoSpaceDN w:val="0"/>
        <w:adjustRightInd w:val="0"/>
        <w:jc w:val="left"/>
        <w:rPr>
          <w:rFonts w:ascii="仿宋" w:hAnsi="仿宋" w:eastAsia="仿宋" w:cs="仿宋"/>
          <w:color w:val="333333"/>
          <w:kern w:val="0"/>
          <w:sz w:val="32"/>
          <w:szCs w:val="32"/>
        </w:rPr>
      </w:pPr>
      <w:r>
        <w:rPr>
          <w:rFonts w:hint="eastAsia" w:ascii="仿宋" w:hAnsi="仿宋" w:eastAsia="仿宋" w:cs="仿宋"/>
          <w:color w:val="262626"/>
          <w:kern w:val="0"/>
          <w:sz w:val="32"/>
          <w:szCs w:val="32"/>
        </w:rPr>
        <w:t>十七、</w:t>
      </w:r>
      <w:r>
        <w:rPr>
          <w:rFonts w:hint="eastAsia" w:ascii="仿宋" w:hAnsi="仿宋" w:eastAsia="仿宋" w:cs="仿宋"/>
          <w:color w:val="333333"/>
          <w:kern w:val="0"/>
          <w:sz w:val="32"/>
          <w:szCs w:val="32"/>
        </w:rPr>
        <w:t>2021年部门政府采购预算表</w:t>
      </w:r>
    </w:p>
    <w:p>
      <w:pPr>
        <w:widowControl/>
        <w:autoSpaceDE w:val="0"/>
        <w:autoSpaceDN w:val="0"/>
        <w:adjustRightInd w:val="0"/>
        <w:jc w:val="left"/>
        <w:rPr>
          <w:rFonts w:ascii="仿宋" w:hAnsi="仿宋" w:eastAsia="仿宋" w:cs="仿宋"/>
          <w:color w:val="333333"/>
          <w:kern w:val="0"/>
          <w:sz w:val="32"/>
          <w:szCs w:val="32"/>
        </w:rPr>
      </w:pPr>
      <w:r>
        <w:rPr>
          <w:rFonts w:hint="eastAsia" w:ascii="仿宋" w:hAnsi="仿宋" w:eastAsia="仿宋" w:cs="仿宋"/>
          <w:color w:val="262626"/>
          <w:kern w:val="0"/>
          <w:sz w:val="32"/>
          <w:szCs w:val="32"/>
        </w:rPr>
        <w:t>十八、</w:t>
      </w:r>
      <w:r>
        <w:rPr>
          <w:rFonts w:hint="eastAsia" w:ascii="仿宋" w:hAnsi="仿宋" w:eastAsia="仿宋" w:cs="仿宋"/>
          <w:color w:val="333333"/>
          <w:kern w:val="0"/>
          <w:sz w:val="32"/>
          <w:szCs w:val="32"/>
        </w:rPr>
        <w:t>2021年部门政府购买服务预算表</w:t>
      </w:r>
    </w:p>
    <w:p>
      <w:pPr>
        <w:widowControl/>
        <w:autoSpaceDE w:val="0"/>
        <w:autoSpaceDN w:val="0"/>
        <w:adjustRightInd w:val="0"/>
        <w:jc w:val="left"/>
        <w:rPr>
          <w:rFonts w:ascii="仿宋" w:hAnsi="仿宋" w:eastAsia="仿宋" w:cs="仿宋"/>
          <w:color w:val="333333"/>
          <w:kern w:val="0"/>
          <w:sz w:val="32"/>
          <w:szCs w:val="32"/>
        </w:rPr>
      </w:pPr>
      <w:r>
        <w:rPr>
          <w:rFonts w:hint="eastAsia" w:ascii="仿宋" w:hAnsi="仿宋" w:eastAsia="仿宋" w:cs="仿宋"/>
          <w:color w:val="262626"/>
          <w:kern w:val="0"/>
          <w:sz w:val="32"/>
          <w:szCs w:val="32"/>
        </w:rPr>
        <w:t>十九、</w:t>
      </w:r>
      <w:r>
        <w:rPr>
          <w:rFonts w:hint="eastAsia" w:ascii="仿宋" w:hAnsi="仿宋" w:eastAsia="仿宋" w:cs="仿宋"/>
          <w:color w:val="333333"/>
          <w:kern w:val="0"/>
          <w:sz w:val="32"/>
          <w:szCs w:val="32"/>
        </w:rPr>
        <w:t>2021年部门整体支出绩效目标表</w:t>
      </w:r>
    </w:p>
    <w:p>
      <w:pPr>
        <w:widowControl/>
        <w:autoSpaceDE w:val="0"/>
        <w:autoSpaceDN w:val="0"/>
        <w:adjustRightInd w:val="0"/>
        <w:jc w:val="left"/>
        <w:rPr>
          <w:rFonts w:ascii="仿宋" w:hAnsi="仿宋" w:eastAsia="仿宋" w:cs="仿宋"/>
          <w:color w:val="333333"/>
          <w:kern w:val="0"/>
          <w:sz w:val="32"/>
          <w:szCs w:val="32"/>
        </w:rPr>
      </w:pPr>
      <w:r>
        <w:rPr>
          <w:rFonts w:hint="eastAsia" w:ascii="仿宋" w:hAnsi="仿宋" w:eastAsia="仿宋" w:cs="仿宋"/>
          <w:color w:val="262626"/>
          <w:kern w:val="0"/>
          <w:sz w:val="32"/>
          <w:szCs w:val="32"/>
        </w:rPr>
        <w:t>二十、</w:t>
      </w:r>
      <w:r>
        <w:rPr>
          <w:rFonts w:hint="eastAsia" w:ascii="仿宋" w:hAnsi="仿宋" w:eastAsia="仿宋" w:cs="仿宋"/>
          <w:color w:val="333333"/>
          <w:kern w:val="0"/>
          <w:sz w:val="32"/>
          <w:szCs w:val="32"/>
        </w:rPr>
        <w:t>2021年部门基本信息表</w:t>
      </w:r>
    </w:p>
    <w:p>
      <w:pPr>
        <w:widowControl/>
        <w:autoSpaceDE w:val="0"/>
        <w:autoSpaceDN w:val="0"/>
        <w:adjustRightInd w:val="0"/>
        <w:jc w:val="left"/>
        <w:rPr>
          <w:rFonts w:ascii="仿宋" w:hAnsi="仿宋" w:eastAsia="仿宋" w:cs="仿宋"/>
          <w:color w:val="333333"/>
          <w:kern w:val="0"/>
          <w:sz w:val="32"/>
          <w:szCs w:val="32"/>
        </w:rPr>
      </w:pPr>
      <w:r>
        <w:rPr>
          <w:rFonts w:hint="eastAsia" w:ascii="仿宋" w:hAnsi="仿宋" w:eastAsia="仿宋" w:cs="仿宋"/>
          <w:color w:val="262626"/>
          <w:kern w:val="0"/>
          <w:sz w:val="32"/>
          <w:szCs w:val="32"/>
        </w:rPr>
        <w:t>二十一、</w:t>
      </w:r>
      <w:r>
        <w:rPr>
          <w:rFonts w:hint="eastAsia" w:ascii="仿宋" w:hAnsi="仿宋" w:eastAsia="仿宋" w:cs="仿宋"/>
          <w:color w:val="333333"/>
          <w:kern w:val="0"/>
          <w:sz w:val="32"/>
          <w:szCs w:val="32"/>
        </w:rPr>
        <w:t>2021年行政事业单位国有资产占用使用情况表</w:t>
      </w: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jc w:val="left"/>
        <w:rPr>
          <w:rFonts w:ascii="仿宋" w:hAnsi="仿宋" w:eastAsia="仿宋" w:cs="仿宋"/>
          <w:color w:val="333333"/>
          <w:kern w:val="0"/>
          <w:sz w:val="32"/>
          <w:szCs w:val="32"/>
        </w:rPr>
      </w:pPr>
    </w:p>
    <w:p>
      <w:pPr>
        <w:widowControl/>
        <w:autoSpaceDE w:val="0"/>
        <w:autoSpaceDN w:val="0"/>
        <w:adjustRightInd w:val="0"/>
        <w:ind w:firstLine="1320" w:firstLineChars="300"/>
        <w:rPr>
          <w:rFonts w:ascii="仿宋" w:hAnsi="仿宋" w:eastAsia="仿宋" w:cs="仿宋"/>
          <w:color w:val="262626"/>
          <w:kern w:val="0"/>
          <w:sz w:val="44"/>
          <w:szCs w:val="44"/>
        </w:rPr>
      </w:pPr>
      <w:r>
        <w:rPr>
          <w:rFonts w:hint="eastAsia" w:ascii="仿宋" w:hAnsi="仿宋" w:eastAsia="仿宋" w:cs="仿宋"/>
          <w:color w:val="262626"/>
          <w:kern w:val="0"/>
          <w:sz w:val="44"/>
          <w:szCs w:val="44"/>
        </w:rPr>
        <w:t>中共昆明市盘龙区委政法委员会</w:t>
      </w:r>
    </w:p>
    <w:p>
      <w:pPr>
        <w:widowControl/>
        <w:autoSpaceDE w:val="0"/>
        <w:autoSpaceDN w:val="0"/>
        <w:adjustRightInd w:val="0"/>
        <w:jc w:val="center"/>
        <w:rPr>
          <w:rFonts w:ascii="仿宋" w:hAnsi="仿宋" w:eastAsia="仿宋" w:cs="仿宋"/>
          <w:color w:val="262626"/>
          <w:kern w:val="0"/>
          <w:sz w:val="44"/>
          <w:szCs w:val="44"/>
        </w:rPr>
      </w:pPr>
      <w:r>
        <w:rPr>
          <w:rFonts w:hint="eastAsia" w:ascii="仿宋" w:hAnsi="仿宋" w:eastAsia="仿宋" w:cs="仿宋"/>
          <w:color w:val="262626"/>
          <w:kern w:val="0"/>
          <w:sz w:val="44"/>
          <w:szCs w:val="44"/>
        </w:rPr>
        <w:t>2021年部门预算编制说明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一、基本职能及主要工作</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（一）部门主要职责</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执行党的路线方针政策和党中央重大决策部署，坚持党对政法工作的绝对领导，坚决维护党中央权威和集中统一领导。</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贯彻党中央以及省委、市委、区委工作要求，研究协调政法单位之间、政法单位和有关部门、地方之间有关重大事项，统一政法单位思想和行动。</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深入贯彻党中央和省、市、区委决定，对全区政法工作研究提出全局性部署，推进平安盘龙、法治盘龙建设，加强过硬队伍建设，深化智能化建设。维护国家政治安全、确保社会大局稳定、促进社会公平正义、保障人民安居乐业。</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4</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了解掌握和分析社会形势、政法工作情况动态，完善多部门参与的工作机制，协调应对和处理的工作机制。</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5</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加强对政法工作的督查，统筹协调有关国家法律法规和政策的实施工作。</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6</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组织开展政法领域重大实践和理论问题调查研究，提出重大决策部署和改革措施的意见和建议，协助区委决策和统筹推进政法改革等各项工作。</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7</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支持和监督政法单位依法行使职权，检查政法单位执行党的路线方针政策、党中央重大决策部署和国家法律法规的情况，指导和协调政法单位密切配合，推进严格执法、公正司法。</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8</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指导和推动政法单位党的建设和政法队伍建设，协助党委和纪检监察机关做好监督检查、审查调查工作。开展政治督察、政治轮训、纪律作风督查巡查。</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9</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落实中央和省、市、区委全面依法治国等领导机构的决策部署，支持配合其办事机构工作；指导政法单位加强法治盘龙建设等重大问题研究；指导和协调政法单位执法司法等相关工作。</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10</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掌握分析政法舆情动态，指导和协调政法部门媒体网络宣传工作，指导政法部门做好涉及政法工作的重大宣传工作。</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11</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完成区委和上级部门交办的其他任务。</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（二）机构设置情况</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62626"/>
          <w:kern w:val="0"/>
          <w:sz w:val="32"/>
          <w:szCs w:val="32"/>
        </w:rPr>
        <w:t>盘龙区委政法委员会设办公室、政策研究室、执法监督室、政治安全科等8个内设科室，并设政治部共9个部门。</w:t>
      </w:r>
      <w:r>
        <w:rPr>
          <w:rFonts w:hint="eastAsia" w:ascii="仿宋_GB2312" w:hAnsi="仿宋_GB2312" w:eastAsia="仿宋_GB2312" w:cs="仿宋_GB2312"/>
          <w:sz w:val="32"/>
          <w:szCs w:val="32"/>
        </w:rPr>
        <w:t>（涉密部分在此不作说明）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（三）重点工作概述</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重点工作有对全区政法部门的指导监督协调、社会治安综合治理、维护社会稳定、执法监督等工作。（涉密工作在此不作说明）。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二、预算单位基本情况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编制2021年部门预算单位共1个,分别是盘龙区委政法委员会。其中：财政全供给单位1个；部分供给单位0个；特殊供给单位0个；自收自支单位0个。财政全供给单位中行政单位1个；参公管理事业单位0个；非参公管理事业单位0个。截止2020年12月统计，部门基本情况如下：</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在职人员编制17人，其中：行政编制 17人（含行政工勤编1人），事业编制0人。在职实有15人，其中： 财政全供养 15人，财政部分供养0人，非财政供养0人。</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离退休人员7人，其中： 离休 0人，退休 7人。</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车辆编制1辆，实有车辆1辆。</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三、预算单位收入情况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（一）部门财务收入情况</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2021年部门财务总收811.14万元，其中：一般公共预算财政拨款811.14万元，政府性基金预算财政拨款0.00万元，国有资本经营预算财政拨款0.00万元，事业收入0.00万元，事业单位经营收入0.00万元，其他收入0.00万元，上年结转0.00万元。</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与上年对比减少116.45万元，主要原因是：2021年区财政政策性调减项目经费。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（二）财政拨款收入情况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2021年部门财政拨款收入811.14万元，其中:本年收入811.14万元，上年结转收入0.00万元。本年收入中，一般公共预算财政拨款811.14万元（本级财力811.14万元，专项收入0.00万元，执法办案补助0.00万元，收费成本补偿0.00万元，财政专户管理的收入0.00万元，国有资源（资产）有偿使用收入0.00万元），政府性基金财政拨款0.00万元，国有资本经营预算财政拨款0.00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与上年对比减少116.45万元，主要原因是：2021年区财政政策性调减项目经费。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四、预算单位支出情况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2021年部门预算总支出811.14万元。本级财力安排支出811.14万元，其中，基本支出365.99万元，与上年对比增加0.4万元，</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262626"/>
          <w:kern w:val="0"/>
          <w:sz w:val="32"/>
          <w:szCs w:val="32"/>
        </w:rPr>
        <w:t>在职人员变动，核加2021年人员经费等基本支出；项目支出445.15万元，与上年对比减少116.85万元，</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262626"/>
          <w:kern w:val="0"/>
          <w:sz w:val="32"/>
          <w:szCs w:val="32"/>
        </w:rPr>
        <w:t>2021年项目经费区财政政策性调减。</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（一）财政拨款安排支出按功能科目分类情况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按支出功能科目分类，支出分别列：</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201（类）－36（款）其他共产党事务支出”金额732.38万元，其中：“201（类）－36（款）－01（项）行政运行支出”287.23万元，主要用于保障机关人员工资及日常办公支出；“201（类）－36（款）－99（项）其他共产党事务支出”445.15万元，主要用于区委政法委专项工作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“208（类）－05（款）机关事业单位基本养老保险缴费支出”金额26.01万元，主要用于保障机关在职人员缴纳社会保险费。其中：“208（类）－05（款）－05（项）机关事业单位基本养老保险缴费支出”26.01万元。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210（类）－11（款）行政事业单位医疗”金额27.35万元，主要用于缴纳在职人员医疗保险等支出。其中：“210（类）－11（款）－01（项）行政单位医疗”16.96万元，“210（类）－11（款）－03（项）公务员医疗补助”10.39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4</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“221（类）－02（款）住房改革支出”金额25.4万元，其中：“221（类）－02（款）－01（项）住房公积金”25.4万元，主要用于缴纳在职人员住房公积金支出。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（二）财政拨款安排支出按经济科目分类情况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按经济科目分类，支出分别为（基本支出365.99万元，项目支出445.15万元）。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“301（类）工资福利支出”，主要反映我部门在职职工各类工资报酬支出，以及为上述人员缴纳的各项社会保险费等，金额331.85万元，具体支出如下：</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（1）“301（类）－01（款），工资福利支出－基本工资”金额69.55万元，主要反映我部门在职人员按照规定发放的基本工资，包括公务员的职务工资、级别工资；机关工人的岗位工资、技术等级工资。</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301（类）－02（款），工资福利支出－津贴补贴”金额120.45万元，主要反映我部门在职人员按规定发放的津贴、补贴，包括工作性津贴、生活性补贴、地区附加津贴、岗位津贴，机关事业单位艰苦边远地区津贴，事业单位工作人员特殊岗位津贴补贴等。</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（3）“301（类）－03（款），工资福利支出－奖金”金额62.79万元，主要反映我部门在职人员按规定发放的奖金，包括机关工作人员年终一次性奖金、目标奖、文明单位奖。</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（4）“301（类）－08（款），工资福利支出－机关事业单位基本养老保险缴费”金额26.01万元，主要反映我部门为职工缴纳的基本养老保险费。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5）“301（类）－10（款），工资福利支出－职工基本医疗保险缴费”金额16.96万元，主要反映我部门为职工缴纳的基本医疗保险费。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（6）“301（类）－11（款），工资福利支出－公务员医疗补助缴费”金额10.39万元，主要反映按规定可享受公务员医疗补助单位为职工缴纳的公务员医疗补助费。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（7）“301（类）－12（款），工资福利支出－其他社会保障缴费”金额0.3万元，主要反映我部门为职工缴纳的失业、工伤、生育、大病统筹等社会保险费，残疾人就业保障金。</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（8）“301（类）－13（款），工资福利支出－住房公积金”金额25.4万元，主要反映我部门按规定为职工缴纳的住房公积金。</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“302（类）商品和服务支出”，主要反映我部门购买商品和服务的支出，不包括用于购置固定资产、战略性和应急性物资储备等资本性支出，金额479.29万元，具体支出如下：</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（1）“302（类）－01（款），商品和服务支出－办公费”金额315.05万元，主要反映单位购买日常办公用品、书报杂志支出和专项工作支出。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（2）“302（类）－02（款），商品和服务支出－印刷费”金额35.2万元，主要反映单位宣传材料、资料印刷费支出。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（3）“302（类）－03（款），商品和服务支出－咨询费”金额15.00万元，主要反映单位法律法规专家咨询费支出。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（4）“302（类）－05（款），商品和服务支出－水费”金额0.8万元，主要反映单位饮用水费支出。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（5）“302（类）－11（款），商品和服务支出－差旅费”金额8.50万元，主要反映单位工作人员国（境）内出差发生的城市间交通费、住宿费、伙食补助费和市内交通费。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（6）“302（类）－13（款），商品和服务支出－维修（护）费”金额4.00万元，主要反映单位部门专用设备、办公设备维修维护费支出。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（7）“302（类）－16（款），商品和服务支出－培训费”金额44.10万元，主要反映国（境）内的培训支出，包括在培训期间发生的师资费、住宿费、伙食费、培训场地费、培训资料费、交通费等各类培训费用。</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（8）“302（类）－17（款），商品和服务支出－公务接待费”金额3.00万元，主要反映单位因公接待支出。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（9）“302（类）－26（款），商品和服务支出－劳务费”金额11.3万元，主要反映单位因工作需要使用劳务人员费用支出。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（10）“302（类）－27（款），商品和服务支出－委托业务费”金额18.00万元，主要反映单位委托第三方配合工作费用支出。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（11） “302（类）－29（款），商品和服务支出－福利费”金额6.18万元，主要反映单位按规定提取的职工福利费。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（12）“302（类）－31（款），商品和服务支出－公务用车运行维护费”金额2.20万元，主要反映单位按规定保留的公务用车燃料费、维修费、过桥过路费、保险费等支出。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（13）“302（类）－39（款），商品和服务支出－其他交通费用”金额15.54万元，主要反映单位除公务用车运行维护费以外的其他交通费用。如公务交通补贴费用。</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14）“302（类）－99（款），商品和服务支出－其他商品和服务支出”金额0.42万元，主要反映无法归属科目的日常公用支出及项目支出。如：补助经费、诉讼费、国内组织的会员费、来访费、广告宣传费以及离休人员特需费、离退休人员公用经费等。</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“303（类）对个人和家庭的补助”支出，主要反映政府用于对个人和家庭的补助支出，金额为0.00万元。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五、区对下专项转移支付情况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（一）列入区对下专项转移支付项目清单项目情况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部门列入区对下专项转移项目清单项目为0项，金额0.00万元。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（二）与中央配套事项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我部门不涉及与中央配套事项。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（三）按既定政策标准测算补助事项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我部门不涉及按既定政策标准测算补助事项。</w:t>
      </w:r>
    </w:p>
    <w:p>
      <w:pPr>
        <w:keepNext w:val="0"/>
        <w:keepLines w:val="0"/>
        <w:pageBreakBefore w:val="0"/>
        <w:widowControl/>
        <w:numPr>
          <w:ilvl w:val="0"/>
          <w:numId w:val="1"/>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经济社会事业发展事项</w:t>
      </w:r>
    </w:p>
    <w:p>
      <w:pPr>
        <w:keepNext w:val="0"/>
        <w:keepLines w:val="0"/>
        <w:pageBreakBefore w:val="0"/>
        <w:widowControl/>
        <w:numPr>
          <w:numId w:val="0"/>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我部门不涉及经济社会事业发展事项。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六、政府采购预算情况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2021年盘龙区委政法委员会无政府采购预算。</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七、部门“三公”经费增减变化情况及原因说明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我部门2021年一般公共预算财政拨款“三公”经费预算合计5.20万元，较上年减少1.00万元，下降16.13%，具体变动情况如下：</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（一）因公出国（境）费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我部门2021年因公出国（境）费预算为0.00万元，较上年减少0.00万元，下降0.00%，共计安排因公出国（境）团组0个，因公出国（境）0人次。</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（二）公务接待费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我部门2021年公务接待费预算为3.00万元，较上年减少1.00万元，下降25%，国内公务接待预计批次为12次，预计接待300人次。</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 w:hAnsi="仿宋" w:eastAsia="仿宋" w:cs="仿宋"/>
          <w:kern w:val="0"/>
          <w:sz w:val="32"/>
          <w:szCs w:val="32"/>
        </w:rPr>
        <w:t>主要原因是</w:t>
      </w:r>
      <w:r>
        <w:rPr>
          <w:rFonts w:hint="eastAsia" w:ascii="仿宋_GB2312" w:hAnsi="仿宋_GB2312" w:eastAsia="仿宋_GB2312" w:cs="仿宋_GB2312"/>
          <w:color w:val="262626"/>
          <w:kern w:val="0"/>
          <w:sz w:val="32"/>
          <w:szCs w:val="32"/>
        </w:rPr>
        <w:t>：根据《云南省财政厅关于进一步从严控制“三公”经费的通知》（云财行〔2019〕290号）文件要求，我部门在2020年年初预算基础上对“三公”经费按比例进行了压缩，2021年我部门将严格执行《党政机关厉行节约反对浪费条例》以及中央和省市相关规定，进一步降低公务活动成本，严肃财经纪律。</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（三）公务用车购置及运行维护费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2021年公务用车购置及运行维护费为2.20万元，较上年增减0.00万元，增长0.00%。其中：公务用车购置费0.00万元，较上年增加0万元，增长0.00%；公务用车运行维护费2.20万元，较上年增加0.00万元，增长0.00%。共计购置公务用车0辆，年末公务用车保有量为1辆。</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 w:hAnsi="仿宋" w:eastAsia="仿宋" w:cs="仿宋"/>
          <w:kern w:val="0"/>
          <w:sz w:val="32"/>
          <w:szCs w:val="32"/>
        </w:rPr>
        <w:t>主要原因是</w:t>
      </w:r>
      <w:r>
        <w:rPr>
          <w:rFonts w:hint="eastAsia" w:ascii="仿宋_GB2312" w:hAnsi="仿宋_GB2312" w:eastAsia="仿宋_GB2312" w:cs="仿宋_GB2312"/>
          <w:color w:val="262626"/>
          <w:kern w:val="0"/>
          <w:sz w:val="32"/>
          <w:szCs w:val="32"/>
        </w:rPr>
        <w:t>：</w:t>
      </w:r>
      <w:r>
        <w:rPr>
          <w:rFonts w:hint="eastAsia" w:ascii="仿宋_GB2312" w:hAnsi="仿宋_GB2312" w:eastAsia="仿宋_GB2312" w:cs="仿宋_GB2312"/>
          <w:color w:val="262626"/>
          <w:kern w:val="0"/>
          <w:sz w:val="32"/>
          <w:szCs w:val="32"/>
          <w:lang w:eastAsia="zh-CN"/>
        </w:rPr>
        <w:t>与上年对此</w:t>
      </w:r>
      <w:r>
        <w:rPr>
          <w:rFonts w:hint="eastAsia" w:ascii="仿宋_GB2312" w:hAnsi="仿宋_GB2312" w:eastAsia="仿宋_GB2312" w:cs="仿宋_GB2312"/>
          <w:color w:val="262626"/>
          <w:kern w:val="0"/>
          <w:sz w:val="32"/>
          <w:szCs w:val="32"/>
        </w:rPr>
        <w:t>变化。</w:t>
      </w:r>
      <w:bookmarkStart w:id="0" w:name="_GoBack"/>
      <w:bookmarkEnd w:id="0"/>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八、重点项目预算绩效目标情况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涉密工作在此不作说明。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九、其他公开信息</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（一）专业名词解释</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财政拨款收入预算：指区财政当年拨付的资金预算。</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基本支出预算：指为保障机构正常运转、完成日常工作任务而发生的人员支出和公用支出。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“三公”经费:包括因公出国（境）费、公务用车购置及运行费和公务接待费。</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（1）因公出国（境）费，指单位工作人员公务出国（境）的住宿费、差旅费、伙食补助费、杂费、培训费等支出。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（2）公务用车购置及运行费，指单位公务用车购置费及租用费、燃料费、维修费、过路过桥费、保险费等支出，公务用车指用于履行公务的机动车辆，包括领导干部专车、一般公务用车和执法执勤用车。</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（3）公务接待费，指单位按规定开支的各类公务接待（含外宾接待）支出。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4</w:t>
      </w:r>
      <w:r>
        <w:rPr>
          <w:rFonts w:hint="eastAsia" w:ascii="仿宋_GB2312" w:hAnsi="仿宋_GB2312" w:eastAsia="仿宋_GB2312" w:cs="仿宋_GB2312"/>
          <w:color w:val="262626"/>
          <w:kern w:val="0"/>
          <w:sz w:val="32"/>
          <w:szCs w:val="32"/>
          <w:lang w:eastAsia="zh-CN"/>
        </w:rPr>
        <w:t>.</w:t>
      </w:r>
      <w:r>
        <w:rPr>
          <w:rFonts w:hint="eastAsia" w:ascii="仿宋_GB2312" w:hAnsi="仿宋_GB2312" w:eastAsia="仿宋_GB2312" w:cs="仿宋_GB2312"/>
          <w:color w:val="262626"/>
          <w:kern w:val="0"/>
          <w:sz w:val="32"/>
          <w:szCs w:val="32"/>
        </w:rPr>
        <w:t>机关运行经费预算：指为保障行政单位（含参照公务员法管理的事业单位）运行用于购买货物和服务的各项资金，包括办公及印刷费、邮电费、差旅费、会议费、福利费、日常维修费、一般设备购置费、公务用车运行维护费以及其他费用。</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（二）机关运行经费安排变化情况及原因说明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2021年本级财力安排机关运行经费34.14万元，主要用于办公经费、印刷费、水电费、汽燃费、办公设备购置等日常开支，以保证机构正常运转。整体比上年减少0.38万元，</w:t>
      </w: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262626"/>
          <w:kern w:val="0"/>
          <w:sz w:val="32"/>
          <w:szCs w:val="32"/>
        </w:rPr>
        <w:t>在职实有人数变动定额指标减少，机关运行经费随之减少。</w:t>
      </w:r>
    </w:p>
    <w:p>
      <w:pPr>
        <w:keepNext w:val="0"/>
        <w:keepLines w:val="0"/>
        <w:pageBreakBefore w:val="0"/>
        <w:widowControl/>
        <w:numPr>
          <w:ilvl w:val="0"/>
          <w:numId w:val="2"/>
        </w:numPr>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国有资产占有使用情况</w:t>
      </w:r>
    </w:p>
    <w:p>
      <w:pPr>
        <w:keepNext w:val="0"/>
        <w:keepLines w:val="0"/>
        <w:pageBreakBefore w:val="0"/>
        <w:widowControl/>
        <w:numPr>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我部门截至2020年12月31日的国有资产占有使用情况如下：</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lang w:eastAsia="zh-CN"/>
        </w:rPr>
      </w:pPr>
      <w:r>
        <w:rPr>
          <w:rFonts w:hint="eastAsia" w:ascii="仿宋_GB2312" w:hAnsi="仿宋_GB2312" w:eastAsia="仿宋_GB2312" w:cs="仿宋_GB2312"/>
          <w:color w:val="262626"/>
          <w:kern w:val="0"/>
          <w:sz w:val="32"/>
          <w:szCs w:val="32"/>
        </w:rPr>
        <w:t>2020年年末资产总额为：221.42万元；其中流动资产为171.75万元，占比77.57%；固定资产为45.73万元，占比20.65%；无形资产为3.94万元，占比1.78%。总资产较2019年年末减少100.89万元</w:t>
      </w:r>
      <w:r>
        <w:rPr>
          <w:rFonts w:hint="eastAsia" w:ascii="仿宋_GB2312" w:hAnsi="仿宋_GB2312" w:eastAsia="仿宋_GB2312" w:cs="仿宋_GB2312"/>
          <w:color w:val="262626"/>
          <w:kern w:val="0"/>
          <w:sz w:val="32"/>
          <w:szCs w:val="32"/>
          <w:lang w:eastAsia="zh-CN"/>
        </w:rPr>
        <w:t>。</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262626"/>
          <w:kern w:val="0"/>
          <w:sz w:val="32"/>
          <w:szCs w:val="32"/>
        </w:rPr>
        <w:t>我部门加大专项工作力度，促进经费执行进度，清理以往年度存量资金上缴国库。</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鉴于上述数据为快报数，相关数据需在完成2020年决算编制后才能统计汇总相关数据，因此，将在公开2020年度部门决算时一并公开部门截至2020年12月31日的国有资产占有使用情况。</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十、预算收支增减变化情况说明</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（一）基本支出预算变动的主要原因</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2021年本级财力安排基本支出365.99万元，与上年对比增加0.4万元。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262626"/>
          <w:kern w:val="0"/>
          <w:sz w:val="32"/>
          <w:szCs w:val="32"/>
        </w:rPr>
        <w:t>在职人员变动，核加2021年人员经费等基本支出。</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（二）项目支出预算变动的主要原因</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color w:val="262626"/>
          <w:kern w:val="0"/>
          <w:sz w:val="32"/>
          <w:szCs w:val="32"/>
        </w:rPr>
        <w:t>2021年本级财力安排项目支出445.15万元，与上年对比减少116.85万元。</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_GB2312" w:eastAsia="仿宋_GB2312" w:cs="仿宋_GB2312"/>
          <w:color w:val="262626"/>
          <w:kern w:val="0"/>
          <w:sz w:val="32"/>
          <w:szCs w:val="32"/>
        </w:rPr>
      </w:pPr>
      <w:r>
        <w:rPr>
          <w:rFonts w:hint="eastAsia" w:ascii="仿宋_GB2312" w:hAnsi="仿宋_GB2312" w:eastAsia="仿宋_GB2312" w:cs="仿宋_GB2312"/>
          <w:kern w:val="0"/>
          <w:sz w:val="32"/>
          <w:szCs w:val="32"/>
        </w:rPr>
        <w:t>主要原因是</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color w:val="262626"/>
          <w:kern w:val="0"/>
          <w:sz w:val="32"/>
          <w:szCs w:val="32"/>
        </w:rPr>
        <w:t>2021年项目经费政策性调减116.85万元。</w:t>
      </w:r>
    </w:p>
    <w:p>
      <w:pPr>
        <w:rPr>
          <w:rFonts w:ascii="仿宋" w:hAnsi="仿宋" w:eastAsia="仿宋" w:cs="仿宋"/>
        </w:rPr>
      </w:pPr>
    </w:p>
    <w:p>
      <w:pPr>
        <w:rPr>
          <w:rFonts w:ascii="仿宋" w:hAnsi="仿宋" w:eastAsia="仿宋" w:cs="仿宋"/>
          <w:b/>
          <w:sz w:val="36"/>
        </w:rPr>
      </w:pPr>
    </w:p>
    <w:p>
      <w:pPr>
        <w:rPr>
          <w:rFonts w:ascii="Arial" w:hAnsi="Arial" w:eastAsia="Arial" w:cs="Arial"/>
          <w:b/>
          <w:sz w:val="36"/>
        </w:rPr>
      </w:pPr>
      <w:r>
        <w:rPr>
          <w:rFonts w:ascii="Arial" w:hAnsi="Arial" w:eastAsia="Arial" w:cs="Arial"/>
          <w:b/>
          <w:sz w:val="36"/>
        </w:rPr>
        <w:t>监督索引号53010300121600111</w:t>
      </w:r>
    </w:p>
    <w:sectPr>
      <w:pgSz w:w="11900" w:h="16840"/>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ngXian">
    <w:altName w:val="Arial Unicode MS"/>
    <w:panose1 w:val="00000000000000000000"/>
    <w:charset w:val="86"/>
    <w:family w:val="auto"/>
    <w:pitch w:val="default"/>
    <w:sig w:usb0="00000000" w:usb1="00000000" w:usb2="00000016" w:usb3="00000000" w:csb0="0004000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DengXi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FB8EE"/>
    <w:multiLevelType w:val="singleLevel"/>
    <w:tmpl w:val="680FB8EE"/>
    <w:lvl w:ilvl="0" w:tentative="0">
      <w:start w:val="3"/>
      <w:numFmt w:val="chineseCounting"/>
      <w:suff w:val="nothing"/>
      <w:lvlText w:val="（%1）"/>
      <w:lvlJc w:val="left"/>
      <w:rPr>
        <w:rFonts w:hint="eastAsia"/>
      </w:rPr>
    </w:lvl>
  </w:abstractNum>
  <w:abstractNum w:abstractNumId="1">
    <w:nsid w:val="6A8A57FB"/>
    <w:multiLevelType w:val="singleLevel"/>
    <w:tmpl w:val="6A8A57FB"/>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601CE"/>
    <w:rsid w:val="00025800"/>
    <w:rsid w:val="00061819"/>
    <w:rsid w:val="000B5B59"/>
    <w:rsid w:val="000D1955"/>
    <w:rsid w:val="00153DD2"/>
    <w:rsid w:val="001601CE"/>
    <w:rsid w:val="00165643"/>
    <w:rsid w:val="00193604"/>
    <w:rsid w:val="001B55E8"/>
    <w:rsid w:val="001F791F"/>
    <w:rsid w:val="00293683"/>
    <w:rsid w:val="003122B6"/>
    <w:rsid w:val="003B1100"/>
    <w:rsid w:val="003D4A91"/>
    <w:rsid w:val="003E2212"/>
    <w:rsid w:val="003F18DC"/>
    <w:rsid w:val="00476198"/>
    <w:rsid w:val="004B132A"/>
    <w:rsid w:val="005069D3"/>
    <w:rsid w:val="005E51F2"/>
    <w:rsid w:val="0063053B"/>
    <w:rsid w:val="00683086"/>
    <w:rsid w:val="00683BA3"/>
    <w:rsid w:val="006A59B8"/>
    <w:rsid w:val="006B406D"/>
    <w:rsid w:val="006E59D2"/>
    <w:rsid w:val="006F59C1"/>
    <w:rsid w:val="007F4ED0"/>
    <w:rsid w:val="00861060"/>
    <w:rsid w:val="00896C5D"/>
    <w:rsid w:val="008B7668"/>
    <w:rsid w:val="008E086A"/>
    <w:rsid w:val="00915615"/>
    <w:rsid w:val="009D3B2F"/>
    <w:rsid w:val="009E35A5"/>
    <w:rsid w:val="00A07EC5"/>
    <w:rsid w:val="00A27409"/>
    <w:rsid w:val="00AE55AA"/>
    <w:rsid w:val="00B63304"/>
    <w:rsid w:val="00B756BF"/>
    <w:rsid w:val="00B821AA"/>
    <w:rsid w:val="00C67668"/>
    <w:rsid w:val="00CD65DE"/>
    <w:rsid w:val="00D115AC"/>
    <w:rsid w:val="00E36F7D"/>
    <w:rsid w:val="00EF6D31"/>
    <w:rsid w:val="00F704E3"/>
    <w:rsid w:val="00F91D68"/>
    <w:rsid w:val="0AD83F3D"/>
    <w:rsid w:val="26256020"/>
    <w:rsid w:val="380246C6"/>
    <w:rsid w:val="48F035B8"/>
    <w:rsid w:val="59AD181F"/>
    <w:rsid w:val="66F06917"/>
    <w:rsid w:val="69777E4C"/>
    <w:rsid w:val="6C3B09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5"/>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Times New Roman" w:hAnsi="Times New Roman" w:cs="Times New Roman"/>
      <w:kern w:val="0"/>
    </w:rPr>
  </w:style>
  <w:style w:type="character" w:styleId="9">
    <w:name w:val="Strong"/>
    <w:basedOn w:val="8"/>
    <w:qFormat/>
    <w:uiPriority w:val="22"/>
    <w:rPr>
      <w:b/>
      <w:bCs/>
    </w:rPr>
  </w:style>
  <w:style w:type="character" w:customStyle="1" w:styleId="10">
    <w:name w:val="标题 1 Char"/>
    <w:basedOn w:val="8"/>
    <w:link w:val="2"/>
    <w:qFormat/>
    <w:uiPriority w:val="9"/>
    <w:rPr>
      <w:rFonts w:ascii="Times New Roman" w:hAnsi="Times New Roman" w:cs="Times New Roman"/>
      <w:b/>
      <w:bCs/>
      <w:kern w:val="36"/>
      <w:sz w:val="48"/>
      <w:szCs w:val="48"/>
    </w:rPr>
  </w:style>
  <w:style w:type="character" w:customStyle="1" w:styleId="11">
    <w:name w:val="apple-converted-space"/>
    <w:basedOn w:val="8"/>
    <w:qFormat/>
    <w:uiPriority w:val="0"/>
  </w:style>
  <w:style w:type="character" w:customStyle="1" w:styleId="12">
    <w:name w:val="active"/>
    <w:basedOn w:val="8"/>
    <w:qFormat/>
    <w:uiPriority w:val="0"/>
  </w:style>
  <w:style w:type="character" w:customStyle="1" w:styleId="13">
    <w:name w:val="页眉 Char"/>
    <w:basedOn w:val="8"/>
    <w:link w:val="5"/>
    <w:semiHidden/>
    <w:qFormat/>
    <w:uiPriority w:val="99"/>
    <w:rPr>
      <w:sz w:val="18"/>
      <w:szCs w:val="18"/>
    </w:rPr>
  </w:style>
  <w:style w:type="character" w:customStyle="1" w:styleId="14">
    <w:name w:val="页脚 Char"/>
    <w:basedOn w:val="8"/>
    <w:link w:val="4"/>
    <w:semiHidden/>
    <w:qFormat/>
    <w:uiPriority w:val="99"/>
    <w:rPr>
      <w:sz w:val="18"/>
      <w:szCs w:val="18"/>
    </w:rPr>
  </w:style>
  <w:style w:type="character" w:customStyle="1" w:styleId="15">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1001</Words>
  <Characters>5710</Characters>
  <Lines>47</Lines>
  <Paragraphs>13</Paragraphs>
  <TotalTime>6</TotalTime>
  <ScaleCrop>false</ScaleCrop>
  <LinksUpToDate>false</LinksUpToDate>
  <CharactersWithSpaces>6698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2020-06-24T02:48:00Z</dcterms:created>
  <dc:creator>Microsoft Office 用户</dc:creator>
  <cp:lastModifiedBy>Administrator</cp:lastModifiedBy>
  <cp:lastPrinted>2020-06-28T06:43:00Z</cp:lastPrinted>
  <dcterms:modified xsi:type="dcterms:W3CDTF">2021-12-13T09:27:33Z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