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盘龙区住房和城乡建设局（本级）2020年度部门决算</w:t>
      </w:r>
    </w:p>
    <w:p>
      <w:pPr>
        <w:jc w:val="center"/>
        <w:rPr>
          <w:rFonts w:ascii="方正小标宋简体" w:hAnsi="方正小标宋简体" w:eastAsia="方正小标宋简体" w:cs="方正小标宋简体"/>
          <w:sz w:val="36"/>
          <w:szCs w:val="36"/>
          <w:highlight w:val="none"/>
        </w:rPr>
      </w:pPr>
    </w:p>
    <w:p>
      <w:pPr>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目录</w:t>
      </w:r>
    </w:p>
    <w:p>
      <w:pPr>
        <w:jc w:val="left"/>
        <w:rPr>
          <w:rFonts w:ascii="黑体" w:hAnsi="黑体" w:eastAsia="黑体"/>
          <w:sz w:val="30"/>
          <w:szCs w:val="30"/>
          <w:highlight w:val="none"/>
        </w:rPr>
      </w:pPr>
    </w:p>
    <w:p>
      <w:pPr>
        <w:jc w:val="left"/>
        <w:rPr>
          <w:rFonts w:ascii="黑体" w:hAnsi="黑体" w:eastAsia="黑体"/>
          <w:sz w:val="30"/>
          <w:szCs w:val="30"/>
          <w:highlight w:val="none"/>
        </w:rPr>
      </w:pPr>
      <w:r>
        <w:rPr>
          <w:rFonts w:hint="eastAsia" w:ascii="黑体" w:hAnsi="黑体" w:eastAsia="黑体"/>
          <w:sz w:val="30"/>
          <w:szCs w:val="30"/>
          <w:highlight w:val="none"/>
        </w:rPr>
        <w:t>第一部分  盘龙区住房和城乡建设局（本级）概况</w:t>
      </w:r>
    </w:p>
    <w:p>
      <w:pPr>
        <w:numPr>
          <w:ilvl w:val="0"/>
          <w:numId w:val="1"/>
        </w:numPr>
        <w:spacing w:line="240" w:lineRule="atLeast"/>
        <w:jc w:val="left"/>
        <w:rPr>
          <w:rFonts w:ascii="楷体" w:hAnsi="楷体" w:eastAsia="楷体"/>
          <w:sz w:val="30"/>
          <w:szCs w:val="30"/>
          <w:highlight w:val="none"/>
        </w:rPr>
      </w:pPr>
      <w:r>
        <w:rPr>
          <w:rFonts w:hint="eastAsia" w:ascii="楷体" w:hAnsi="楷体" w:eastAsia="楷体"/>
          <w:sz w:val="30"/>
          <w:szCs w:val="30"/>
          <w:highlight w:val="none"/>
        </w:rPr>
        <w:t>主要职能</w:t>
      </w:r>
    </w:p>
    <w:p>
      <w:pPr>
        <w:spacing w:line="240" w:lineRule="atLeast"/>
        <w:jc w:val="left"/>
        <w:rPr>
          <w:rFonts w:ascii="楷体" w:hAnsi="楷体" w:eastAsia="楷体"/>
          <w:sz w:val="30"/>
          <w:szCs w:val="30"/>
          <w:highlight w:val="none"/>
        </w:rPr>
      </w:pPr>
      <w:r>
        <w:rPr>
          <w:rFonts w:hint="eastAsia" w:ascii="楷体" w:hAnsi="楷体" w:eastAsia="楷体"/>
          <w:sz w:val="30"/>
          <w:szCs w:val="30"/>
          <w:highlight w:val="none"/>
        </w:rPr>
        <w:t>二、部门基本情况</w:t>
      </w:r>
    </w:p>
    <w:p>
      <w:pPr>
        <w:jc w:val="left"/>
        <w:rPr>
          <w:rFonts w:ascii="黑体" w:hAnsi="黑体" w:eastAsia="黑体"/>
          <w:sz w:val="30"/>
          <w:szCs w:val="30"/>
          <w:highlight w:val="none"/>
        </w:rPr>
      </w:pPr>
      <w:r>
        <w:rPr>
          <w:rFonts w:hint="eastAsia" w:ascii="黑体" w:hAnsi="黑体" w:eastAsia="黑体"/>
          <w:sz w:val="30"/>
          <w:szCs w:val="30"/>
          <w:highlight w:val="none"/>
        </w:rPr>
        <w:t>第二部分  2020年度部门决算表</w:t>
      </w:r>
    </w:p>
    <w:p>
      <w:pPr>
        <w:jc w:val="left"/>
        <w:rPr>
          <w:rFonts w:ascii="楷体" w:hAnsi="楷体" w:eastAsia="楷体"/>
          <w:sz w:val="30"/>
          <w:szCs w:val="30"/>
          <w:highlight w:val="none"/>
        </w:rPr>
      </w:pPr>
      <w:r>
        <w:rPr>
          <w:rFonts w:hint="eastAsia" w:ascii="楷体" w:hAnsi="楷体" w:eastAsia="楷体"/>
          <w:sz w:val="30"/>
          <w:szCs w:val="30"/>
          <w:highlight w:val="none"/>
        </w:rPr>
        <w:t>一、收入支出决算总表</w:t>
      </w:r>
    </w:p>
    <w:p>
      <w:pPr>
        <w:jc w:val="left"/>
        <w:rPr>
          <w:rFonts w:ascii="楷体" w:hAnsi="楷体" w:eastAsia="楷体"/>
          <w:sz w:val="30"/>
          <w:szCs w:val="30"/>
          <w:highlight w:val="none"/>
        </w:rPr>
      </w:pPr>
      <w:r>
        <w:rPr>
          <w:rFonts w:hint="eastAsia" w:ascii="楷体" w:hAnsi="楷体" w:eastAsia="楷体"/>
          <w:sz w:val="30"/>
          <w:szCs w:val="30"/>
          <w:highlight w:val="none"/>
        </w:rPr>
        <w:t>二、收入决算表</w:t>
      </w:r>
    </w:p>
    <w:p>
      <w:pPr>
        <w:jc w:val="left"/>
        <w:rPr>
          <w:rFonts w:ascii="楷体" w:hAnsi="楷体" w:eastAsia="楷体"/>
          <w:sz w:val="30"/>
          <w:szCs w:val="30"/>
          <w:highlight w:val="none"/>
        </w:rPr>
      </w:pPr>
      <w:r>
        <w:rPr>
          <w:rFonts w:hint="eastAsia" w:ascii="楷体" w:hAnsi="楷体" w:eastAsia="楷体"/>
          <w:sz w:val="30"/>
          <w:szCs w:val="30"/>
          <w:highlight w:val="none"/>
        </w:rPr>
        <w:t>三、支出决算表</w:t>
      </w:r>
    </w:p>
    <w:p>
      <w:pPr>
        <w:jc w:val="left"/>
        <w:rPr>
          <w:rFonts w:ascii="楷体" w:hAnsi="楷体" w:eastAsia="楷体"/>
          <w:sz w:val="30"/>
          <w:szCs w:val="30"/>
          <w:highlight w:val="none"/>
        </w:rPr>
      </w:pPr>
      <w:r>
        <w:rPr>
          <w:rFonts w:hint="eastAsia" w:ascii="楷体" w:hAnsi="楷体" w:eastAsia="楷体"/>
          <w:sz w:val="30"/>
          <w:szCs w:val="30"/>
          <w:highlight w:val="none"/>
        </w:rPr>
        <w:t>四、财政拨款收入支出决算总表</w:t>
      </w:r>
    </w:p>
    <w:p>
      <w:pPr>
        <w:jc w:val="left"/>
        <w:rPr>
          <w:rFonts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rPr>
          <w:rFonts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rPr>
          <w:rFonts w:ascii="楷体" w:hAnsi="楷体" w:eastAsia="楷体"/>
          <w:sz w:val="30"/>
          <w:szCs w:val="30"/>
          <w:highlight w:val="none"/>
        </w:rPr>
      </w:pPr>
      <w:r>
        <w:rPr>
          <w:rFonts w:hint="eastAsia" w:ascii="楷体" w:hAnsi="楷体" w:eastAsia="楷体"/>
          <w:sz w:val="30"/>
          <w:szCs w:val="30"/>
          <w:highlight w:val="none"/>
        </w:rPr>
        <w:t>七、政府性基金预算财政拨款收入支出决算表</w:t>
      </w:r>
    </w:p>
    <w:p>
      <w:pPr>
        <w:jc w:val="left"/>
        <w:rPr>
          <w:rFonts w:ascii="楷体" w:hAnsi="楷体" w:eastAsia="楷体"/>
          <w:sz w:val="30"/>
          <w:szCs w:val="30"/>
          <w:highlight w:val="none"/>
        </w:rPr>
      </w:pPr>
      <w:r>
        <w:rPr>
          <w:rFonts w:hint="eastAsia" w:ascii="楷体" w:hAnsi="楷体" w:eastAsia="楷体"/>
          <w:sz w:val="30"/>
          <w:szCs w:val="30"/>
          <w:highlight w:val="none"/>
        </w:rPr>
        <w:t>八、国有资本经营预算财政拨款收入支出决算表</w:t>
      </w:r>
    </w:p>
    <w:p>
      <w:pPr>
        <w:jc w:val="left"/>
        <w:rPr>
          <w:rFonts w:ascii="楷体" w:hAnsi="楷体" w:eastAsia="楷体"/>
          <w:sz w:val="30"/>
          <w:szCs w:val="30"/>
          <w:highlight w:val="none"/>
        </w:rPr>
      </w:pPr>
      <w:r>
        <w:rPr>
          <w:rFonts w:hint="eastAsia" w:ascii="楷体" w:hAnsi="楷体" w:eastAsia="楷体"/>
          <w:sz w:val="30"/>
          <w:szCs w:val="30"/>
          <w:highlight w:val="none"/>
        </w:rPr>
        <w:t>九、“三公”经费、行政参公单位机关运行经费情况表</w:t>
      </w:r>
    </w:p>
    <w:p>
      <w:pPr>
        <w:jc w:val="left"/>
        <w:rPr>
          <w:rFonts w:ascii="黑体" w:hAnsi="黑体" w:eastAsia="黑体"/>
          <w:sz w:val="30"/>
          <w:szCs w:val="30"/>
          <w:highlight w:val="none"/>
        </w:rPr>
      </w:pPr>
      <w:r>
        <w:rPr>
          <w:rFonts w:hint="eastAsia" w:ascii="黑体" w:hAnsi="黑体" w:eastAsia="黑体"/>
          <w:sz w:val="30"/>
          <w:szCs w:val="30"/>
          <w:highlight w:val="none"/>
        </w:rPr>
        <w:t>第三部分  2020年度部门决算情况说明</w:t>
      </w:r>
    </w:p>
    <w:p>
      <w:pPr>
        <w:jc w:val="left"/>
        <w:rPr>
          <w:rFonts w:ascii="楷体" w:hAnsi="楷体" w:eastAsia="楷体"/>
          <w:sz w:val="30"/>
          <w:szCs w:val="30"/>
          <w:highlight w:val="none"/>
        </w:rPr>
      </w:pPr>
      <w:r>
        <w:rPr>
          <w:rFonts w:hint="eastAsia" w:ascii="楷体" w:hAnsi="楷体" w:eastAsia="楷体"/>
          <w:sz w:val="30"/>
          <w:szCs w:val="30"/>
          <w:highlight w:val="none"/>
        </w:rPr>
        <w:t>一、收入决算情况说明</w:t>
      </w:r>
    </w:p>
    <w:p>
      <w:pPr>
        <w:jc w:val="left"/>
        <w:rPr>
          <w:rFonts w:ascii="楷体" w:hAnsi="楷体" w:eastAsia="楷体"/>
          <w:sz w:val="30"/>
          <w:szCs w:val="30"/>
          <w:highlight w:val="none"/>
        </w:rPr>
      </w:pPr>
      <w:r>
        <w:rPr>
          <w:rFonts w:hint="eastAsia" w:ascii="楷体" w:hAnsi="楷体" w:eastAsia="楷体"/>
          <w:sz w:val="30"/>
          <w:szCs w:val="30"/>
          <w:highlight w:val="none"/>
        </w:rPr>
        <w:t>二、支出决算情况说明</w:t>
      </w:r>
    </w:p>
    <w:p>
      <w:pPr>
        <w:jc w:val="left"/>
        <w:rPr>
          <w:rFonts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rPr>
          <w:rFonts w:ascii="楷体" w:hAnsi="楷体" w:eastAsia="楷体"/>
          <w:sz w:val="30"/>
          <w:szCs w:val="30"/>
          <w:highlight w:val="none"/>
        </w:rPr>
      </w:pPr>
      <w:r>
        <w:rPr>
          <w:rFonts w:hint="eastAsia" w:ascii="楷体" w:hAnsi="楷体" w:eastAsia="楷体"/>
          <w:sz w:val="30"/>
          <w:szCs w:val="30"/>
          <w:highlight w:val="none"/>
        </w:rPr>
        <w:t>四、一般公共预算财政拨款“三公”经费支出决算情况说明</w:t>
      </w:r>
    </w:p>
    <w:p>
      <w:pPr>
        <w:widowControl/>
        <w:snapToGrid w:val="0"/>
        <w:spacing w:before="100" w:after="100" w:line="360" w:lineRule="auto"/>
        <w:jc w:val="left"/>
        <w:rPr>
          <w:rFonts w:ascii="黑体" w:hAnsi="黑体" w:eastAsia="黑体"/>
          <w:sz w:val="30"/>
          <w:szCs w:val="30"/>
          <w:highlight w:val="none"/>
        </w:rPr>
      </w:pPr>
      <w:r>
        <w:rPr>
          <w:rFonts w:hint="eastAsia" w:ascii="黑体" w:hAnsi="黑体" w:eastAsia="黑体"/>
          <w:sz w:val="30"/>
          <w:szCs w:val="30"/>
          <w:highlight w:val="none"/>
        </w:rPr>
        <w:t>第四部分其他重要事项及相关口径情况说明</w:t>
      </w:r>
    </w:p>
    <w:p>
      <w:pPr>
        <w:jc w:val="left"/>
        <w:rPr>
          <w:rFonts w:ascii="楷体" w:hAnsi="楷体" w:eastAsia="楷体"/>
          <w:sz w:val="30"/>
          <w:szCs w:val="30"/>
          <w:highlight w:val="none"/>
        </w:rPr>
      </w:pPr>
      <w:r>
        <w:rPr>
          <w:rFonts w:hint="eastAsia" w:ascii="楷体" w:hAnsi="楷体" w:eastAsia="楷体"/>
          <w:sz w:val="30"/>
          <w:szCs w:val="30"/>
          <w:highlight w:val="none"/>
        </w:rPr>
        <w:t>一、机关运行经费支出情况</w:t>
      </w:r>
    </w:p>
    <w:p>
      <w:pPr>
        <w:jc w:val="left"/>
        <w:rPr>
          <w:rFonts w:ascii="楷体" w:hAnsi="楷体" w:eastAsia="楷体"/>
          <w:sz w:val="30"/>
          <w:szCs w:val="30"/>
          <w:highlight w:val="none"/>
        </w:rPr>
      </w:pPr>
      <w:r>
        <w:rPr>
          <w:rFonts w:hint="eastAsia" w:ascii="楷体" w:hAnsi="楷体" w:eastAsia="楷体"/>
          <w:sz w:val="30"/>
          <w:szCs w:val="30"/>
          <w:highlight w:val="none"/>
        </w:rPr>
        <w:t>二、国有资产占用情况</w:t>
      </w:r>
    </w:p>
    <w:p>
      <w:pPr>
        <w:jc w:val="left"/>
        <w:rPr>
          <w:rFonts w:ascii="楷体" w:hAnsi="楷体" w:eastAsia="楷体"/>
          <w:sz w:val="30"/>
          <w:szCs w:val="30"/>
          <w:highlight w:val="none"/>
        </w:rPr>
      </w:pPr>
      <w:r>
        <w:rPr>
          <w:rFonts w:hint="eastAsia" w:ascii="楷体" w:hAnsi="楷体" w:eastAsia="楷体"/>
          <w:sz w:val="30"/>
          <w:szCs w:val="30"/>
          <w:highlight w:val="none"/>
        </w:rPr>
        <w:t>三、政府采购支出情况</w:t>
      </w:r>
    </w:p>
    <w:p>
      <w:pPr>
        <w:jc w:val="left"/>
        <w:rPr>
          <w:rFonts w:ascii="楷体" w:hAnsi="楷体" w:eastAsia="楷体"/>
          <w:sz w:val="30"/>
          <w:szCs w:val="30"/>
          <w:highlight w:val="none"/>
        </w:rPr>
      </w:pPr>
      <w:r>
        <w:rPr>
          <w:rFonts w:hint="eastAsia" w:ascii="楷体" w:hAnsi="楷体" w:eastAsia="楷体"/>
          <w:sz w:val="30"/>
          <w:szCs w:val="30"/>
          <w:highlight w:val="none"/>
        </w:rPr>
        <w:t>四、部门绩效自评情况</w:t>
      </w:r>
    </w:p>
    <w:p>
      <w:pPr>
        <w:jc w:val="left"/>
        <w:rPr>
          <w:rFonts w:ascii="楷体" w:hAnsi="楷体" w:eastAsia="楷体"/>
          <w:sz w:val="30"/>
          <w:szCs w:val="30"/>
          <w:highlight w:val="none"/>
        </w:rPr>
      </w:pPr>
      <w:r>
        <w:rPr>
          <w:rFonts w:hint="eastAsia" w:ascii="楷体" w:hAnsi="楷体" w:eastAsia="楷体"/>
          <w:sz w:val="30"/>
          <w:szCs w:val="30"/>
          <w:highlight w:val="none"/>
        </w:rPr>
        <w:t>（一）部门整体支出绩效自评情况</w:t>
      </w:r>
    </w:p>
    <w:p>
      <w:pPr>
        <w:jc w:val="left"/>
        <w:rPr>
          <w:rFonts w:ascii="楷体" w:hAnsi="楷体" w:eastAsia="楷体"/>
          <w:sz w:val="30"/>
          <w:szCs w:val="30"/>
          <w:highlight w:val="none"/>
        </w:rPr>
      </w:pPr>
      <w:r>
        <w:rPr>
          <w:rFonts w:hint="eastAsia" w:ascii="楷体" w:hAnsi="楷体" w:eastAsia="楷体"/>
          <w:sz w:val="30"/>
          <w:szCs w:val="30"/>
          <w:highlight w:val="none"/>
        </w:rPr>
        <w:t>（二）部门整体支出绩效自评表</w:t>
      </w:r>
    </w:p>
    <w:p>
      <w:pPr>
        <w:jc w:val="left"/>
        <w:rPr>
          <w:rFonts w:ascii="楷体" w:hAnsi="楷体" w:eastAsia="楷体"/>
          <w:sz w:val="30"/>
          <w:szCs w:val="30"/>
          <w:highlight w:val="none"/>
        </w:rPr>
      </w:pPr>
      <w:r>
        <w:rPr>
          <w:rFonts w:hint="eastAsia" w:ascii="楷体" w:hAnsi="楷体" w:eastAsia="楷体"/>
          <w:sz w:val="30"/>
          <w:szCs w:val="30"/>
          <w:highlight w:val="none"/>
        </w:rPr>
        <w:t>（三）项目支出绩效自评表</w:t>
      </w:r>
    </w:p>
    <w:p>
      <w:pPr>
        <w:jc w:val="left"/>
        <w:rPr>
          <w:rFonts w:ascii="楷体" w:hAnsi="楷体" w:eastAsia="楷体"/>
          <w:sz w:val="30"/>
          <w:szCs w:val="30"/>
          <w:highlight w:val="none"/>
        </w:rPr>
      </w:pPr>
      <w:r>
        <w:rPr>
          <w:rFonts w:hint="eastAsia" w:ascii="楷体" w:hAnsi="楷体" w:eastAsia="楷体"/>
          <w:sz w:val="30"/>
          <w:szCs w:val="30"/>
          <w:highlight w:val="none"/>
        </w:rPr>
        <w:t>五、其他重要事项情况说明</w:t>
      </w:r>
    </w:p>
    <w:p>
      <w:pPr>
        <w:widowControl/>
        <w:snapToGrid w:val="0"/>
        <w:spacing w:before="100" w:after="100" w:line="360" w:lineRule="auto"/>
        <w:jc w:val="left"/>
        <w:rPr>
          <w:rFonts w:ascii="黑体" w:hAnsi="黑体" w:eastAsia="黑体"/>
          <w:sz w:val="30"/>
          <w:szCs w:val="30"/>
          <w:highlight w:val="none"/>
        </w:rPr>
      </w:pPr>
      <w:r>
        <w:rPr>
          <w:rFonts w:hint="eastAsia" w:ascii="黑体" w:hAnsi="黑体" w:eastAsia="黑体"/>
          <w:sz w:val="30"/>
          <w:szCs w:val="30"/>
          <w:highlight w:val="none"/>
        </w:rPr>
        <w:t>第五部分  名词解释</w:t>
      </w:r>
    </w:p>
    <w:p>
      <w:pPr>
        <w:jc w:val="center"/>
        <w:rPr>
          <w:rFonts w:ascii="黑体" w:hAnsi="黑体" w:eastAsia="黑体"/>
          <w:sz w:val="32"/>
          <w:szCs w:val="32"/>
          <w:highlight w:val="none"/>
        </w:rPr>
      </w:pPr>
    </w:p>
    <w:p>
      <w:pPr>
        <w:jc w:val="center"/>
        <w:rPr>
          <w:rFonts w:ascii="黑体" w:hAnsi="黑体" w:eastAsia="黑体"/>
          <w:sz w:val="32"/>
          <w:szCs w:val="32"/>
          <w:highlight w:val="none"/>
        </w:rPr>
      </w:pPr>
    </w:p>
    <w:p>
      <w:pPr>
        <w:jc w:val="center"/>
        <w:rPr>
          <w:rFonts w:ascii="黑体" w:hAnsi="黑体" w:eastAsia="黑体"/>
          <w:sz w:val="32"/>
          <w:szCs w:val="32"/>
          <w:highlight w:val="none"/>
        </w:rPr>
      </w:pPr>
    </w:p>
    <w:p>
      <w:pPr>
        <w:jc w:val="center"/>
        <w:rPr>
          <w:rFonts w:ascii="黑体" w:hAnsi="黑体" w:eastAsia="黑体"/>
          <w:sz w:val="32"/>
          <w:szCs w:val="32"/>
          <w:highlight w:val="none"/>
        </w:rPr>
      </w:pPr>
    </w:p>
    <w:p>
      <w:pPr>
        <w:jc w:val="center"/>
        <w:rPr>
          <w:rFonts w:ascii="黑体" w:hAnsi="黑体" w:eastAsia="黑体"/>
          <w:sz w:val="32"/>
          <w:szCs w:val="32"/>
          <w:highlight w:val="none"/>
        </w:rPr>
      </w:pPr>
    </w:p>
    <w:p>
      <w:pPr>
        <w:jc w:val="center"/>
        <w:rPr>
          <w:rFonts w:hint="eastAsia" w:ascii="黑体" w:hAnsi="黑体" w:eastAsia="黑体"/>
          <w:sz w:val="32"/>
          <w:szCs w:val="32"/>
          <w:highlight w:val="none"/>
        </w:rPr>
      </w:pPr>
    </w:p>
    <w:p>
      <w:pPr>
        <w:pStyle w:val="2"/>
        <w:rPr>
          <w:highlight w:val="none"/>
        </w:rPr>
      </w:pPr>
    </w:p>
    <w:p>
      <w:pPr>
        <w:rPr>
          <w:rFonts w:ascii="黑体" w:hAnsi="黑体" w:eastAsia="黑体"/>
          <w:sz w:val="32"/>
          <w:szCs w:val="32"/>
          <w:highlight w:val="none"/>
        </w:rPr>
      </w:pPr>
    </w:p>
    <w:p>
      <w:pPr>
        <w:jc w:val="center"/>
        <w:rPr>
          <w:rFonts w:ascii="黑体" w:hAnsi="黑体" w:eastAsia="黑体"/>
          <w:sz w:val="32"/>
          <w:szCs w:val="32"/>
          <w:highlight w:val="none"/>
        </w:rPr>
      </w:pPr>
      <w:r>
        <w:rPr>
          <w:rFonts w:hint="eastAsia" w:ascii="黑体" w:hAnsi="黑体" w:eastAsia="黑体"/>
          <w:sz w:val="32"/>
          <w:szCs w:val="32"/>
          <w:highlight w:val="none"/>
        </w:rPr>
        <w:t>第一部分  盘龙区住房和城乡建设局（本级）概况</w:t>
      </w:r>
    </w:p>
    <w:p>
      <w:pPr>
        <w:spacing w:line="600" w:lineRule="exact"/>
        <w:ind w:firstLine="600" w:firstLineChars="200"/>
        <w:rPr>
          <w:rFonts w:ascii="黑体" w:hAnsi="黑体" w:eastAsia="黑体"/>
          <w:sz w:val="30"/>
          <w:szCs w:val="30"/>
          <w:highlight w:val="none"/>
        </w:rPr>
      </w:pPr>
      <w:r>
        <w:rPr>
          <w:rFonts w:hint="eastAsia" w:ascii="黑体" w:hAnsi="黑体" w:eastAsia="黑体"/>
          <w:sz w:val="30"/>
          <w:szCs w:val="30"/>
          <w:highlight w:val="none"/>
        </w:rPr>
        <w:t>一、主要职能</w:t>
      </w:r>
    </w:p>
    <w:p>
      <w:pPr>
        <w:spacing w:line="600" w:lineRule="exact"/>
        <w:ind w:firstLine="600" w:firstLineChars="200"/>
        <w:rPr>
          <w:rFonts w:ascii="楷体" w:hAnsi="楷体" w:eastAsia="楷体"/>
          <w:bCs/>
          <w:sz w:val="30"/>
          <w:szCs w:val="30"/>
          <w:highlight w:val="none"/>
        </w:rPr>
      </w:pPr>
      <w:r>
        <w:rPr>
          <w:rFonts w:hint="eastAsia" w:ascii="楷体" w:hAnsi="楷体" w:eastAsia="楷体"/>
          <w:bCs/>
          <w:sz w:val="30"/>
          <w:szCs w:val="30"/>
          <w:highlight w:val="none"/>
        </w:rPr>
        <w:t>（一）主要职能</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1、贯彻执行国家和省、市有关住房和城乡建设事业的法律、法规、规章及方针、政策，研究拟定全区住房和城乡建设事业总体发展规划、产业政策及中长期规划，并指导实施。</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2、依据城市发展总体规划，平时组织开展人民防空建设，战时组织开展城市人民防空袭击斗争。负责人防工程维护管理，负责人防设施拆除迁移审批。</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3、按照区政府分工要求，负责编报辖区城市基础设施建设重点工作、重点建设项目年度建设计划并组织实施。负责辖区市政基础设施建设项目的管理、协调工作；负责政府工程项目的代建监督指导工作；指导辖区城市规划区域内道路桥梁维修养护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4、负责权限范围内辖区城市建筑业行业及市场、房地产业、物业服务业、房地产经纪的行业指导及监督管理工作。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5、负责拟定辖区保障性住房的发展规划、计划，并监督指导实施保障性住房建设管理工作；指导监督辖区直管公租房租赁管理工作；指导参与辖区住房制度改革工作及住房补贴发放工作。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6、贯彻落实中央、省、市有关村镇建设的法律、法规、政策，指导辖区内村镇建设、农村宜居住房建设管理工作；指导农村危房改造和地震安居工程建设任务；协助相关部门做好新农村建设工作指导和落实震后恢复重建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7、负责职责范围内工程建设项目的质量监督及安全生产地监督管理；负责区属建设工程施工工地现场管理；负责组织或协助建设项目质量、安全事故的调查处理；负责辖区房屋安全管理鉴定工作。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8、负责辖区建设事业科技进步、科技创新及推广工作；负责墙体改革，绿色建设和建筑节能、预拌商品混凝土及散装水泥的推广使用，指导及监督管理工作。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9、贯彻执行国家、省、市有关防震减灾法律、法规和规章，指导全区防震减灾工作。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10、负责辖区瓶装液化燃气供应站（点）许可证行政审批管理。</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11、承办区委、区政府和上级机关交办的其他事项。</w:t>
      </w:r>
    </w:p>
    <w:p>
      <w:pPr>
        <w:pStyle w:val="3"/>
        <w:adjustRightInd w:val="0"/>
        <w:snapToGrid w:val="0"/>
        <w:spacing w:before="93" w:line="600" w:lineRule="exact"/>
        <w:ind w:firstLine="630" w:firstLineChars="210"/>
        <w:rPr>
          <w:rFonts w:ascii="楷体" w:hAnsi="楷体" w:eastAsia="楷体"/>
          <w:bCs/>
          <w:szCs w:val="30"/>
          <w:highlight w:val="none"/>
        </w:rPr>
      </w:pPr>
      <w:r>
        <w:rPr>
          <w:rFonts w:hint="eastAsia" w:ascii="楷体" w:hAnsi="楷体" w:eastAsia="楷体"/>
          <w:bCs/>
          <w:szCs w:val="30"/>
          <w:highlight w:val="none"/>
        </w:rPr>
        <w:t>（二）2020年度重点工作任务介绍</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2020年度重点工作任务介绍如下：</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1、人防建设：组织开展人民防空建设，配合参与抢救、救灾和应对突发事件的有关工作。实施全区人民防空应急预案；实施9.18防空警报鸣放工作；会同有关部门有效监督管理人防应急救援工作所需设备，建立宣传人民防空法律、法规和方针政策，组织开展防空、防身以及自救互救科普知识和技能宣传教育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2、工程项目：新建匝道连接西北绕城高速立交，项目包括道路工程、桥涵工程、房建工程、排水工程、综合管线工程、交通工程、绿化工程和照明工程。分派相关的工作人员到项目实施地进行监督检查，确保项目的安全性与施工质量。</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3、保障性住房建设管理：每季度巡查，确保小区无乱搭乱建；无人为损坏房屋结构、公共设施、设备；及时预防和消除隐患，开展保障性住房动态复查工作，每季度对承租户进行一次核查，及时清退不符合承租条件的承租户，建立维修台账，对承租户反应的房屋维修问题及时修理。</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4、村镇建设：不定期组织相关人员进行实地考察，对村镇危房进行最直接的了解，并及时组织实施危旧房的修缮。</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5、防震减灾：组织全区地震应急志愿者队伍骨干队员参加昆明市防震减灾局组织的培训；对全区地震宏观联络员开展培训工作，开展防震应急的宣传，最大限度防御和减轻地震灾害，减少人员伤亡和地震损失。</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6、液化燃气：加大对各液化燃气储配（充装）站、供应站点的安全检查，及时查找安全隐患，杜绝安全事故的发生，实行安全检查,燃气供应站（点）日常安全巡检巡查、普查工作。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7、物业服务：认真做好针对物业的相关投诉、积极统计民办物业企业摸排情况、做好对物业企业物业服务价格备案的指导、积极配合街道开展相关工作。</w:t>
      </w:r>
    </w:p>
    <w:p>
      <w:pPr>
        <w:pStyle w:val="3"/>
        <w:adjustRightInd w:val="0"/>
        <w:snapToGrid w:val="0"/>
        <w:spacing w:before="93" w:line="600" w:lineRule="exact"/>
        <w:ind w:firstLine="630" w:firstLineChars="210"/>
        <w:rPr>
          <w:bCs/>
          <w:szCs w:val="30"/>
          <w:highlight w:val="none"/>
        </w:rPr>
      </w:pPr>
      <w:r>
        <w:rPr>
          <w:rFonts w:hint="eastAsia"/>
          <w:bCs/>
          <w:szCs w:val="30"/>
          <w:highlight w:val="none"/>
        </w:rPr>
        <w:t>8、人居环境：深入贯彻落实省、市提升城乡人居环境五年行动要求，抓好提升城乡人居环境工作机制落实，打造良好的人居环境，以建设“美丽春城”为目标，坚持城乡并重，加强属地管理，不断改善全市城乡人居环境，建设幸福宜居新昆明。</w:t>
      </w:r>
    </w:p>
    <w:p>
      <w:pPr>
        <w:spacing w:line="600" w:lineRule="exact"/>
        <w:ind w:firstLine="600" w:firstLineChars="200"/>
        <w:rPr>
          <w:rFonts w:ascii="黑体" w:hAnsi="黑体" w:eastAsia="黑体"/>
          <w:sz w:val="30"/>
          <w:szCs w:val="30"/>
          <w:highlight w:val="none"/>
        </w:rPr>
      </w:pPr>
      <w:r>
        <w:rPr>
          <w:rFonts w:hint="eastAsia" w:ascii="黑体" w:hAnsi="黑体" w:eastAsia="黑体"/>
          <w:sz w:val="30"/>
          <w:szCs w:val="30"/>
          <w:highlight w:val="none"/>
        </w:rPr>
        <w:t>二、部门基本情况</w:t>
      </w:r>
    </w:p>
    <w:p>
      <w:pPr>
        <w:spacing w:line="600" w:lineRule="exact"/>
        <w:ind w:firstLine="600" w:firstLineChars="200"/>
        <w:rPr>
          <w:rFonts w:ascii="楷体" w:hAnsi="楷体" w:eastAsia="楷体"/>
          <w:sz w:val="30"/>
          <w:szCs w:val="30"/>
          <w:highlight w:val="none"/>
        </w:rPr>
      </w:pPr>
      <w:r>
        <w:rPr>
          <w:rFonts w:hint="eastAsia" w:ascii="楷体" w:hAnsi="楷体" w:eastAsia="楷体"/>
          <w:sz w:val="30"/>
          <w:szCs w:val="30"/>
          <w:highlight w:val="none"/>
        </w:rPr>
        <w:t>（一）部门决算单位构成</w:t>
      </w:r>
    </w:p>
    <w:p>
      <w:pPr>
        <w:spacing w:line="600" w:lineRule="exact"/>
        <w:ind w:firstLine="600" w:firstLineChars="200"/>
        <w:rPr>
          <w:highlight w:val="none"/>
        </w:rPr>
      </w:pPr>
      <w:r>
        <w:rPr>
          <w:rFonts w:hint="eastAsia" w:ascii="仿宋_GB2312" w:eastAsia="仿宋_GB2312"/>
          <w:sz w:val="30"/>
          <w:szCs w:val="30"/>
          <w:highlight w:val="none"/>
        </w:rPr>
        <w:t>纳入盘龙区住房和城乡建设局（本级）2020年度部门决算编报的单位共6个。其中：行政单位1个，参照公务员法管理的事业单位</w:t>
      </w:r>
      <w:r>
        <w:rPr>
          <w:rFonts w:hint="eastAsia" w:ascii="仿宋_GB2312" w:eastAsia="仿宋_GB2312"/>
          <w:bCs/>
          <w:sz w:val="30"/>
          <w:szCs w:val="30"/>
          <w:highlight w:val="none"/>
        </w:rPr>
        <w:t>0</w:t>
      </w:r>
      <w:r>
        <w:rPr>
          <w:rFonts w:hint="eastAsia" w:ascii="仿宋_GB2312" w:eastAsia="仿宋_GB2312"/>
          <w:sz w:val="30"/>
          <w:szCs w:val="30"/>
          <w:highlight w:val="none"/>
        </w:rPr>
        <w:t>个，其他事业单位</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rPr>
        <w:t>个。分别是：</w:t>
      </w:r>
    </w:p>
    <w:p>
      <w:pPr>
        <w:numPr>
          <w:ilvl w:val="0"/>
          <w:numId w:val="2"/>
        </w:numPr>
        <w:spacing w:line="60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昆明市盘龙区住房和城乡建设局（本级）</w:t>
      </w:r>
    </w:p>
    <w:p>
      <w:pPr>
        <w:numPr>
          <w:ilvl w:val="0"/>
          <w:numId w:val="2"/>
        </w:numPr>
        <w:spacing w:line="60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盘龙区房屋安全鉴定和建设工程质量安全监督站</w:t>
      </w:r>
    </w:p>
    <w:p>
      <w:pPr>
        <w:spacing w:line="60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3.昆明市盘龙区建设工程定额站</w:t>
      </w:r>
    </w:p>
    <w:p>
      <w:pPr>
        <w:spacing w:line="60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4.昆明市盘龙区廉租住房建设管理处</w:t>
      </w:r>
    </w:p>
    <w:p>
      <w:pPr>
        <w:spacing w:line="600" w:lineRule="exact"/>
        <w:ind w:firstLine="450" w:firstLineChars="150"/>
        <w:rPr>
          <w:rFonts w:ascii="仿宋_GB2312" w:eastAsia="仿宋_GB2312"/>
          <w:sz w:val="30"/>
          <w:szCs w:val="30"/>
          <w:highlight w:val="none"/>
        </w:rPr>
      </w:pPr>
      <w:r>
        <w:rPr>
          <w:rFonts w:hint="eastAsia" w:ascii="仿宋_GB2312" w:eastAsia="仿宋_GB2312"/>
          <w:sz w:val="30"/>
          <w:szCs w:val="30"/>
          <w:highlight w:val="none"/>
        </w:rPr>
        <w:t xml:space="preserve"> 5.昆明市盘龙区防震减灾局</w:t>
      </w:r>
    </w:p>
    <w:p>
      <w:pPr>
        <w:spacing w:line="60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6.昆明市盘龙区保障性住房管理服务中心</w:t>
      </w:r>
    </w:p>
    <w:p>
      <w:pPr>
        <w:ind w:firstLine="600" w:firstLineChars="200"/>
        <w:rPr>
          <w:rFonts w:ascii="楷体" w:hAnsi="楷体" w:eastAsia="楷体"/>
          <w:sz w:val="30"/>
          <w:szCs w:val="30"/>
          <w:highlight w:val="none"/>
        </w:rPr>
      </w:pPr>
      <w:r>
        <w:rPr>
          <w:rFonts w:hint="eastAsia" w:ascii="楷体" w:hAnsi="楷体" w:eastAsia="楷体"/>
          <w:sz w:val="30"/>
          <w:szCs w:val="30"/>
          <w:highlight w:val="none"/>
        </w:rPr>
        <w:t xml:space="preserve">（二）部门人员和车辆的编制及实有情况 </w:t>
      </w:r>
    </w:p>
    <w:p>
      <w:pPr>
        <w:spacing w:line="600" w:lineRule="exact"/>
        <w:ind w:firstLine="600" w:firstLineChars="200"/>
        <w:rPr>
          <w:rFonts w:ascii="仿宋_GB2312" w:hAnsi="宋体" w:eastAsia="仿宋_GB2312" w:cs="Arial"/>
          <w:kern w:val="0"/>
          <w:sz w:val="30"/>
          <w:szCs w:val="30"/>
          <w:highlight w:val="none"/>
        </w:rPr>
      </w:pPr>
      <w:r>
        <w:rPr>
          <w:rFonts w:hint="eastAsia" w:ascii="仿宋_GB2312" w:eastAsia="仿宋_GB2312"/>
          <w:sz w:val="30"/>
          <w:szCs w:val="30"/>
          <w:highlight w:val="none"/>
        </w:rPr>
        <w:t>盘龙区住房和城乡建设局（本级）2020年末实有人员编制102</w:t>
      </w:r>
      <w:r>
        <w:rPr>
          <w:rFonts w:hint="eastAsia" w:ascii="仿宋_GB2312" w:hAnsi="宋体" w:eastAsia="仿宋_GB2312" w:cs="Arial"/>
          <w:kern w:val="0"/>
          <w:sz w:val="30"/>
          <w:szCs w:val="30"/>
          <w:highlight w:val="none"/>
        </w:rPr>
        <w:t>人。其中：行政编制</w:t>
      </w:r>
      <w:r>
        <w:rPr>
          <w:rFonts w:hint="eastAsia" w:ascii="仿宋_GB2312" w:eastAsia="仿宋_GB2312"/>
          <w:sz w:val="30"/>
          <w:szCs w:val="30"/>
          <w:highlight w:val="none"/>
        </w:rPr>
        <w:t>16</w:t>
      </w:r>
      <w:r>
        <w:rPr>
          <w:rFonts w:hint="eastAsia" w:ascii="仿宋_GB2312" w:hAnsi="宋体" w:eastAsia="仿宋_GB2312" w:cs="Arial"/>
          <w:kern w:val="0"/>
          <w:sz w:val="30"/>
          <w:szCs w:val="30"/>
          <w:highlight w:val="none"/>
        </w:rPr>
        <w:t>人（含行政工勤编制</w:t>
      </w:r>
      <w:r>
        <w:rPr>
          <w:rFonts w:hint="eastAsia" w:ascii="仿宋_GB2312" w:eastAsia="仿宋_GB2312"/>
          <w:sz w:val="30"/>
          <w:szCs w:val="30"/>
          <w:highlight w:val="none"/>
        </w:rPr>
        <w:t>2</w:t>
      </w:r>
      <w:r>
        <w:rPr>
          <w:rFonts w:hint="eastAsia" w:ascii="仿宋_GB2312" w:hAnsi="宋体" w:eastAsia="仿宋_GB2312" w:cs="Arial"/>
          <w:kern w:val="0"/>
          <w:sz w:val="30"/>
          <w:szCs w:val="30"/>
          <w:highlight w:val="none"/>
        </w:rPr>
        <w:t>人），事业编制</w:t>
      </w:r>
      <w:r>
        <w:rPr>
          <w:rFonts w:hint="eastAsia" w:ascii="仿宋_GB2312" w:eastAsia="仿宋_GB2312"/>
          <w:sz w:val="30"/>
          <w:szCs w:val="30"/>
          <w:highlight w:val="none"/>
        </w:rPr>
        <w:t>86</w:t>
      </w:r>
      <w:r>
        <w:rPr>
          <w:rFonts w:hint="eastAsia" w:ascii="仿宋_GB2312" w:hAnsi="宋体" w:eastAsia="仿宋_GB2312" w:cs="Arial"/>
          <w:kern w:val="0"/>
          <w:sz w:val="30"/>
          <w:szCs w:val="30"/>
          <w:highlight w:val="none"/>
        </w:rPr>
        <w:t>人（含参公管理事业编制</w:t>
      </w:r>
      <w:r>
        <w:rPr>
          <w:rFonts w:hint="eastAsia" w:ascii="仿宋_GB2312" w:eastAsia="仿宋_GB2312"/>
          <w:sz w:val="30"/>
          <w:szCs w:val="30"/>
          <w:highlight w:val="none"/>
        </w:rPr>
        <w:t>0</w:t>
      </w:r>
      <w:r>
        <w:rPr>
          <w:rFonts w:hint="eastAsia" w:ascii="仿宋_GB2312" w:hAnsi="宋体" w:eastAsia="仿宋_GB2312" w:cs="Arial"/>
          <w:kern w:val="0"/>
          <w:sz w:val="30"/>
          <w:szCs w:val="30"/>
          <w:highlight w:val="none"/>
        </w:rPr>
        <w:t>人）；在职在编实有行政人员</w:t>
      </w:r>
      <w:r>
        <w:rPr>
          <w:rFonts w:hint="eastAsia" w:ascii="仿宋_GB2312" w:eastAsia="仿宋_GB2312"/>
          <w:sz w:val="30"/>
          <w:szCs w:val="30"/>
          <w:highlight w:val="none"/>
        </w:rPr>
        <w:t>24</w:t>
      </w:r>
      <w:r>
        <w:rPr>
          <w:rFonts w:hint="eastAsia" w:ascii="仿宋_GB2312" w:hAnsi="宋体" w:eastAsia="仿宋_GB2312" w:cs="Arial"/>
          <w:kern w:val="0"/>
          <w:sz w:val="30"/>
          <w:szCs w:val="30"/>
          <w:highlight w:val="none"/>
        </w:rPr>
        <w:t>人（含行政工勤人员</w:t>
      </w:r>
      <w:r>
        <w:rPr>
          <w:rFonts w:hint="eastAsia" w:ascii="仿宋_GB2312" w:eastAsia="仿宋_GB2312"/>
          <w:sz w:val="30"/>
          <w:szCs w:val="30"/>
          <w:highlight w:val="none"/>
        </w:rPr>
        <w:t>2</w:t>
      </w:r>
      <w:r>
        <w:rPr>
          <w:rFonts w:hint="eastAsia" w:ascii="仿宋_GB2312" w:hAnsi="宋体" w:eastAsia="仿宋_GB2312" w:cs="Arial"/>
          <w:kern w:val="0"/>
          <w:sz w:val="30"/>
          <w:szCs w:val="30"/>
          <w:highlight w:val="none"/>
        </w:rPr>
        <w:t>人），事业人员</w:t>
      </w:r>
      <w:r>
        <w:rPr>
          <w:rFonts w:hint="eastAsia" w:ascii="仿宋_GB2312" w:eastAsia="仿宋_GB2312"/>
          <w:sz w:val="30"/>
          <w:szCs w:val="30"/>
          <w:highlight w:val="none"/>
        </w:rPr>
        <w:t>45</w:t>
      </w:r>
      <w:r>
        <w:rPr>
          <w:rFonts w:hint="eastAsia" w:ascii="仿宋_GB2312" w:hAnsi="宋体" w:eastAsia="仿宋_GB2312" w:cs="Arial"/>
          <w:kern w:val="0"/>
          <w:sz w:val="30"/>
          <w:szCs w:val="30"/>
          <w:highlight w:val="none"/>
        </w:rPr>
        <w:t>人（含参公管理事业人员</w:t>
      </w:r>
      <w:r>
        <w:rPr>
          <w:rFonts w:hint="eastAsia" w:ascii="仿宋_GB2312" w:eastAsia="仿宋_GB2312"/>
          <w:sz w:val="30"/>
          <w:szCs w:val="30"/>
          <w:highlight w:val="none"/>
        </w:rPr>
        <w:t>0</w:t>
      </w:r>
      <w:r>
        <w:rPr>
          <w:rFonts w:hint="eastAsia" w:ascii="仿宋_GB2312" w:hAnsi="宋体" w:eastAsia="仿宋_GB2312" w:cs="Arial"/>
          <w:kern w:val="0"/>
          <w:sz w:val="30"/>
          <w:szCs w:val="30"/>
          <w:highlight w:val="none"/>
        </w:rPr>
        <w:t>人）。</w:t>
      </w:r>
    </w:p>
    <w:p>
      <w:pPr>
        <w:spacing w:line="60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离退休人员52人。其中：离休1人，退休51人。</w:t>
      </w:r>
    </w:p>
    <w:p>
      <w:pPr>
        <w:spacing w:line="600" w:lineRule="exact"/>
        <w:ind w:firstLine="600" w:firstLineChars="200"/>
        <w:rPr>
          <w:highlight w:val="none"/>
        </w:rPr>
      </w:pPr>
      <w:r>
        <w:rPr>
          <w:rFonts w:hint="eastAsia" w:ascii="仿宋_GB2312" w:eastAsia="仿宋_GB2312"/>
          <w:sz w:val="30"/>
          <w:szCs w:val="30"/>
          <w:highlight w:val="none"/>
        </w:rPr>
        <w:t>实有车辆编制2辆，在编实有车辆2辆。</w:t>
      </w:r>
    </w:p>
    <w:p>
      <w:pPr>
        <w:jc w:val="center"/>
        <w:rPr>
          <w:rFonts w:ascii="黑体" w:hAnsi="黑体" w:eastAsia="黑体"/>
          <w:sz w:val="32"/>
          <w:szCs w:val="32"/>
          <w:highlight w:val="none"/>
        </w:rPr>
      </w:pPr>
    </w:p>
    <w:p>
      <w:pPr>
        <w:jc w:val="center"/>
        <w:rPr>
          <w:rFonts w:ascii="黑体" w:hAnsi="黑体" w:eastAsia="黑体"/>
          <w:sz w:val="32"/>
          <w:szCs w:val="32"/>
          <w:highlight w:val="none"/>
        </w:rPr>
      </w:pPr>
    </w:p>
    <w:p>
      <w:pPr>
        <w:jc w:val="center"/>
        <w:rPr>
          <w:rFonts w:ascii="黑体" w:hAnsi="黑体" w:eastAsia="黑体"/>
          <w:sz w:val="32"/>
          <w:szCs w:val="32"/>
          <w:highlight w:val="none"/>
        </w:rPr>
      </w:pPr>
      <w:r>
        <w:rPr>
          <w:rFonts w:hint="eastAsia" w:ascii="黑体" w:hAnsi="黑体" w:eastAsia="黑体"/>
          <w:sz w:val="32"/>
          <w:szCs w:val="32"/>
          <w:highlight w:val="none"/>
        </w:rPr>
        <w:t>第二部分  2020年度部门决算表</w:t>
      </w:r>
    </w:p>
    <w:p>
      <w:pPr>
        <w:spacing w:line="600" w:lineRule="exact"/>
        <w:ind w:firstLine="600" w:firstLineChars="200"/>
        <w:jc w:val="center"/>
        <w:rPr>
          <w:rFonts w:ascii="仿宋_GB2312" w:eastAsia="仿宋_GB2312"/>
          <w:sz w:val="30"/>
          <w:szCs w:val="30"/>
          <w:highlight w:val="none"/>
        </w:rPr>
      </w:pPr>
      <w:r>
        <w:rPr>
          <w:rFonts w:hint="eastAsia" w:ascii="仿宋_GB2312" w:eastAsia="仿宋_GB2312"/>
          <w:sz w:val="30"/>
          <w:szCs w:val="30"/>
          <w:highlight w:val="none"/>
        </w:rPr>
        <w:t>（详见附件:盘龙区住房和城乡建设局（本级）表）</w:t>
      </w:r>
    </w:p>
    <w:p>
      <w:pPr>
        <w:spacing w:line="600" w:lineRule="exact"/>
        <w:ind w:firstLine="600" w:firstLineChars="200"/>
        <w:rPr>
          <w:rFonts w:ascii="仿宋_GB2312" w:eastAsia="仿宋_GB2312"/>
          <w:sz w:val="30"/>
          <w:szCs w:val="30"/>
          <w:highlight w:val="none"/>
        </w:rPr>
      </w:pPr>
      <w:r>
        <w:rPr>
          <w:rFonts w:hint="eastAsia" w:ascii="仿宋_GB2312" w:eastAsia="仿宋_GB2312"/>
          <w:sz w:val="30"/>
          <w:szCs w:val="30"/>
          <w:highlight w:val="none"/>
        </w:rPr>
        <w:t>盘龙区住房和城乡建设局</w:t>
      </w:r>
      <w:r>
        <w:rPr>
          <w:rFonts w:hint="eastAsia" w:eastAsia="仿宋_GB2312"/>
          <w:sz w:val="30"/>
          <w:szCs w:val="30"/>
          <w:highlight w:val="none"/>
        </w:rPr>
        <w:t>没有政府性基金收入，也没有使用政府性基金安排的支出，故《政府性基金预算财政拨款收入支出决算表》无数据。</w:t>
      </w:r>
    </w:p>
    <w:p>
      <w:pPr>
        <w:spacing w:line="600" w:lineRule="exact"/>
        <w:ind w:firstLine="600" w:firstLineChars="200"/>
        <w:jc w:val="center"/>
        <w:rPr>
          <w:rFonts w:ascii="仿宋_GB2312" w:eastAsia="仿宋_GB2312"/>
          <w:sz w:val="30"/>
          <w:szCs w:val="30"/>
          <w:highlight w:val="none"/>
        </w:rPr>
      </w:pPr>
    </w:p>
    <w:p>
      <w:pPr>
        <w:jc w:val="center"/>
        <w:rPr>
          <w:rFonts w:ascii="黑体" w:hAnsi="黑体" w:eastAsia="黑体"/>
          <w:sz w:val="32"/>
          <w:szCs w:val="32"/>
          <w:highlight w:val="none"/>
        </w:rPr>
      </w:pPr>
      <w:r>
        <w:rPr>
          <w:rFonts w:hint="eastAsia" w:ascii="黑体" w:hAnsi="黑体" w:eastAsia="黑体"/>
          <w:sz w:val="32"/>
          <w:szCs w:val="32"/>
          <w:highlight w:val="none"/>
        </w:rPr>
        <w:t>第三部分  2020年度部门决算情况说明</w:t>
      </w:r>
    </w:p>
    <w:p>
      <w:pPr>
        <w:ind w:firstLine="600" w:firstLineChars="200"/>
        <w:jc w:val="left"/>
        <w:rPr>
          <w:rFonts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left"/>
        <w:rPr>
          <w:rFonts w:ascii="仿宋_GB2312" w:eastAsia="仿宋_GB2312"/>
          <w:sz w:val="30"/>
          <w:szCs w:val="30"/>
          <w:highlight w:val="none"/>
        </w:rPr>
      </w:pPr>
      <w:r>
        <w:rPr>
          <w:rFonts w:hint="eastAsia" w:ascii="仿宋_GB2312" w:eastAsia="仿宋_GB2312"/>
          <w:sz w:val="30"/>
          <w:szCs w:val="30"/>
          <w:highlight w:val="none"/>
        </w:rPr>
        <w:t>盘龙区住房和城乡建设局（本级）2020年度收入合计</w:t>
      </w:r>
      <w:r>
        <w:rPr>
          <w:rFonts w:hint="eastAsia" w:ascii="仿宋" w:hAnsi="仿宋" w:eastAsia="仿宋" w:cs="仿宋"/>
          <w:kern w:val="0"/>
          <w:sz w:val="30"/>
          <w:szCs w:val="30"/>
          <w:highlight w:val="none"/>
        </w:rPr>
        <w:t>21,969.82</w:t>
      </w:r>
      <w:r>
        <w:rPr>
          <w:rFonts w:hint="eastAsia" w:ascii="仿宋_GB2312" w:eastAsia="仿宋_GB2312"/>
          <w:sz w:val="30"/>
          <w:szCs w:val="30"/>
          <w:highlight w:val="none"/>
        </w:rPr>
        <w:t>万元。其中：财政拨款收入</w:t>
      </w:r>
      <w:r>
        <w:rPr>
          <w:rFonts w:hint="eastAsia" w:ascii="仿宋" w:hAnsi="仿宋" w:eastAsia="仿宋" w:cs="仿宋"/>
          <w:kern w:val="0"/>
          <w:sz w:val="30"/>
          <w:szCs w:val="30"/>
          <w:highlight w:val="none"/>
        </w:rPr>
        <w:t>21,969.82</w:t>
      </w:r>
      <w:r>
        <w:rPr>
          <w:rFonts w:hint="eastAsia" w:ascii="仿宋_GB2312" w:eastAsia="仿宋_GB2312"/>
          <w:sz w:val="30"/>
          <w:szCs w:val="30"/>
          <w:highlight w:val="none"/>
        </w:rPr>
        <w:t>万元，占总收入的100%；上级补助收入0万元，占总收入的0%；事业收入0万元（含教育收费0万元），占总收入的0%；经营收入0万元，占总收入的0%；附属单位缴款收入0万元，占总收入的0%；其他收入0万元，占总收入的0%。与上年对比（2019年财政拨款收入合计</w:t>
      </w:r>
      <w:r>
        <w:rPr>
          <w:rFonts w:hint="eastAsia" w:ascii="仿宋" w:hAnsi="仿宋" w:eastAsia="仿宋" w:cs="仿宋"/>
          <w:kern w:val="0"/>
          <w:sz w:val="30"/>
          <w:szCs w:val="30"/>
          <w:highlight w:val="none"/>
        </w:rPr>
        <w:t>17,759.51</w:t>
      </w:r>
      <w:r>
        <w:rPr>
          <w:rFonts w:hint="eastAsia" w:ascii="仿宋_GB2312" w:eastAsia="仿宋_GB2312"/>
          <w:sz w:val="30"/>
          <w:szCs w:val="30"/>
          <w:highlight w:val="none"/>
        </w:rPr>
        <w:t>万元，全部为财政拨款收入）收入增加4,210.31万元，主要原因分析：2020年</w:t>
      </w:r>
      <w:r>
        <w:rPr>
          <w:rFonts w:hint="eastAsia" w:ascii="仿宋_GB2312" w:hAnsi="仿宋" w:eastAsia="仿宋_GB2312"/>
          <w:sz w:val="32"/>
          <w:szCs w:val="32"/>
          <w:highlight w:val="none"/>
        </w:rPr>
        <w:t>基建项目金额较上年增加，新招录人员一批及部分人员岗位发生变动</w:t>
      </w:r>
      <w:r>
        <w:rPr>
          <w:rFonts w:hint="eastAsia" w:ascii="仿宋_GB2312" w:eastAsia="仿宋_GB2312"/>
          <w:sz w:val="30"/>
          <w:szCs w:val="30"/>
          <w:highlight w:val="none"/>
        </w:rPr>
        <w:t>。</w:t>
      </w:r>
    </w:p>
    <w:p>
      <w:pPr>
        <w:ind w:firstLine="600" w:firstLineChars="200"/>
        <w:jc w:val="left"/>
        <w:rPr>
          <w:rFonts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rPr>
          <w:rFonts w:ascii="仿宋_GB2312" w:hAnsi="宋体" w:eastAsia="仿宋_GB2312" w:cs="Arial"/>
          <w:kern w:val="0"/>
          <w:sz w:val="30"/>
          <w:szCs w:val="30"/>
          <w:highlight w:val="none"/>
        </w:rPr>
      </w:pPr>
      <w:r>
        <w:rPr>
          <w:rFonts w:hint="eastAsia" w:ascii="仿宋_GB2312" w:eastAsia="仿宋_GB2312"/>
          <w:sz w:val="30"/>
          <w:szCs w:val="30"/>
          <w:highlight w:val="none"/>
        </w:rPr>
        <w:t>盘龙区住房和城乡建设局（本级）2020年度支出合计</w:t>
      </w:r>
      <w:r>
        <w:rPr>
          <w:rFonts w:hint="eastAsia" w:ascii="仿宋" w:hAnsi="仿宋" w:eastAsia="仿宋" w:cs="仿宋"/>
          <w:kern w:val="0"/>
          <w:sz w:val="30"/>
          <w:szCs w:val="30"/>
          <w:highlight w:val="none"/>
        </w:rPr>
        <w:t>35,413.98</w:t>
      </w:r>
      <w:r>
        <w:rPr>
          <w:rFonts w:hint="eastAsia" w:ascii="仿宋_GB2312" w:eastAsia="仿宋_GB2312"/>
          <w:sz w:val="30"/>
          <w:szCs w:val="30"/>
          <w:highlight w:val="none"/>
        </w:rPr>
        <w:t>万元。其中：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rPr>
        <w:t>1,586.65</w:t>
      </w:r>
      <w:r>
        <w:rPr>
          <w:rFonts w:hint="eastAsia" w:ascii="仿宋_GB2312" w:hAnsi="宋体" w:eastAsia="仿宋_GB2312" w:cs="Arial"/>
          <w:kern w:val="0"/>
          <w:sz w:val="30"/>
          <w:szCs w:val="30"/>
          <w:highlight w:val="none"/>
        </w:rPr>
        <w:t>万元，占总支出的</w:t>
      </w:r>
      <w:r>
        <w:rPr>
          <w:rFonts w:hint="eastAsia" w:ascii="仿宋_GB2312" w:eastAsia="仿宋_GB2312"/>
          <w:sz w:val="30"/>
          <w:szCs w:val="30"/>
          <w:highlight w:val="none"/>
        </w:rPr>
        <w:t>4.48</w:t>
      </w:r>
      <w:r>
        <w:rPr>
          <w:rFonts w:hint="eastAsia" w:ascii="仿宋_GB2312" w:hAnsi="宋体" w:eastAsia="仿宋_GB2312" w:cs="Arial"/>
          <w:kern w:val="0"/>
          <w:sz w:val="30"/>
          <w:szCs w:val="30"/>
          <w:highlight w:val="none"/>
        </w:rPr>
        <w:t>％；项目支出</w:t>
      </w:r>
      <w:r>
        <w:rPr>
          <w:rFonts w:hint="eastAsia" w:ascii="仿宋_GB2312" w:eastAsia="仿宋_GB2312"/>
          <w:sz w:val="30"/>
          <w:szCs w:val="30"/>
          <w:highlight w:val="none"/>
        </w:rPr>
        <w:t>33,827.33</w:t>
      </w:r>
      <w:r>
        <w:rPr>
          <w:rFonts w:hint="eastAsia" w:ascii="仿宋_GB2312" w:hAnsi="宋体" w:eastAsia="仿宋_GB2312" w:cs="Arial"/>
          <w:kern w:val="0"/>
          <w:sz w:val="30"/>
          <w:szCs w:val="30"/>
          <w:highlight w:val="none"/>
        </w:rPr>
        <w:t>万元，占总支出的</w:t>
      </w:r>
      <w:r>
        <w:rPr>
          <w:rFonts w:hint="eastAsia" w:ascii="仿宋_GB2312" w:eastAsia="仿宋_GB2312"/>
          <w:sz w:val="30"/>
          <w:szCs w:val="30"/>
          <w:highlight w:val="none"/>
        </w:rPr>
        <w:t>95.52</w:t>
      </w:r>
      <w:r>
        <w:rPr>
          <w:rFonts w:hint="eastAsia" w:ascii="仿宋_GB2312" w:hAnsi="宋体" w:eastAsia="仿宋_GB2312" w:cs="Arial"/>
          <w:kern w:val="0"/>
          <w:sz w:val="30"/>
          <w:szCs w:val="30"/>
          <w:highlight w:val="none"/>
        </w:rPr>
        <w:t>％；上缴上级支出、经营支出、对附属单位补助支出共</w:t>
      </w:r>
      <w:r>
        <w:rPr>
          <w:rFonts w:hint="eastAsia" w:ascii="仿宋_GB2312" w:eastAsia="仿宋_GB2312"/>
          <w:sz w:val="30"/>
          <w:szCs w:val="30"/>
          <w:highlight w:val="none"/>
        </w:rPr>
        <w:t>0</w:t>
      </w:r>
      <w:r>
        <w:rPr>
          <w:rFonts w:hint="eastAsia" w:ascii="仿宋_GB2312" w:hAnsi="宋体" w:eastAsia="仿宋_GB2312" w:cs="Arial"/>
          <w:kern w:val="0"/>
          <w:sz w:val="30"/>
          <w:szCs w:val="30"/>
          <w:highlight w:val="none"/>
        </w:rPr>
        <w:t>万元，占总支出的</w:t>
      </w:r>
      <w:r>
        <w:rPr>
          <w:rFonts w:hint="eastAsia" w:ascii="仿宋_GB2312" w:eastAsia="仿宋_GB2312"/>
          <w:sz w:val="30"/>
          <w:szCs w:val="30"/>
          <w:highlight w:val="none"/>
        </w:rPr>
        <w:t>0</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与上年对比(上年支出总额13,584.50万元，其中基本支出1,124.23万元，项目支出12,460.27万元)支出金额增加21,829.48万元，主要原因分析:2020年</w:t>
      </w:r>
      <w:r>
        <w:rPr>
          <w:rFonts w:hint="eastAsia" w:ascii="仿宋_GB2312" w:hAnsi="仿宋" w:eastAsia="仿宋_GB2312"/>
          <w:sz w:val="32"/>
          <w:szCs w:val="32"/>
          <w:highlight w:val="none"/>
        </w:rPr>
        <w:t>基建项目金额较上年增加，新招录人员一批及部分人员岗位发生变动</w:t>
      </w:r>
      <w:r>
        <w:rPr>
          <w:rFonts w:hint="eastAsia" w:ascii="仿宋_GB2312" w:eastAsia="仿宋_GB2312"/>
          <w:sz w:val="30"/>
          <w:szCs w:val="30"/>
          <w:highlight w:val="none"/>
        </w:rPr>
        <w:t>。</w:t>
      </w:r>
    </w:p>
    <w:p>
      <w:pPr>
        <w:widowControl/>
        <w:snapToGrid w:val="0"/>
        <w:spacing w:before="100" w:after="100" w:line="600" w:lineRule="exact"/>
        <w:ind w:firstLine="600" w:firstLineChars="200"/>
        <w:jc w:val="left"/>
        <w:rPr>
          <w:rFonts w:ascii="楷体" w:hAnsi="楷体" w:eastAsia="楷体"/>
          <w:sz w:val="30"/>
          <w:szCs w:val="30"/>
          <w:highlight w:val="none"/>
        </w:rPr>
      </w:pPr>
      <w:r>
        <w:rPr>
          <w:rFonts w:hint="eastAsia" w:ascii="楷体" w:hAnsi="楷体" w:eastAsia="楷体"/>
          <w:sz w:val="30"/>
          <w:szCs w:val="30"/>
          <w:highlight w:val="none"/>
        </w:rPr>
        <w:t>（一）基本支出情况</w:t>
      </w:r>
    </w:p>
    <w:p>
      <w:pPr>
        <w:widowControl/>
        <w:snapToGrid w:val="0"/>
        <w:spacing w:before="100" w:after="100" w:line="600" w:lineRule="exact"/>
        <w:ind w:firstLine="600" w:firstLineChars="200"/>
        <w:jc w:val="left"/>
        <w:rPr>
          <w:rFonts w:ascii="仿宋_GB2312" w:eastAsia="仿宋_GB2312"/>
          <w:sz w:val="30"/>
          <w:szCs w:val="30"/>
          <w:highlight w:val="none"/>
        </w:rPr>
      </w:pPr>
      <w:r>
        <w:rPr>
          <w:rFonts w:hint="eastAsia" w:ascii="仿宋_GB2312" w:eastAsia="仿宋_GB2312"/>
          <w:sz w:val="30"/>
          <w:szCs w:val="30"/>
          <w:highlight w:val="none"/>
        </w:rPr>
        <w:t>2020年度用于保障行政机关、下属事业单位等机构正常运转的日常支出1,586.65万元。与上年对比(上年日常支出1,042.59万元)支出增:544.06万元，主要原因分析：2020年新招录人员一批，工资福利支出和各项费用有所增加。其中：基本工资、津贴补贴等人员经费支出1,514.12万元，占基本支出的95.43％；办公费、印刷费、水电费、办公设备购置等公用经费72.53万元，占基本支出的4.57％。</w:t>
      </w:r>
    </w:p>
    <w:p>
      <w:pPr>
        <w:widowControl/>
        <w:snapToGrid w:val="0"/>
        <w:spacing w:before="100" w:after="100" w:line="600" w:lineRule="exact"/>
        <w:ind w:firstLine="600" w:firstLineChars="200"/>
        <w:jc w:val="left"/>
        <w:rPr>
          <w:rFonts w:ascii="楷体" w:hAnsi="楷体" w:eastAsia="楷体"/>
          <w:sz w:val="30"/>
          <w:szCs w:val="30"/>
          <w:highlight w:val="none"/>
        </w:rPr>
      </w:pPr>
      <w:r>
        <w:rPr>
          <w:rFonts w:hint="eastAsia" w:ascii="楷体" w:hAnsi="楷体" w:eastAsia="楷体"/>
          <w:sz w:val="30"/>
          <w:szCs w:val="30"/>
          <w:highlight w:val="none"/>
        </w:rPr>
        <w:t>（二）项目支出情况</w:t>
      </w:r>
    </w:p>
    <w:p>
      <w:pPr>
        <w:widowControl/>
        <w:snapToGrid w:val="0"/>
        <w:spacing w:before="100" w:after="100" w:line="600" w:lineRule="exact"/>
        <w:ind w:firstLine="600" w:firstLineChars="200"/>
        <w:jc w:val="left"/>
        <w:rPr>
          <w:rFonts w:ascii="仿宋_GB2312" w:eastAsia="仿宋_GB2312"/>
          <w:sz w:val="30"/>
          <w:szCs w:val="30"/>
          <w:highlight w:val="none"/>
        </w:rPr>
      </w:pPr>
      <w:r>
        <w:rPr>
          <w:rFonts w:hint="eastAsia" w:ascii="仿宋_GB2312" w:eastAsia="仿宋_GB2312"/>
          <w:sz w:val="30"/>
          <w:szCs w:val="30"/>
          <w:highlight w:val="none"/>
        </w:rPr>
        <w:t>2020年度用于保障行政机构、下属事业单位等机构为完成特定的行政工作任务或事业发展目标，用于专项业务工作的经费支出33,827.33万元。与上年对比（上年支出12,460.28万元）增加21，367.05元,主要原因分析：2020年基建项目支出金额较上年增加，其他项目无较大出入。2020年国防支出2万元，全部用于开展人民防空工作。科学技术支出9万元，用于工地远程视频监控经费。城乡社区支出32,300.47万元,主要用于开展防震减灾工作经费、液化气宣传使用经费、支付职工伙食费、廉租处人员工资报酬及办公费、支付人居环境工作开展经费、支付人防经费、支付劳务派遣人员组织开展公租房管理经费、支付日常办公所需费用、用于支付基建项目道路建设经费。住房保障支出1,515.87万元，主要用于保障性住房维护和管理支出及保障性住房租金租赁补贴。</w:t>
      </w:r>
    </w:p>
    <w:p>
      <w:pPr>
        <w:widowControl/>
        <w:snapToGrid w:val="0"/>
        <w:spacing w:before="100" w:after="100" w:line="600" w:lineRule="exact"/>
        <w:ind w:firstLine="600" w:firstLineChars="200"/>
        <w:jc w:val="left"/>
        <w:rPr>
          <w:rFonts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left"/>
        <w:rPr>
          <w:rFonts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widowControl/>
        <w:snapToGrid w:val="0"/>
        <w:spacing w:before="100" w:after="100" w:line="600" w:lineRule="exact"/>
        <w:ind w:firstLine="600" w:firstLineChars="200"/>
        <w:jc w:val="left"/>
        <w:rPr>
          <w:rFonts w:ascii="仿宋_GB2312" w:hAnsi="宋体" w:eastAsia="仿宋_GB2312" w:cs="Arial"/>
          <w:kern w:val="0"/>
          <w:sz w:val="30"/>
          <w:szCs w:val="30"/>
          <w:highlight w:val="none"/>
        </w:rPr>
      </w:pPr>
      <w:r>
        <w:rPr>
          <w:rFonts w:hint="eastAsia" w:ascii="仿宋_GB2312" w:eastAsia="仿宋_GB2312"/>
          <w:sz w:val="30"/>
          <w:szCs w:val="30"/>
          <w:highlight w:val="none"/>
        </w:rPr>
        <w:t>盘龙区住房和城乡建设局（本级）2020年度一般公共预算财政拨款支出</w:t>
      </w:r>
      <w:r>
        <w:rPr>
          <w:rFonts w:hint="eastAsia" w:ascii="仿宋_GB2312" w:hAnsi="宋体" w:eastAsia="仿宋_GB2312" w:cs="Arial"/>
          <w:kern w:val="0"/>
          <w:sz w:val="30"/>
          <w:szCs w:val="30"/>
          <w:highlight w:val="none"/>
        </w:rPr>
        <w:t>35,413.98万元,占本年支出合计的</w:t>
      </w:r>
      <w:r>
        <w:rPr>
          <w:rFonts w:hint="eastAsia" w:ascii="仿宋_GB2312" w:eastAsia="仿宋_GB2312"/>
          <w:sz w:val="30"/>
          <w:szCs w:val="30"/>
          <w:highlight w:val="none"/>
        </w:rPr>
        <w:t>100</w:t>
      </w:r>
      <w:r>
        <w:rPr>
          <w:rFonts w:hint="eastAsia" w:ascii="仿宋_GB2312" w:hAnsi="宋体" w:eastAsia="仿宋_GB2312" w:cs="Arial"/>
          <w:kern w:val="0"/>
          <w:sz w:val="30"/>
          <w:szCs w:val="30"/>
          <w:highlight w:val="none"/>
        </w:rPr>
        <w:t>%。与上年对比(上年支出5,805.74万元)支出增加29,608.24万元</w:t>
      </w:r>
      <w:r>
        <w:rPr>
          <w:rFonts w:hint="eastAsia" w:ascii="仿宋_GB2312" w:eastAsia="仿宋_GB2312"/>
          <w:sz w:val="30"/>
          <w:szCs w:val="30"/>
          <w:highlight w:val="none"/>
        </w:rPr>
        <w:t>,增加主要</w:t>
      </w:r>
      <w:r>
        <w:rPr>
          <w:rFonts w:hint="eastAsia" w:ascii="仿宋_GB2312" w:hAnsi="宋体" w:eastAsia="仿宋_GB2312" w:cs="Arial"/>
          <w:kern w:val="0"/>
          <w:sz w:val="30"/>
          <w:szCs w:val="30"/>
          <w:highlight w:val="none"/>
        </w:rPr>
        <w:t>原因分析 ：一方面，2019年支出项目中包括“国有土地使用权出让收入及对应专项债务收入安排的支出”项目，此项目不纳入一般公共预算支出核算设计金额7,778.76万元，另一方面，</w:t>
      </w:r>
      <w:r>
        <w:rPr>
          <w:rFonts w:hint="eastAsia" w:ascii="仿宋_GB2312" w:eastAsia="仿宋_GB2312"/>
          <w:sz w:val="30"/>
          <w:szCs w:val="30"/>
          <w:highlight w:val="none"/>
        </w:rPr>
        <w:t>2020年基建项目支出金额较上年增加，其他项目无较大出入</w:t>
      </w:r>
      <w:r>
        <w:rPr>
          <w:rFonts w:hint="eastAsia" w:ascii="仿宋_GB2312" w:hAnsi="宋体" w:eastAsia="仿宋_GB2312" w:cs="Arial"/>
          <w:kern w:val="0"/>
          <w:sz w:val="30"/>
          <w:szCs w:val="30"/>
          <w:highlight w:val="none"/>
        </w:rPr>
        <w:t>。</w:t>
      </w:r>
    </w:p>
    <w:p>
      <w:pPr>
        <w:widowControl/>
        <w:snapToGrid w:val="0"/>
        <w:spacing w:before="100" w:after="100" w:line="600" w:lineRule="exact"/>
        <w:ind w:firstLine="600" w:firstLineChars="200"/>
        <w:jc w:val="left"/>
        <w:rPr>
          <w:rFonts w:ascii="楷体" w:hAnsi="楷体" w:eastAsia="楷体"/>
          <w:sz w:val="30"/>
          <w:szCs w:val="30"/>
          <w:highlight w:val="none"/>
        </w:rPr>
      </w:pPr>
      <w:r>
        <w:rPr>
          <w:rFonts w:hint="eastAsia" w:ascii="楷体" w:hAnsi="楷体" w:eastAsia="楷体"/>
          <w:sz w:val="30"/>
          <w:szCs w:val="30"/>
          <w:highlight w:val="none"/>
        </w:rPr>
        <w:t>（二）一般公共预算财政拨款支出决算具体情况</w:t>
      </w:r>
      <w:r>
        <w:rPr>
          <w:rFonts w:hint="eastAsia" w:ascii="楷体" w:hAnsi="楷体" w:eastAsia="楷体"/>
          <w:sz w:val="30"/>
          <w:szCs w:val="30"/>
          <w:highlight w:val="none"/>
        </w:rPr>
        <w:tab/>
      </w:r>
      <w:r>
        <w:rPr>
          <w:rFonts w:hint="eastAsia" w:ascii="楷体" w:hAnsi="楷体" w:eastAsia="楷体"/>
          <w:sz w:val="30"/>
          <w:szCs w:val="30"/>
          <w:highlight w:val="none"/>
        </w:rPr>
        <w:tab/>
      </w:r>
      <w:r>
        <w:rPr>
          <w:rFonts w:hint="eastAsia" w:ascii="楷体" w:hAnsi="楷体" w:eastAsia="楷体"/>
          <w:sz w:val="30"/>
          <w:szCs w:val="30"/>
          <w:highlight w:val="none"/>
        </w:rPr>
        <w:tab/>
      </w:r>
    </w:p>
    <w:p>
      <w:pPr>
        <w:widowControl/>
        <w:snapToGrid w:val="0"/>
        <w:spacing w:before="100" w:after="100" w:line="360" w:lineRule="auto"/>
        <w:ind w:firstLine="600" w:firstLineChars="200"/>
        <w:jc w:val="left"/>
        <w:rPr>
          <w:rFonts w:ascii="仿宋_GB2312" w:eastAsia="仿宋_GB2312"/>
          <w:sz w:val="30"/>
          <w:szCs w:val="30"/>
          <w:highlight w:val="none"/>
        </w:rPr>
      </w:pPr>
      <w:r>
        <w:rPr>
          <w:rFonts w:hint="eastAsia" w:ascii="仿宋_GB2312" w:hAnsi="宋体" w:eastAsia="仿宋_GB2312" w:cs="Arial"/>
          <w:kern w:val="0"/>
          <w:sz w:val="30"/>
          <w:szCs w:val="30"/>
          <w:highlight w:val="none"/>
        </w:rPr>
        <w:t>1.一般公共服务（类）支出0万元，</w:t>
      </w:r>
      <w:r>
        <w:rPr>
          <w:rFonts w:hint="eastAsia" w:ascii="仿宋_GB2312" w:eastAsia="仿宋_GB2312"/>
          <w:sz w:val="30"/>
          <w:szCs w:val="30"/>
          <w:highlight w:val="none"/>
        </w:rPr>
        <w:t>占一般公共预算财政拨款总支出的0%。</w:t>
      </w:r>
    </w:p>
    <w:p>
      <w:pPr>
        <w:widowControl/>
        <w:snapToGrid w:val="0"/>
        <w:spacing w:before="100" w:after="100" w:line="360" w:lineRule="auto"/>
        <w:ind w:firstLine="600" w:firstLineChars="200"/>
        <w:jc w:val="left"/>
        <w:rPr>
          <w:rFonts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eastAsia="仿宋_GB2312"/>
          <w:sz w:val="30"/>
          <w:szCs w:val="30"/>
          <w:highlight w:val="none"/>
        </w:rPr>
        <w:t>0</w:t>
      </w:r>
      <w:r>
        <w:rPr>
          <w:rFonts w:hint="eastAsia" w:ascii="仿宋_GB2312" w:hAnsi="宋体" w:eastAsia="仿宋_GB2312" w:cs="Arial"/>
          <w:kern w:val="0"/>
          <w:sz w:val="30"/>
          <w:szCs w:val="30"/>
          <w:highlight w:val="none"/>
        </w:rPr>
        <w:t>万元，</w:t>
      </w:r>
      <w:r>
        <w:rPr>
          <w:rFonts w:hint="eastAsia" w:ascii="仿宋_GB2312" w:eastAsia="仿宋_GB2312"/>
          <w:sz w:val="30"/>
          <w:szCs w:val="30"/>
          <w:highlight w:val="none"/>
        </w:rPr>
        <w:t>占一般公共预算财政拨款总支出的0%。</w:t>
      </w:r>
    </w:p>
    <w:p>
      <w:pPr>
        <w:widowControl/>
        <w:snapToGrid w:val="0"/>
        <w:spacing w:before="100" w:after="100" w:line="360" w:lineRule="auto"/>
        <w:ind w:firstLine="600" w:firstLineChars="200"/>
        <w:jc w:val="left"/>
        <w:rPr>
          <w:rFonts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eastAsia="仿宋_GB2312"/>
          <w:sz w:val="30"/>
          <w:szCs w:val="30"/>
          <w:highlight w:val="none"/>
        </w:rPr>
        <w:t>2</w:t>
      </w:r>
      <w:r>
        <w:rPr>
          <w:rFonts w:hint="eastAsia" w:ascii="仿宋_GB2312" w:hAnsi="宋体" w:eastAsia="仿宋_GB2312" w:cs="Arial"/>
          <w:kern w:val="0"/>
          <w:sz w:val="30"/>
          <w:szCs w:val="30"/>
          <w:highlight w:val="none"/>
        </w:rPr>
        <w:t>万元，</w:t>
      </w:r>
      <w:r>
        <w:rPr>
          <w:rFonts w:hint="eastAsia" w:ascii="仿宋_GB2312" w:eastAsia="仿宋_GB2312"/>
          <w:sz w:val="30"/>
          <w:szCs w:val="30"/>
          <w:highlight w:val="none"/>
        </w:rPr>
        <w:t>占一般公共预算财政拨款总支出的0.5%，</w:t>
      </w:r>
      <w:r>
        <w:rPr>
          <w:rFonts w:hint="eastAsia" w:ascii="仿宋_GB2312" w:hAnsi="宋体" w:eastAsia="仿宋_GB2312" w:cs="Arial"/>
          <w:kern w:val="0"/>
          <w:sz w:val="30"/>
          <w:szCs w:val="30"/>
          <w:highlight w:val="none"/>
        </w:rPr>
        <w:t>主要用于支付人防日常工作经费。</w:t>
      </w:r>
    </w:p>
    <w:p>
      <w:pPr>
        <w:widowControl/>
        <w:snapToGrid w:val="0"/>
        <w:spacing w:before="100" w:after="100" w:line="360" w:lineRule="auto"/>
        <w:ind w:firstLine="600" w:firstLineChars="200"/>
        <w:jc w:val="left"/>
        <w:rPr>
          <w:rFonts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4.公共安全（类）支出</w:t>
      </w:r>
      <w:r>
        <w:rPr>
          <w:rFonts w:hint="eastAsia" w:ascii="仿宋_GB2312" w:eastAsia="仿宋_GB2312"/>
          <w:sz w:val="30"/>
          <w:szCs w:val="30"/>
          <w:highlight w:val="none"/>
        </w:rPr>
        <w:t>0</w:t>
      </w:r>
      <w:r>
        <w:rPr>
          <w:rFonts w:hint="eastAsia" w:ascii="仿宋_GB2312" w:hAnsi="宋体" w:eastAsia="仿宋_GB2312" w:cs="Arial"/>
          <w:kern w:val="0"/>
          <w:sz w:val="30"/>
          <w:szCs w:val="30"/>
          <w:highlight w:val="none"/>
        </w:rPr>
        <w:t>万元，</w:t>
      </w:r>
      <w:r>
        <w:rPr>
          <w:rFonts w:hint="eastAsia" w:ascii="仿宋_GB2312" w:eastAsia="仿宋_GB2312"/>
          <w:sz w:val="30"/>
          <w:szCs w:val="30"/>
          <w:highlight w:val="none"/>
        </w:rPr>
        <w:t>占一般公共预算财政拨款总支出的0%。</w:t>
      </w:r>
    </w:p>
    <w:p>
      <w:pPr>
        <w:widowControl/>
        <w:snapToGrid w:val="0"/>
        <w:spacing w:before="100" w:after="100" w:line="360" w:lineRule="auto"/>
        <w:ind w:firstLine="600" w:firstLineChars="200"/>
        <w:jc w:val="left"/>
        <w:rPr>
          <w:rFonts w:ascii="黑体" w:hAnsi="黑体" w:eastAsia="黑体"/>
          <w:sz w:val="30"/>
          <w:szCs w:val="30"/>
          <w:highlight w:val="none"/>
        </w:rPr>
      </w:pPr>
      <w:r>
        <w:rPr>
          <w:rFonts w:hint="eastAsia" w:ascii="黑体" w:hAnsi="黑体" w:eastAsia="黑体"/>
          <w:sz w:val="30"/>
          <w:szCs w:val="30"/>
          <w:highlight w:val="none"/>
        </w:rPr>
        <w:t>四、一般公共预算财政拨款“三公”经费支出决算情况说明</w:t>
      </w:r>
    </w:p>
    <w:p>
      <w:pPr>
        <w:widowControl/>
        <w:snapToGrid w:val="0"/>
        <w:spacing w:before="100" w:after="100" w:line="360" w:lineRule="auto"/>
        <w:ind w:firstLine="600" w:firstLineChars="200"/>
        <w:jc w:val="left"/>
        <w:rPr>
          <w:rFonts w:ascii="楷体" w:hAnsi="楷体" w:eastAsia="楷体"/>
          <w:sz w:val="30"/>
          <w:szCs w:val="30"/>
          <w:highlight w:val="none"/>
        </w:rPr>
      </w:pPr>
      <w:r>
        <w:rPr>
          <w:rFonts w:hint="eastAsia" w:ascii="楷体" w:hAnsi="楷体" w:eastAsia="楷体"/>
          <w:sz w:val="30"/>
          <w:szCs w:val="30"/>
          <w:highlight w:val="none"/>
        </w:rPr>
        <w:t>(一)一般公共预算财政拨款“三公”经费支出决算总体情况</w:t>
      </w:r>
    </w:p>
    <w:p>
      <w:pPr>
        <w:widowControl/>
        <w:snapToGrid w:val="0"/>
        <w:spacing w:before="100" w:after="100" w:line="360" w:lineRule="auto"/>
        <w:ind w:firstLine="600" w:firstLineChars="200"/>
        <w:jc w:val="left"/>
        <w:rPr>
          <w:rFonts w:ascii="仿宋_GB2312" w:eastAsia="仿宋_GB2312"/>
          <w:sz w:val="30"/>
          <w:szCs w:val="30"/>
          <w:highlight w:val="none"/>
        </w:rPr>
      </w:pPr>
      <w:r>
        <w:rPr>
          <w:rFonts w:hint="eastAsia" w:ascii="仿宋_GB2312" w:eastAsia="仿宋_GB2312"/>
          <w:sz w:val="30"/>
          <w:szCs w:val="30"/>
          <w:highlight w:val="none"/>
        </w:rPr>
        <w:t>盘龙区住房和城乡建设局（本级）2020年度一般公共预算财政拨款“三公”经费支出预算为4.40万元，支出决算为1.40万元，完成预算的31.82%。其中：因公出国（境）费支出决算为0万元，完成预算的0%；公务用车购置及运行费支出决算为1.40万元，完成预算的31.82%；公务接待费支出决算为0万元，完成预算的0%。2020年度一般公共预算财政拨款“三公”经费支出决算数小于预算数的主要原因:年初“三公”经费预算数按照财政标准2</w:t>
      </w:r>
      <w:r>
        <w:rPr>
          <w:rFonts w:hint="eastAsia" w:ascii="仿宋_GB2312" w:eastAsia="仿宋_GB2312"/>
          <w:sz w:val="30"/>
          <w:szCs w:val="30"/>
          <w:highlight w:val="none"/>
          <w:lang w:val="en-US" w:eastAsia="zh-CN"/>
        </w:rPr>
        <w:t>.2</w:t>
      </w:r>
      <w:r>
        <w:rPr>
          <w:rFonts w:hint="eastAsia" w:ascii="仿宋_GB2312" w:eastAsia="仿宋_GB2312"/>
          <w:sz w:val="30"/>
          <w:szCs w:val="30"/>
          <w:highlight w:val="none"/>
        </w:rPr>
        <w:t>万元/辆预算，年度支出按实际发生金额报销。</w:t>
      </w:r>
    </w:p>
    <w:p>
      <w:pPr>
        <w:widowControl/>
        <w:snapToGrid w:val="0"/>
        <w:spacing w:before="100" w:after="100" w:line="360" w:lineRule="auto"/>
        <w:ind w:firstLine="600" w:firstLineChars="200"/>
        <w:jc w:val="left"/>
        <w:rPr>
          <w:rFonts w:ascii="仿宋_GB2312" w:eastAsia="仿宋_GB2312"/>
          <w:sz w:val="30"/>
          <w:szCs w:val="30"/>
          <w:highlight w:val="none"/>
        </w:rPr>
      </w:pPr>
      <w:r>
        <w:rPr>
          <w:rFonts w:hint="eastAsia" w:ascii="仿宋_GB2312" w:eastAsia="仿宋_GB2312"/>
          <w:sz w:val="30"/>
          <w:szCs w:val="30"/>
          <w:highlight w:val="none"/>
        </w:rPr>
        <w:t>2020年度一般公共预算财政拨款“三公”经费支出决算数比2019年减少3万元（上年三公经费支出4.40万元），下降68.18%。其中：因公出国（境）费支出决算增加0万元，增长0%；公务用车购置及运行费支出决算减少3.00万元，下降68.18%；公务接待费支出决算增加0万元，增长0%。2020年度一般公共预算财政拨款“三公”经费支出决算减少的主要原因：响应国家“过紧日子”号召，缩减三公经费开支。</w:t>
      </w:r>
    </w:p>
    <w:p>
      <w:pPr>
        <w:widowControl/>
        <w:snapToGrid w:val="0"/>
        <w:spacing w:before="100" w:after="100" w:line="360" w:lineRule="auto"/>
        <w:ind w:firstLine="600" w:firstLineChars="200"/>
        <w:jc w:val="left"/>
        <w:rPr>
          <w:rFonts w:ascii="楷体" w:hAnsi="楷体" w:eastAsia="楷体"/>
          <w:sz w:val="30"/>
          <w:szCs w:val="30"/>
          <w:highlight w:val="none"/>
        </w:rPr>
      </w:pPr>
      <w:r>
        <w:rPr>
          <w:rFonts w:hint="eastAsia" w:ascii="楷体" w:hAnsi="楷体" w:eastAsia="楷体"/>
          <w:sz w:val="30"/>
          <w:szCs w:val="30"/>
          <w:highlight w:val="none"/>
        </w:rPr>
        <w:t>(二)一般公共预算财政拨款“三公”经费支出决算具体情况</w:t>
      </w:r>
    </w:p>
    <w:p>
      <w:pPr>
        <w:widowControl/>
        <w:snapToGrid w:val="0"/>
        <w:spacing w:before="100" w:after="100" w:line="360" w:lineRule="auto"/>
        <w:ind w:firstLine="600" w:firstLineChars="200"/>
        <w:jc w:val="left"/>
        <w:rPr>
          <w:rFonts w:ascii="仿宋_GB2312" w:eastAsia="仿宋_GB2312"/>
          <w:sz w:val="30"/>
          <w:szCs w:val="30"/>
          <w:highlight w:val="none"/>
        </w:rPr>
      </w:pPr>
      <w:r>
        <w:rPr>
          <w:rFonts w:hint="eastAsia" w:ascii="仿宋_GB2312" w:eastAsia="仿宋_GB2312"/>
          <w:sz w:val="30"/>
          <w:szCs w:val="30"/>
          <w:highlight w:val="none"/>
        </w:rPr>
        <w:t>2020年度一般公共预算财政拨款“三公”经费支出决算中，因公出国（境）费支出0万元，占0%；公务用车购置及运行维护费支出1.4万元，占31.82%；公务接待费支出0万元，占0%。具体情况如下：</w:t>
      </w:r>
    </w:p>
    <w:p>
      <w:pPr>
        <w:widowControl/>
        <w:snapToGrid w:val="0"/>
        <w:spacing w:before="100" w:after="100" w:line="360" w:lineRule="auto"/>
        <w:ind w:firstLine="602" w:firstLineChars="200"/>
        <w:jc w:val="left"/>
        <w:rPr>
          <w:rFonts w:ascii="仿宋_GB2312" w:eastAsia="仿宋_GB2312"/>
          <w:sz w:val="30"/>
          <w:szCs w:val="30"/>
          <w:highlight w:val="none"/>
        </w:rPr>
      </w:pPr>
      <w:r>
        <w:rPr>
          <w:rFonts w:hint="eastAsia" w:ascii="仿宋_GB2312" w:eastAsia="仿宋_GB2312"/>
          <w:b/>
          <w:sz w:val="30"/>
          <w:szCs w:val="30"/>
          <w:highlight w:val="none"/>
        </w:rPr>
        <w:t>1.因公出国（境）费</w:t>
      </w:r>
      <w:r>
        <w:rPr>
          <w:rFonts w:hint="eastAsia" w:ascii="仿宋_GB2312" w:eastAsia="仿宋_GB2312"/>
          <w:sz w:val="30"/>
          <w:szCs w:val="30"/>
          <w:highlight w:val="none"/>
        </w:rPr>
        <w:t>支出0万元，共安排因公出国（境）团组0个，累计0人次。</w:t>
      </w:r>
    </w:p>
    <w:p>
      <w:pPr>
        <w:widowControl/>
        <w:snapToGrid w:val="0"/>
        <w:spacing w:before="100" w:after="100" w:line="360" w:lineRule="auto"/>
        <w:ind w:firstLine="602" w:firstLineChars="200"/>
        <w:jc w:val="left"/>
        <w:rPr>
          <w:rFonts w:ascii="仿宋_GB2312" w:eastAsia="仿宋_GB2312"/>
          <w:sz w:val="30"/>
          <w:szCs w:val="30"/>
          <w:highlight w:val="none"/>
        </w:rPr>
      </w:pPr>
      <w:r>
        <w:rPr>
          <w:rFonts w:hint="eastAsia" w:ascii="仿宋_GB2312" w:eastAsia="仿宋_GB2312"/>
          <w:b/>
          <w:sz w:val="30"/>
          <w:szCs w:val="30"/>
          <w:highlight w:val="none"/>
        </w:rPr>
        <w:t>2. 公务用车购置及运行维护费</w:t>
      </w:r>
      <w:r>
        <w:rPr>
          <w:rFonts w:hint="eastAsia" w:ascii="仿宋_GB2312" w:eastAsia="仿宋_GB2312"/>
          <w:sz w:val="30"/>
          <w:szCs w:val="30"/>
          <w:highlight w:val="none"/>
        </w:rPr>
        <w:t>支出1.4万元。其中：</w:t>
      </w:r>
    </w:p>
    <w:p>
      <w:pPr>
        <w:widowControl/>
        <w:snapToGrid w:val="0"/>
        <w:spacing w:before="100" w:after="100" w:line="360" w:lineRule="auto"/>
        <w:ind w:firstLine="602" w:firstLineChars="200"/>
        <w:jc w:val="left"/>
        <w:rPr>
          <w:rFonts w:ascii="仿宋_GB2312" w:eastAsia="仿宋_GB2312"/>
          <w:sz w:val="30"/>
          <w:szCs w:val="30"/>
          <w:highlight w:val="none"/>
        </w:rPr>
      </w:pPr>
      <w:r>
        <w:rPr>
          <w:rFonts w:hint="eastAsia" w:ascii="仿宋_GB2312" w:eastAsia="仿宋_GB2312"/>
          <w:b/>
          <w:sz w:val="30"/>
          <w:szCs w:val="30"/>
          <w:highlight w:val="none"/>
        </w:rPr>
        <w:t>公务用车购置</w:t>
      </w:r>
      <w:r>
        <w:rPr>
          <w:rFonts w:hint="eastAsia" w:ascii="仿宋_GB2312" w:eastAsia="仿宋_GB2312"/>
          <w:sz w:val="30"/>
          <w:szCs w:val="30"/>
          <w:highlight w:val="none"/>
        </w:rPr>
        <w:t>支出0万元，购置车辆0辆。</w:t>
      </w:r>
    </w:p>
    <w:p>
      <w:pPr>
        <w:widowControl/>
        <w:snapToGrid w:val="0"/>
        <w:spacing w:before="100" w:after="100" w:line="360" w:lineRule="auto"/>
        <w:ind w:firstLine="602" w:firstLineChars="200"/>
        <w:jc w:val="left"/>
        <w:rPr>
          <w:rFonts w:ascii="仿宋_GB2312" w:eastAsia="仿宋_GB2312"/>
          <w:sz w:val="30"/>
          <w:szCs w:val="30"/>
          <w:highlight w:val="none"/>
        </w:rPr>
      </w:pPr>
      <w:r>
        <w:rPr>
          <w:rFonts w:hint="eastAsia" w:ascii="仿宋_GB2312" w:eastAsia="仿宋_GB2312"/>
          <w:b/>
          <w:sz w:val="30"/>
          <w:szCs w:val="30"/>
          <w:highlight w:val="none"/>
        </w:rPr>
        <w:t>公务用车运行维护</w:t>
      </w:r>
      <w:r>
        <w:rPr>
          <w:rFonts w:hint="eastAsia" w:ascii="仿宋_GB2312" w:eastAsia="仿宋_GB2312"/>
          <w:sz w:val="30"/>
          <w:szCs w:val="30"/>
          <w:highlight w:val="none"/>
        </w:rPr>
        <w:t>支出1.40万元，开支一般公共预算财政拨款的公务用车保有量为2辆。主要用于人防工作所需车辆燃料费、维修费、过路过桥费、保险费等。</w:t>
      </w:r>
    </w:p>
    <w:p>
      <w:pPr>
        <w:widowControl/>
        <w:snapToGrid w:val="0"/>
        <w:spacing w:before="100" w:after="100" w:line="360" w:lineRule="auto"/>
        <w:ind w:firstLine="602" w:firstLineChars="200"/>
        <w:jc w:val="left"/>
        <w:rPr>
          <w:rFonts w:ascii="仿宋_GB2312" w:eastAsia="仿宋_GB2312"/>
          <w:sz w:val="30"/>
          <w:szCs w:val="30"/>
          <w:highlight w:val="none"/>
        </w:rPr>
      </w:pPr>
      <w:r>
        <w:rPr>
          <w:rFonts w:hint="eastAsia" w:ascii="仿宋_GB2312" w:eastAsia="仿宋_GB2312"/>
          <w:b/>
          <w:sz w:val="30"/>
          <w:szCs w:val="30"/>
          <w:highlight w:val="none"/>
        </w:rPr>
        <w:t>3.公务接待费</w:t>
      </w:r>
      <w:r>
        <w:rPr>
          <w:rFonts w:hint="eastAsia" w:ascii="仿宋_GB2312" w:eastAsia="仿宋_GB2312"/>
          <w:sz w:val="30"/>
          <w:szCs w:val="30"/>
          <w:highlight w:val="none"/>
        </w:rPr>
        <w:t>支出0万元。其中：</w:t>
      </w:r>
    </w:p>
    <w:p>
      <w:pPr>
        <w:widowControl/>
        <w:snapToGrid w:val="0"/>
        <w:spacing w:before="100" w:after="100" w:line="360" w:lineRule="auto"/>
        <w:ind w:firstLine="602" w:firstLineChars="200"/>
        <w:jc w:val="left"/>
        <w:rPr>
          <w:rFonts w:ascii="仿宋_GB2312" w:eastAsia="仿宋_GB2312"/>
          <w:sz w:val="30"/>
          <w:szCs w:val="30"/>
          <w:highlight w:val="none"/>
        </w:rPr>
      </w:pPr>
      <w:r>
        <w:rPr>
          <w:rFonts w:hint="eastAsia" w:ascii="仿宋_GB2312" w:eastAsia="仿宋_GB2312"/>
          <w:b/>
          <w:sz w:val="30"/>
          <w:szCs w:val="30"/>
          <w:highlight w:val="none"/>
        </w:rPr>
        <w:t>国内接待费</w:t>
      </w:r>
      <w:r>
        <w:rPr>
          <w:rFonts w:hint="eastAsia" w:ascii="仿宋_GB2312" w:eastAsia="仿宋_GB2312"/>
          <w:sz w:val="30"/>
          <w:szCs w:val="30"/>
          <w:highlight w:val="none"/>
        </w:rPr>
        <w:t>支出0万元（其中：外事接待费支出0万元），共安排国内公务接待0批次（其中：外事接待0批次），接待人次0人（其中：外事接待人次0人）。</w:t>
      </w:r>
    </w:p>
    <w:p>
      <w:pPr>
        <w:widowControl/>
        <w:snapToGrid w:val="0"/>
        <w:spacing w:before="100" w:after="100" w:line="360" w:lineRule="auto"/>
        <w:ind w:firstLine="602" w:firstLineChars="200"/>
        <w:jc w:val="left"/>
        <w:rPr>
          <w:rFonts w:ascii="仿宋_GB2312" w:eastAsia="仿宋_GB2312"/>
          <w:sz w:val="30"/>
          <w:szCs w:val="30"/>
          <w:highlight w:val="none"/>
        </w:rPr>
      </w:pPr>
      <w:r>
        <w:rPr>
          <w:rFonts w:hint="eastAsia" w:ascii="仿宋_GB2312" w:eastAsia="仿宋_GB2312"/>
          <w:b/>
          <w:sz w:val="30"/>
          <w:szCs w:val="30"/>
          <w:highlight w:val="none"/>
        </w:rPr>
        <w:t>国（境）外接待费</w:t>
      </w:r>
      <w:r>
        <w:rPr>
          <w:rFonts w:hint="eastAsia" w:ascii="仿宋_GB2312" w:eastAsia="仿宋_GB2312"/>
          <w:sz w:val="30"/>
          <w:szCs w:val="30"/>
          <w:highlight w:val="none"/>
        </w:rPr>
        <w:t>支出0万元，共安排国（境）外公务接待0批次，接待人次0人。</w:t>
      </w:r>
    </w:p>
    <w:p>
      <w:pPr>
        <w:widowControl/>
        <w:snapToGrid w:val="0"/>
        <w:spacing w:before="100" w:after="100" w:line="360" w:lineRule="auto"/>
        <w:ind w:firstLine="640" w:firstLineChars="200"/>
        <w:jc w:val="left"/>
        <w:rPr>
          <w:rFonts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left"/>
        <w:rPr>
          <w:rFonts w:ascii="黑体" w:hAnsi="黑体" w:eastAsia="黑体" w:cs="黑体"/>
          <w:sz w:val="30"/>
          <w:szCs w:val="30"/>
          <w:highlight w:val="none"/>
        </w:rPr>
      </w:pPr>
      <w:r>
        <w:rPr>
          <w:rFonts w:hint="eastAsia" w:ascii="黑体" w:hAnsi="黑体" w:eastAsia="黑体" w:cs="黑体"/>
          <w:sz w:val="30"/>
          <w:szCs w:val="30"/>
          <w:highlight w:val="none"/>
        </w:rPr>
        <w:t>一、机关运行经费支出情况</w:t>
      </w:r>
    </w:p>
    <w:p>
      <w:pPr>
        <w:ind w:firstLine="600" w:firstLineChars="200"/>
        <w:jc w:val="left"/>
        <w:rPr>
          <w:rFonts w:ascii="仿宋_GB2312" w:hAnsi="黑体" w:eastAsia="仿宋_GB2312" w:cs="方正小标宋简体"/>
          <w:sz w:val="30"/>
          <w:szCs w:val="30"/>
          <w:highlight w:val="none"/>
        </w:rPr>
      </w:pPr>
      <w:r>
        <w:rPr>
          <w:rFonts w:hint="eastAsia" w:ascii="仿宋_GB2312" w:eastAsia="仿宋_GB2312"/>
          <w:sz w:val="30"/>
          <w:szCs w:val="30"/>
          <w:highlight w:val="none"/>
        </w:rPr>
        <w:t>盘龙区住房和城乡建设局（本级）</w:t>
      </w:r>
      <w:r>
        <w:rPr>
          <w:rFonts w:hint="eastAsia" w:ascii="仿宋_GB2312" w:hAnsi="黑体" w:eastAsia="仿宋_GB2312" w:cs="方正小标宋简体"/>
          <w:sz w:val="30"/>
          <w:szCs w:val="30"/>
          <w:highlight w:val="none"/>
        </w:rPr>
        <w:t>2020年机关运行经费支出</w:t>
      </w:r>
      <w:r>
        <w:rPr>
          <w:rFonts w:hint="eastAsia" w:ascii="仿宋_GB2312" w:hAnsi="黑体" w:eastAsia="仿宋_GB2312" w:cs="方正小标宋简体"/>
          <w:sz w:val="30"/>
          <w:szCs w:val="30"/>
          <w:highlight w:val="none"/>
          <w:lang w:val="en-US" w:eastAsia="zh-CN"/>
        </w:rPr>
        <w:t>72.53</w:t>
      </w:r>
      <w:r>
        <w:rPr>
          <w:rFonts w:hint="eastAsia" w:ascii="仿宋_GB2312" w:hAnsi="黑体" w:eastAsia="仿宋_GB2312" w:cs="方正小标宋简体"/>
          <w:sz w:val="30"/>
          <w:szCs w:val="30"/>
          <w:highlight w:val="none"/>
        </w:rPr>
        <w:t>万元，与上年对比</w:t>
      </w:r>
      <w:r>
        <w:rPr>
          <w:rFonts w:hint="eastAsia" w:ascii="仿宋_GB2312" w:hAnsi="黑体" w:eastAsia="仿宋_GB2312" w:cs="方正小标宋简体"/>
          <w:sz w:val="30"/>
          <w:szCs w:val="30"/>
          <w:highlight w:val="none"/>
          <w:lang w:eastAsia="zh-CN"/>
        </w:rPr>
        <w:t>，</w:t>
      </w:r>
      <w:r>
        <w:rPr>
          <w:rFonts w:hint="eastAsia" w:ascii="仿宋_GB2312" w:hAnsi="黑体" w:eastAsia="仿宋_GB2312" w:cs="方正小标宋简体"/>
          <w:sz w:val="30"/>
          <w:szCs w:val="30"/>
          <w:highlight w:val="none"/>
          <w:lang w:val="en-US" w:eastAsia="zh-CN"/>
        </w:rPr>
        <w:t>上年</w:t>
      </w:r>
      <w:r>
        <w:rPr>
          <w:rFonts w:hint="eastAsia" w:ascii="仿宋_GB2312" w:hAnsi="黑体" w:eastAsia="仿宋_GB2312" w:cs="方正小标宋简体"/>
          <w:sz w:val="30"/>
          <w:szCs w:val="30"/>
          <w:highlight w:val="none"/>
        </w:rPr>
        <w:t>支出</w:t>
      </w:r>
      <w:r>
        <w:rPr>
          <w:rFonts w:hint="eastAsia" w:ascii="仿宋_GB2312" w:hAnsi="黑体" w:eastAsia="仿宋_GB2312" w:cs="方正小标宋简体"/>
          <w:sz w:val="30"/>
          <w:szCs w:val="30"/>
          <w:highlight w:val="none"/>
          <w:lang w:val="en-US" w:eastAsia="zh-CN"/>
        </w:rPr>
        <w:t>120.76万元，减少48.23万元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val="en-US" w:eastAsia="zh-CN"/>
        </w:rPr>
        <w:t>经费</w:t>
      </w:r>
      <w:r>
        <w:rPr>
          <w:rFonts w:hint="eastAsia" w:ascii="仿宋_GB2312" w:hAnsi="黑体" w:eastAsia="仿宋_GB2312" w:cs="方正小标宋简体"/>
          <w:sz w:val="30"/>
          <w:szCs w:val="30"/>
          <w:highlight w:val="none"/>
        </w:rPr>
        <w:t>减</w:t>
      </w:r>
      <w:r>
        <w:rPr>
          <w:rFonts w:hint="eastAsia" w:ascii="仿宋_GB2312" w:hAnsi="黑体" w:eastAsia="仿宋_GB2312" w:cs="方正小标宋简体"/>
          <w:sz w:val="30"/>
          <w:szCs w:val="30"/>
          <w:highlight w:val="none"/>
          <w:lang w:val="en-US" w:eastAsia="zh-CN"/>
        </w:rPr>
        <w:t>少</w:t>
      </w:r>
      <w:r>
        <w:rPr>
          <w:rFonts w:hint="eastAsia" w:ascii="仿宋_GB2312" w:hAnsi="黑体" w:eastAsia="仿宋_GB2312" w:cs="方正小标宋简体"/>
          <w:sz w:val="30"/>
          <w:szCs w:val="30"/>
          <w:highlight w:val="none"/>
        </w:rPr>
        <w:t>主要原因分析：</w:t>
      </w:r>
      <w:r>
        <w:rPr>
          <w:rFonts w:hint="eastAsia" w:ascii="仿宋_GB2312" w:hAnsi="黑体" w:eastAsia="仿宋_GB2312" w:cs="方正小标宋简体"/>
          <w:sz w:val="30"/>
          <w:szCs w:val="30"/>
          <w:highlight w:val="none"/>
          <w:lang w:val="en-US" w:eastAsia="zh-CN"/>
        </w:rPr>
        <w:t>响应国家政策过紧日子，节俭开支</w:t>
      </w:r>
      <w:r>
        <w:rPr>
          <w:rFonts w:hint="eastAsia" w:ascii="仿宋_GB2312" w:hAnsi="黑体" w:eastAsia="仿宋_GB2312" w:cs="方正小标宋简体"/>
          <w:sz w:val="30"/>
          <w:szCs w:val="30"/>
          <w:highlight w:val="none"/>
        </w:rPr>
        <w:t>，部门年度支出控制在预算经费内。部门机关运行经费主要用于物业管理服务支出、日常办公印刷费、支付驻村队员工</w:t>
      </w:r>
      <w:bookmarkStart w:id="0" w:name="_GoBack"/>
      <w:bookmarkEnd w:id="0"/>
      <w:r>
        <w:rPr>
          <w:rFonts w:hint="eastAsia" w:ascii="仿宋_GB2312" w:hAnsi="黑体" w:eastAsia="仿宋_GB2312" w:cs="方正小标宋简体"/>
          <w:sz w:val="30"/>
          <w:szCs w:val="30"/>
          <w:highlight w:val="none"/>
        </w:rPr>
        <w:t>作补助经费、保障劳务派遣人员劳动报酬、支付日常办公经费。</w:t>
      </w:r>
    </w:p>
    <w:p>
      <w:pPr>
        <w:widowControl/>
        <w:ind w:firstLine="600" w:firstLineChars="200"/>
        <w:rPr>
          <w:rFonts w:ascii="黑体" w:hAnsi="黑体" w:eastAsia="黑体" w:cs="黑体"/>
          <w:kern w:val="0"/>
          <w:sz w:val="30"/>
          <w:szCs w:val="30"/>
          <w:highlight w:val="none"/>
        </w:rPr>
      </w:pPr>
      <w:r>
        <w:rPr>
          <w:rFonts w:hint="eastAsia" w:ascii="黑体" w:hAnsi="黑体" w:eastAsia="黑体" w:cs="黑体"/>
          <w:kern w:val="0"/>
          <w:sz w:val="30"/>
          <w:szCs w:val="30"/>
          <w:highlight w:val="none"/>
        </w:rPr>
        <w:t>二、国有资产占用情况</w:t>
      </w:r>
    </w:p>
    <w:p>
      <w:pPr>
        <w:widowControl/>
        <w:ind w:firstLine="600" w:firstLineChars="200"/>
        <w:rPr>
          <w:rFonts w:ascii="仿宋_GB2312" w:hAnsi="黑体" w:eastAsia="仿宋_GB2312" w:cs="方正小标宋简体"/>
          <w:kern w:val="0"/>
          <w:sz w:val="30"/>
          <w:szCs w:val="30"/>
          <w:highlight w:val="none"/>
        </w:rPr>
      </w:pPr>
      <w:r>
        <w:rPr>
          <w:rFonts w:hint="eastAsia" w:ascii="仿宋_GB2312" w:hAnsi="黑体" w:eastAsia="仿宋_GB2312" w:cs="方正小标宋简体"/>
          <w:kern w:val="0"/>
          <w:sz w:val="30"/>
          <w:szCs w:val="30"/>
          <w:highlight w:val="none"/>
        </w:rPr>
        <w:t>截至2020年12月31日，</w:t>
      </w:r>
      <w:r>
        <w:rPr>
          <w:rFonts w:hint="eastAsia" w:ascii="仿宋_GB2312" w:eastAsia="仿宋_GB2312"/>
          <w:sz w:val="30"/>
          <w:szCs w:val="30"/>
          <w:highlight w:val="none"/>
        </w:rPr>
        <w:t>盘龙区住房和城乡建设局（本级）</w:t>
      </w:r>
      <w:r>
        <w:rPr>
          <w:rFonts w:hint="eastAsia" w:ascii="仿宋_GB2312" w:hAnsi="黑体" w:eastAsia="仿宋_GB2312" w:cs="方正小标宋简体"/>
          <w:kern w:val="0"/>
          <w:sz w:val="30"/>
          <w:szCs w:val="30"/>
          <w:highlight w:val="none"/>
        </w:rPr>
        <w:t>资产总额676.96万元，其中，流动资产0万元，固定资产436.1万元，对外投资及有价证券0万元，在建工程0万元，无形资产240.86万元，其他资产0万元（具体内容详见附表）。与上年相比(上年资产总额673.30万元)，本年资产总额增加3.66万元，其中固定资产增加0万元，其他资产增加3.66万元。处置房屋建筑物0平方米，账面原值0万元；处置车辆0辆，账面原值0万元；报废报损资产0项，账面原值0万元，实现资产处置收入0万元；出租房屋0平方米，账面原值0万元，实现资产使用收入0万元。</w:t>
      </w:r>
    </w:p>
    <w:p>
      <w:pPr>
        <w:widowControl/>
        <w:ind w:firstLine="600" w:firstLineChars="200"/>
        <w:rPr>
          <w:rFonts w:ascii="仿宋_GB2312" w:hAnsi="黑体" w:eastAsia="仿宋_GB2312" w:cs="方正小标宋简体"/>
          <w:kern w:val="0"/>
          <w:sz w:val="30"/>
          <w:szCs w:val="30"/>
          <w:highlight w:val="none"/>
        </w:rPr>
      </w:pPr>
    </w:p>
    <w:p>
      <w:pPr>
        <w:widowControl/>
        <w:rPr>
          <w:rFonts w:ascii="仿宋_GB2312" w:hAnsi="黑体" w:eastAsia="仿宋_GB2312" w:cs="方正小标宋简体"/>
          <w:kern w:val="0"/>
          <w:sz w:val="30"/>
          <w:szCs w:val="30"/>
          <w:highlight w:val="none"/>
        </w:rPr>
      </w:pPr>
    </w:p>
    <w:p>
      <w:pPr>
        <w:pStyle w:val="2"/>
        <w:rPr>
          <w:highlight w:val="none"/>
        </w:rPr>
      </w:pPr>
    </w:p>
    <w:tbl>
      <w:tblPr>
        <w:tblStyle w:val="6"/>
        <w:tblpPr w:leftFromText="180" w:rightFromText="180" w:topFromText="100" w:bottomFromText="100" w:vertAnchor="text" w:horzAnchor="page" w:tblpX="534" w:tblpY="490"/>
        <w:tblOverlap w:val="never"/>
        <w:tblW w:w="10770" w:type="dxa"/>
        <w:tblInd w:w="0" w:type="dxa"/>
        <w:tblLayout w:type="fixed"/>
        <w:tblCellMar>
          <w:top w:w="0" w:type="dxa"/>
          <w:left w:w="0" w:type="dxa"/>
          <w:bottom w:w="0" w:type="dxa"/>
          <w:right w:w="0" w:type="dxa"/>
        </w:tblCellMar>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476"/>
        <w:gridCol w:w="142"/>
      </w:tblGrid>
      <w:tr>
        <w:tblPrEx>
          <w:tblCellMar>
            <w:top w:w="0" w:type="dxa"/>
            <w:left w:w="0" w:type="dxa"/>
            <w:bottom w:w="0" w:type="dxa"/>
            <w:right w:w="0" w:type="dxa"/>
          </w:tblCellMar>
        </w:tblPrEx>
        <w:trPr>
          <w:trHeight w:val="495" w:hRule="atLeast"/>
        </w:trPr>
        <w:tc>
          <w:tcPr>
            <w:tcW w:w="10628" w:type="dxa"/>
            <w:gridSpan w:val="19"/>
            <w:tcBorders>
              <w:top w:val="nil"/>
              <w:left w:val="nil"/>
              <w:bottom w:val="nil"/>
              <w:right w:val="nil"/>
            </w:tcBorders>
            <w:shd w:val="clear" w:color="auto" w:fill="FFFFFF"/>
            <w:tcMar>
              <w:top w:w="15" w:type="dxa"/>
              <w:left w:w="15" w:type="dxa"/>
              <w:bottom w:w="15" w:type="dxa"/>
              <w:right w:w="15" w:type="dxa"/>
            </w:tcMar>
            <w:vAlign w:val="center"/>
          </w:tcPr>
          <w:p>
            <w:pPr>
              <w:widowControl/>
              <w:jc w:val="center"/>
              <w:textAlignment w:val="center"/>
              <w:rPr>
                <w:rFonts w:hint="eastAsia" w:ascii="仿宋_GB2312" w:hAnsi="方正小标宋_GBK" w:eastAsia="仿宋_GB2312" w:cs="方正小标宋_GBK"/>
                <w:b/>
                <w:kern w:val="0"/>
                <w:sz w:val="30"/>
                <w:szCs w:val="30"/>
                <w:highlight w:val="none"/>
              </w:rPr>
            </w:pPr>
          </w:p>
          <w:p>
            <w:pPr>
              <w:widowControl/>
              <w:jc w:val="center"/>
              <w:textAlignment w:val="center"/>
              <w:rPr>
                <w:rFonts w:ascii="宋体" w:hAnsi="宋体" w:cs="宋体"/>
                <w:kern w:val="0"/>
                <w:sz w:val="24"/>
                <w:highlight w:val="none"/>
              </w:rPr>
            </w:pPr>
            <w:r>
              <w:rPr>
                <w:rFonts w:hint="eastAsia" w:ascii="仿宋_GB2312" w:hAnsi="方正小标宋_GBK" w:eastAsia="仿宋_GB2312" w:cs="方正小标宋_GBK"/>
                <w:b/>
                <w:kern w:val="0"/>
                <w:sz w:val="30"/>
                <w:szCs w:val="30"/>
                <w:highlight w:val="none"/>
              </w:rPr>
              <w:t>国有资产占有使用情况表</w:t>
            </w:r>
          </w:p>
        </w:tc>
        <w:tc>
          <w:tcPr>
            <w:tcW w:w="142" w:type="dxa"/>
            <w:tcBorders>
              <w:top w:val="nil"/>
              <w:left w:val="nil"/>
              <w:bottom w:val="nil"/>
              <w:right w:val="nil"/>
            </w:tcBorders>
            <w:vAlign w:val="center"/>
          </w:tcPr>
          <w:p>
            <w:pPr>
              <w:widowControl/>
              <w:jc w:val="left"/>
              <w:rPr>
                <w:rFonts w:ascii="宋体" w:hAnsi="宋体" w:cs="宋体"/>
                <w:kern w:val="0"/>
                <w:sz w:val="17"/>
                <w:szCs w:val="17"/>
                <w:highlight w:val="none"/>
              </w:rPr>
            </w:pPr>
          </w:p>
        </w:tc>
      </w:tr>
      <w:tr>
        <w:tblPrEx>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jc w:val="left"/>
              <w:textAlignment w:val="center"/>
              <w:rPr>
                <w:rFonts w:ascii="宋体" w:hAnsi="宋体" w:cs="宋体"/>
                <w:kern w:val="0"/>
                <w:sz w:val="24"/>
                <w:highlight w:val="none"/>
              </w:rPr>
            </w:pPr>
            <w:r>
              <w:rPr>
                <w:rFonts w:hint="eastAsia" w:ascii="宋体" w:hAnsi="宋体" w:cs="宋体"/>
                <w:kern w:val="0"/>
                <w:sz w:val="20"/>
                <w:szCs w:val="20"/>
                <w:highlight w:val="none"/>
              </w:rPr>
              <w:t> </w:t>
            </w:r>
          </w:p>
        </w:tc>
        <w:tc>
          <w:tcPr>
            <w:tcW w:w="865"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jc w:val="left"/>
              <w:rPr>
                <w:rFonts w:ascii="宋体" w:hAnsi="宋体" w:cs="宋体"/>
                <w:kern w:val="0"/>
                <w:sz w:val="24"/>
                <w:highlight w:val="none"/>
              </w:rPr>
            </w:pPr>
            <w:r>
              <w:rPr>
                <w:rFonts w:hint="eastAsia" w:ascii="宋体" w:hAnsi="宋体" w:cs="宋体"/>
                <w:kern w:val="0"/>
                <w:sz w:val="20"/>
                <w:szCs w:val="20"/>
                <w:highlight w:val="none"/>
              </w:rPr>
              <w:t> </w:t>
            </w:r>
          </w:p>
        </w:tc>
        <w:tc>
          <w:tcPr>
            <w:tcW w:w="974" w:type="dxa"/>
            <w:gridSpan w:val="2"/>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jc w:val="left"/>
              <w:rPr>
                <w:rFonts w:ascii="宋体" w:hAnsi="宋体" w:cs="宋体"/>
                <w:kern w:val="0"/>
                <w:sz w:val="24"/>
                <w:highlight w:val="none"/>
              </w:rPr>
            </w:pPr>
            <w:r>
              <w:rPr>
                <w:rFonts w:hint="eastAsia" w:ascii="宋体" w:hAnsi="宋体" w:cs="宋体"/>
                <w:kern w:val="0"/>
                <w:sz w:val="20"/>
                <w:szCs w:val="20"/>
                <w:highlight w:val="none"/>
              </w:rPr>
              <w:t> </w:t>
            </w:r>
          </w:p>
        </w:tc>
        <w:tc>
          <w:tcPr>
            <w:tcW w:w="196"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jc w:val="left"/>
              <w:rPr>
                <w:rFonts w:ascii="宋体" w:hAnsi="宋体" w:cs="宋体"/>
                <w:kern w:val="0"/>
                <w:sz w:val="24"/>
                <w:highlight w:val="none"/>
              </w:rPr>
            </w:pPr>
            <w:r>
              <w:rPr>
                <w:rFonts w:hint="eastAsia" w:ascii="宋体" w:hAnsi="宋体" w:cs="宋体"/>
                <w:kern w:val="0"/>
                <w:sz w:val="20"/>
                <w:szCs w:val="20"/>
                <w:highlight w:val="none"/>
              </w:rPr>
              <w:t> </w:t>
            </w:r>
          </w:p>
        </w:tc>
        <w:tc>
          <w:tcPr>
            <w:tcW w:w="978"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jc w:val="left"/>
              <w:rPr>
                <w:rFonts w:ascii="宋体" w:hAnsi="宋体" w:cs="宋体"/>
                <w:kern w:val="0"/>
                <w:sz w:val="24"/>
                <w:highlight w:val="none"/>
              </w:rPr>
            </w:pPr>
            <w:r>
              <w:rPr>
                <w:rFonts w:hint="eastAsia" w:ascii="宋体" w:hAnsi="宋体" w:cs="宋体"/>
                <w:kern w:val="0"/>
                <w:sz w:val="20"/>
                <w:szCs w:val="20"/>
                <w:highlight w:val="none"/>
              </w:rPr>
              <w:t> </w:t>
            </w:r>
          </w:p>
        </w:tc>
        <w:tc>
          <w:tcPr>
            <w:tcW w:w="979"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jc w:val="left"/>
              <w:rPr>
                <w:rFonts w:ascii="宋体" w:hAnsi="宋体" w:cs="宋体"/>
                <w:kern w:val="0"/>
                <w:sz w:val="24"/>
                <w:highlight w:val="none"/>
              </w:rPr>
            </w:pPr>
            <w:r>
              <w:rPr>
                <w:rFonts w:hint="eastAsia" w:ascii="宋体" w:hAnsi="宋体" w:cs="宋体"/>
                <w:kern w:val="0"/>
                <w:sz w:val="20"/>
                <w:szCs w:val="20"/>
                <w:highlight w:val="none"/>
              </w:rPr>
              <w:t> </w:t>
            </w:r>
          </w:p>
        </w:tc>
        <w:tc>
          <w:tcPr>
            <w:tcW w:w="1956" w:type="dxa"/>
            <w:gridSpan w:val="5"/>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jc w:val="right"/>
              <w:textAlignment w:val="center"/>
              <w:rPr>
                <w:rFonts w:ascii="宋体" w:hAnsi="宋体" w:cs="宋体"/>
                <w:kern w:val="0"/>
                <w:sz w:val="24"/>
                <w:highlight w:val="none"/>
              </w:rPr>
            </w:pPr>
            <w:r>
              <w:rPr>
                <w:rFonts w:hint="eastAsia" w:ascii="宋体" w:hAnsi="宋体" w:cs="宋体"/>
                <w:kern w:val="0"/>
                <w:sz w:val="20"/>
                <w:szCs w:val="20"/>
                <w:highlight w:val="none"/>
              </w:rPr>
              <w:t>单位：万元</w:t>
            </w:r>
          </w:p>
        </w:tc>
        <w:tc>
          <w:tcPr>
            <w:tcW w:w="142" w:type="dxa"/>
            <w:tcBorders>
              <w:top w:val="nil"/>
              <w:left w:val="nil"/>
              <w:bottom w:val="nil"/>
              <w:right w:val="nil"/>
            </w:tcBorders>
            <w:vAlign w:val="center"/>
          </w:tcPr>
          <w:p>
            <w:pPr>
              <w:widowControl/>
              <w:jc w:val="left"/>
              <w:rPr>
                <w:rFonts w:ascii="宋体" w:hAnsi="宋体" w:cs="宋体"/>
                <w:kern w:val="0"/>
                <w:sz w:val="17"/>
                <w:szCs w:val="17"/>
                <w:highlight w:val="none"/>
              </w:rPr>
            </w:pPr>
          </w:p>
        </w:tc>
      </w:tr>
      <w:tr>
        <w:tblPrEx>
          <w:tblCellMar>
            <w:top w:w="0" w:type="dxa"/>
            <w:left w:w="0" w:type="dxa"/>
            <w:bottom w:w="0" w:type="dxa"/>
            <w:right w:w="0" w:type="dxa"/>
          </w:tblCellMar>
        </w:tblPrEx>
        <w:trPr>
          <w:trHeight w:val="415" w:hRule="atLeast"/>
        </w:trPr>
        <w:tc>
          <w:tcPr>
            <w:tcW w:w="715"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项目</w:t>
            </w:r>
          </w:p>
        </w:tc>
        <w:tc>
          <w:tcPr>
            <w:tcW w:w="546"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行次</w:t>
            </w:r>
          </w:p>
        </w:tc>
        <w:tc>
          <w:tcPr>
            <w:tcW w:w="70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资产总额</w:t>
            </w:r>
          </w:p>
        </w:tc>
        <w:tc>
          <w:tcPr>
            <w:tcW w:w="684"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流动资产</w:t>
            </w:r>
          </w:p>
        </w:tc>
        <w:tc>
          <w:tcPr>
            <w:tcW w:w="4070" w:type="dxa"/>
            <w:gridSpan w:val="8"/>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固定资产</w:t>
            </w:r>
          </w:p>
        </w:tc>
        <w:tc>
          <w:tcPr>
            <w:tcW w:w="97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对外投资/有价证券</w:t>
            </w:r>
          </w:p>
        </w:tc>
        <w:tc>
          <w:tcPr>
            <w:tcW w:w="979"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在建工程</w:t>
            </w:r>
          </w:p>
        </w:tc>
        <w:tc>
          <w:tcPr>
            <w:tcW w:w="978" w:type="dxa"/>
            <w:gridSpan w:val="2"/>
            <w:vMerge w:val="restart"/>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无形资产</w:t>
            </w:r>
          </w:p>
        </w:tc>
        <w:tc>
          <w:tcPr>
            <w:tcW w:w="978" w:type="dxa"/>
            <w:gridSpan w:val="3"/>
            <w:vMerge w:val="restart"/>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其他资产</w:t>
            </w:r>
          </w:p>
        </w:tc>
        <w:tc>
          <w:tcPr>
            <w:tcW w:w="142" w:type="dxa"/>
            <w:tcBorders>
              <w:top w:val="nil"/>
              <w:left w:val="nil"/>
              <w:bottom w:val="nil"/>
              <w:right w:val="nil"/>
            </w:tcBorders>
            <w:vAlign w:val="center"/>
          </w:tcPr>
          <w:p>
            <w:pPr>
              <w:widowControl/>
              <w:jc w:val="left"/>
              <w:rPr>
                <w:rFonts w:ascii="宋体" w:hAnsi="宋体" w:cs="宋体"/>
                <w:kern w:val="0"/>
                <w:sz w:val="17"/>
                <w:szCs w:val="17"/>
                <w:highlight w:val="none"/>
              </w:rPr>
            </w:pPr>
          </w:p>
        </w:tc>
      </w:tr>
      <w:tr>
        <w:tblPrEx>
          <w:tblCellMar>
            <w:top w:w="0" w:type="dxa"/>
            <w:left w:w="0" w:type="dxa"/>
            <w:bottom w:w="0" w:type="dxa"/>
            <w:right w:w="0" w:type="dxa"/>
          </w:tblCellMar>
        </w:tblPrEx>
        <w:trPr>
          <w:trHeight w:val="345"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54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7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6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474"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小计</w:t>
            </w:r>
          </w:p>
        </w:tc>
        <w:tc>
          <w:tcPr>
            <w:tcW w:w="725"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房屋构筑物</w:t>
            </w:r>
          </w:p>
        </w:tc>
        <w:tc>
          <w:tcPr>
            <w:tcW w:w="769"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车辆</w:t>
            </w:r>
          </w:p>
        </w:tc>
        <w:tc>
          <w:tcPr>
            <w:tcW w:w="1263"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单价200万以上大型设备</w:t>
            </w:r>
          </w:p>
        </w:tc>
        <w:tc>
          <w:tcPr>
            <w:tcW w:w="839"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其他固定资产</w:t>
            </w:r>
          </w:p>
        </w:tc>
        <w:tc>
          <w:tcPr>
            <w:tcW w:w="978"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97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978" w:type="dxa"/>
            <w:gridSpan w:val="2"/>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978" w:type="dxa"/>
            <w:gridSpan w:val="3"/>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142" w:type="dxa"/>
            <w:tcBorders>
              <w:top w:val="nil"/>
              <w:left w:val="nil"/>
              <w:bottom w:val="nil"/>
              <w:right w:val="nil"/>
            </w:tcBorders>
            <w:vAlign w:val="center"/>
          </w:tcPr>
          <w:p>
            <w:pPr>
              <w:widowControl/>
              <w:jc w:val="left"/>
              <w:rPr>
                <w:rFonts w:ascii="宋体" w:hAnsi="宋体" w:cs="宋体"/>
                <w:kern w:val="0"/>
                <w:sz w:val="17"/>
                <w:szCs w:val="17"/>
                <w:highlight w:val="none"/>
              </w:rPr>
            </w:pPr>
          </w:p>
        </w:tc>
      </w:tr>
      <w:tr>
        <w:tblPrEx>
          <w:tblCellMar>
            <w:top w:w="0" w:type="dxa"/>
            <w:left w:w="0" w:type="dxa"/>
            <w:bottom w:w="0" w:type="dxa"/>
            <w:right w:w="0" w:type="dxa"/>
          </w:tblCellMar>
        </w:tblPrEx>
        <w:trPr>
          <w:trHeight w:val="395"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54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70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68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47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725"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76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1263"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839"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978"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979"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978" w:type="dxa"/>
            <w:gridSpan w:val="2"/>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978" w:type="dxa"/>
            <w:gridSpan w:val="3"/>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cs="宋体"/>
                <w:kern w:val="0"/>
                <w:sz w:val="24"/>
                <w:highlight w:val="none"/>
              </w:rPr>
            </w:pPr>
          </w:p>
        </w:tc>
        <w:tc>
          <w:tcPr>
            <w:tcW w:w="142" w:type="dxa"/>
            <w:tcBorders>
              <w:top w:val="nil"/>
              <w:left w:val="nil"/>
              <w:bottom w:val="nil"/>
              <w:right w:val="nil"/>
            </w:tcBorders>
            <w:vAlign w:val="center"/>
          </w:tcPr>
          <w:p>
            <w:pPr>
              <w:widowControl/>
              <w:jc w:val="left"/>
              <w:rPr>
                <w:rFonts w:ascii="宋体" w:hAnsi="宋体" w:cs="宋体"/>
                <w:kern w:val="0"/>
                <w:sz w:val="17"/>
                <w:szCs w:val="17"/>
                <w:highlight w:val="none"/>
              </w:rPr>
            </w:pPr>
          </w:p>
        </w:tc>
      </w:tr>
      <w:tr>
        <w:tblPrEx>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栏次</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rPr>
                <w:rFonts w:ascii="宋体" w:hAnsi="宋体" w:cs="宋体"/>
                <w:kern w:val="0"/>
                <w:sz w:val="24"/>
                <w:highlight w:val="none"/>
              </w:rPr>
            </w:pPr>
            <w:r>
              <w:rPr>
                <w:rFonts w:hint="eastAsia" w:ascii="宋体" w:hAnsi="宋体" w:cs="宋体"/>
                <w:kern w:val="0"/>
                <w:sz w:val="20"/>
                <w:szCs w:val="20"/>
                <w:highlight w:val="none"/>
              </w:rPr>
              <w:t> </w:t>
            </w:r>
          </w:p>
        </w:tc>
        <w:tc>
          <w:tcPr>
            <w:tcW w:w="7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1</w:t>
            </w:r>
          </w:p>
        </w:tc>
        <w:tc>
          <w:tcPr>
            <w:tcW w:w="68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2</w:t>
            </w:r>
          </w:p>
        </w:tc>
        <w:tc>
          <w:tcPr>
            <w:tcW w:w="47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3</w:t>
            </w:r>
          </w:p>
        </w:tc>
        <w:tc>
          <w:tcPr>
            <w:tcW w:w="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4</w:t>
            </w:r>
          </w:p>
        </w:tc>
        <w:tc>
          <w:tcPr>
            <w:tcW w:w="76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5</w:t>
            </w:r>
          </w:p>
        </w:tc>
        <w:tc>
          <w:tcPr>
            <w:tcW w:w="1263"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6</w:t>
            </w:r>
          </w:p>
        </w:tc>
        <w:tc>
          <w:tcPr>
            <w:tcW w:w="839"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7</w:t>
            </w:r>
          </w:p>
        </w:tc>
        <w:tc>
          <w:tcPr>
            <w:tcW w:w="97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8</w:t>
            </w:r>
          </w:p>
        </w:tc>
        <w:tc>
          <w:tcPr>
            <w:tcW w:w="97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9</w:t>
            </w:r>
          </w:p>
        </w:tc>
        <w:tc>
          <w:tcPr>
            <w:tcW w:w="978"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10</w:t>
            </w:r>
          </w:p>
        </w:tc>
        <w:tc>
          <w:tcPr>
            <w:tcW w:w="9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11</w:t>
            </w:r>
          </w:p>
        </w:tc>
        <w:tc>
          <w:tcPr>
            <w:tcW w:w="142" w:type="dxa"/>
            <w:tcBorders>
              <w:top w:val="nil"/>
              <w:left w:val="nil"/>
              <w:bottom w:val="nil"/>
              <w:right w:val="nil"/>
            </w:tcBorders>
            <w:vAlign w:val="center"/>
          </w:tcPr>
          <w:p>
            <w:pPr>
              <w:widowControl/>
              <w:jc w:val="left"/>
              <w:rPr>
                <w:rFonts w:ascii="宋体" w:hAnsi="宋体" w:cs="宋体"/>
                <w:kern w:val="0"/>
                <w:sz w:val="17"/>
                <w:szCs w:val="17"/>
                <w:highlight w:val="none"/>
              </w:rPr>
            </w:pPr>
          </w:p>
        </w:tc>
      </w:tr>
      <w:tr>
        <w:tblPrEx>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合计</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宋体" w:hAnsi="宋体" w:cs="宋体"/>
                <w:kern w:val="0"/>
                <w:sz w:val="24"/>
                <w:highlight w:val="none"/>
              </w:rPr>
            </w:pPr>
            <w:r>
              <w:rPr>
                <w:rFonts w:hint="eastAsia" w:ascii="宋体" w:hAnsi="宋体" w:cs="宋体"/>
                <w:kern w:val="0"/>
                <w:sz w:val="20"/>
                <w:szCs w:val="20"/>
                <w:highlight w:val="none"/>
              </w:rPr>
              <w:t>1</w:t>
            </w:r>
          </w:p>
        </w:tc>
        <w:tc>
          <w:tcPr>
            <w:tcW w:w="7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rPr>
                <w:rFonts w:ascii="宋体" w:hAnsi="宋体" w:cs="宋体"/>
                <w:kern w:val="0"/>
                <w:sz w:val="24"/>
                <w:highlight w:val="none"/>
              </w:rPr>
            </w:pPr>
            <w:r>
              <w:rPr>
                <w:rFonts w:hint="eastAsia" w:ascii="宋体" w:hAnsi="宋体" w:cs="宋体"/>
                <w:kern w:val="0"/>
                <w:sz w:val="20"/>
                <w:szCs w:val="20"/>
                <w:highlight w:val="none"/>
              </w:rPr>
              <w:t>676.96 </w:t>
            </w:r>
          </w:p>
        </w:tc>
        <w:tc>
          <w:tcPr>
            <w:tcW w:w="68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 </w:t>
            </w:r>
          </w:p>
        </w:tc>
        <w:tc>
          <w:tcPr>
            <w:tcW w:w="47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436.1 </w:t>
            </w:r>
          </w:p>
        </w:tc>
        <w:tc>
          <w:tcPr>
            <w:tcW w:w="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92.57 </w:t>
            </w:r>
          </w:p>
        </w:tc>
        <w:tc>
          <w:tcPr>
            <w:tcW w:w="76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32.03 </w:t>
            </w:r>
          </w:p>
        </w:tc>
        <w:tc>
          <w:tcPr>
            <w:tcW w:w="1263"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 </w:t>
            </w:r>
          </w:p>
        </w:tc>
        <w:tc>
          <w:tcPr>
            <w:tcW w:w="839"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311.50 </w:t>
            </w:r>
          </w:p>
        </w:tc>
        <w:tc>
          <w:tcPr>
            <w:tcW w:w="97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 </w:t>
            </w:r>
          </w:p>
        </w:tc>
        <w:tc>
          <w:tcPr>
            <w:tcW w:w="97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 </w:t>
            </w:r>
          </w:p>
        </w:tc>
        <w:tc>
          <w:tcPr>
            <w:tcW w:w="978"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240.86 </w:t>
            </w:r>
          </w:p>
        </w:tc>
        <w:tc>
          <w:tcPr>
            <w:tcW w:w="9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right"/>
              <w:rPr>
                <w:rFonts w:ascii="宋体" w:hAnsi="宋体" w:cs="宋体"/>
                <w:kern w:val="0"/>
                <w:sz w:val="24"/>
                <w:highlight w:val="none"/>
              </w:rPr>
            </w:pPr>
            <w:r>
              <w:rPr>
                <w:rFonts w:hint="eastAsia" w:ascii="宋体" w:hAnsi="宋体" w:cs="宋体"/>
                <w:kern w:val="0"/>
                <w:sz w:val="20"/>
                <w:szCs w:val="20"/>
                <w:highlight w:val="none"/>
              </w:rPr>
              <w:t> </w:t>
            </w:r>
          </w:p>
        </w:tc>
        <w:tc>
          <w:tcPr>
            <w:tcW w:w="142" w:type="dxa"/>
            <w:tcBorders>
              <w:top w:val="nil"/>
              <w:left w:val="nil"/>
              <w:bottom w:val="nil"/>
              <w:right w:val="nil"/>
            </w:tcBorders>
            <w:vAlign w:val="center"/>
          </w:tcPr>
          <w:p>
            <w:pPr>
              <w:widowControl/>
              <w:jc w:val="left"/>
              <w:rPr>
                <w:rFonts w:ascii="宋体" w:hAnsi="宋体" w:cs="宋体"/>
                <w:kern w:val="0"/>
                <w:sz w:val="17"/>
                <w:szCs w:val="17"/>
                <w:highlight w:val="none"/>
              </w:rPr>
            </w:pPr>
          </w:p>
        </w:tc>
      </w:tr>
      <w:tr>
        <w:tblPrEx>
          <w:tblCellMar>
            <w:top w:w="0" w:type="dxa"/>
            <w:left w:w="0" w:type="dxa"/>
            <w:bottom w:w="0" w:type="dxa"/>
            <w:right w:w="0" w:type="dxa"/>
          </w:tblCellMar>
        </w:tblPrEx>
        <w:trPr>
          <w:gridAfter w:val="2"/>
          <w:wAfter w:w="618" w:type="dxa"/>
          <w:trHeight w:val="259" w:hRule="atLeast"/>
        </w:trPr>
        <w:tc>
          <w:tcPr>
            <w:tcW w:w="8672" w:type="dxa"/>
            <w:gridSpan w:val="14"/>
            <w:tcBorders>
              <w:top w:val="nil"/>
              <w:left w:val="nil"/>
              <w:bottom w:val="nil"/>
              <w:right w:val="nil"/>
            </w:tcBorders>
            <w:tcMar>
              <w:top w:w="15" w:type="dxa"/>
              <w:left w:w="15" w:type="dxa"/>
              <w:bottom w:w="15" w:type="dxa"/>
              <w:right w:w="15" w:type="dxa"/>
            </w:tcMar>
            <w:vAlign w:val="bottom"/>
          </w:tcPr>
          <w:p>
            <w:pPr>
              <w:widowControl/>
              <w:rPr>
                <w:rFonts w:ascii="宋体" w:hAnsi="宋体" w:cs="宋体"/>
                <w:kern w:val="0"/>
                <w:sz w:val="24"/>
                <w:highlight w:val="none"/>
              </w:rPr>
            </w:pPr>
          </w:p>
        </w:tc>
        <w:tc>
          <w:tcPr>
            <w:tcW w:w="360" w:type="dxa"/>
            <w:tcBorders>
              <w:top w:val="nil"/>
              <w:left w:val="nil"/>
              <w:bottom w:val="nil"/>
              <w:right w:val="nil"/>
            </w:tcBorders>
            <w:tcMar>
              <w:top w:w="15" w:type="dxa"/>
              <w:left w:w="15" w:type="dxa"/>
              <w:bottom w:w="15" w:type="dxa"/>
              <w:right w:w="15" w:type="dxa"/>
            </w:tcMar>
            <w:vAlign w:val="bottom"/>
          </w:tcPr>
          <w:p>
            <w:pPr>
              <w:widowControl/>
              <w:rPr>
                <w:rFonts w:ascii="宋体" w:hAnsi="宋体" w:cs="宋体"/>
                <w:kern w:val="0"/>
                <w:sz w:val="20"/>
                <w:highlight w:val="none"/>
              </w:rPr>
            </w:pPr>
          </w:p>
        </w:tc>
        <w:tc>
          <w:tcPr>
            <w:tcW w:w="978" w:type="dxa"/>
            <w:gridSpan w:val="2"/>
            <w:tcBorders>
              <w:top w:val="nil"/>
              <w:left w:val="nil"/>
              <w:bottom w:val="nil"/>
              <w:right w:val="nil"/>
            </w:tcBorders>
            <w:tcMar>
              <w:top w:w="15" w:type="dxa"/>
              <w:left w:w="15" w:type="dxa"/>
              <w:bottom w:w="15" w:type="dxa"/>
              <w:right w:w="15" w:type="dxa"/>
            </w:tcMar>
            <w:vAlign w:val="bottom"/>
          </w:tcPr>
          <w:p>
            <w:pPr>
              <w:widowControl/>
              <w:jc w:val="left"/>
              <w:rPr>
                <w:rFonts w:ascii="宋体" w:hAnsi="宋体" w:cs="宋体"/>
                <w:kern w:val="0"/>
                <w:sz w:val="24"/>
                <w:highlight w:val="none"/>
              </w:rPr>
            </w:pPr>
          </w:p>
        </w:tc>
        <w:tc>
          <w:tcPr>
            <w:tcW w:w="142" w:type="dxa"/>
            <w:tcBorders>
              <w:top w:val="nil"/>
              <w:left w:val="nil"/>
              <w:bottom w:val="nil"/>
              <w:right w:val="nil"/>
            </w:tcBorders>
            <w:vAlign w:val="center"/>
          </w:tcPr>
          <w:p>
            <w:pPr>
              <w:widowControl/>
              <w:jc w:val="left"/>
              <w:rPr>
                <w:rFonts w:ascii="宋体" w:hAnsi="宋体" w:cs="宋体"/>
                <w:kern w:val="0"/>
                <w:sz w:val="17"/>
                <w:szCs w:val="17"/>
                <w:highlight w:val="none"/>
              </w:rPr>
            </w:pPr>
          </w:p>
        </w:tc>
      </w:tr>
      <w:tr>
        <w:tblPrEx>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tcMar>
              <w:top w:w="15" w:type="dxa"/>
              <w:left w:w="15" w:type="dxa"/>
              <w:bottom w:w="15" w:type="dxa"/>
              <w:right w:w="15" w:type="dxa"/>
            </w:tcMar>
            <w:vAlign w:val="bottom"/>
          </w:tcPr>
          <w:p>
            <w:pPr>
              <w:widowControl/>
              <w:ind w:firstLine="400" w:firstLineChars="200"/>
              <w:rPr>
                <w:rFonts w:ascii="宋体" w:hAnsi="宋体" w:cs="宋体"/>
                <w:kern w:val="0"/>
                <w:sz w:val="20"/>
                <w:szCs w:val="20"/>
                <w:highlight w:val="none"/>
              </w:rPr>
            </w:pPr>
            <w:r>
              <w:rPr>
                <w:rFonts w:hint="eastAsia" w:ascii="宋体" w:hAnsi="宋体" w:cs="宋体"/>
                <w:kern w:val="0"/>
                <w:sz w:val="20"/>
                <w:szCs w:val="20"/>
                <w:highlight w:val="none"/>
              </w:rPr>
              <w:t>填报说明：1.资产总额＝流动资产＋固定资产＋对外投资／有价证券＋在建工程＋无形资产＋其他资产；</w:t>
            </w:r>
          </w:p>
          <w:p>
            <w:pPr>
              <w:widowControl/>
              <w:numPr>
                <w:ilvl w:val="0"/>
                <w:numId w:val="3"/>
              </w:numPr>
              <w:ind w:firstLine="1400" w:firstLineChars="700"/>
              <w:rPr>
                <w:rFonts w:ascii="宋体" w:hAnsi="宋体" w:cs="宋体"/>
                <w:kern w:val="0"/>
                <w:sz w:val="20"/>
                <w:szCs w:val="20"/>
                <w:highlight w:val="none"/>
              </w:rPr>
            </w:pPr>
            <w:r>
              <w:rPr>
                <w:rFonts w:hint="eastAsia" w:ascii="宋体" w:hAnsi="宋体" w:cs="宋体"/>
                <w:kern w:val="0"/>
                <w:sz w:val="20"/>
                <w:szCs w:val="20"/>
                <w:highlight w:val="none"/>
              </w:rPr>
              <w:t>固定资产＝房屋构筑物＋车辆＋单价200万元以上大型设备＋其他固定资产；</w:t>
            </w:r>
          </w:p>
          <w:p>
            <w:pPr>
              <w:widowControl/>
              <w:numPr>
                <w:ilvl w:val="0"/>
                <w:numId w:val="3"/>
              </w:numPr>
              <w:ind w:firstLine="1400" w:firstLineChars="700"/>
              <w:rPr>
                <w:rFonts w:ascii="宋体" w:hAnsi="宋体" w:cs="宋体"/>
                <w:kern w:val="0"/>
                <w:sz w:val="20"/>
                <w:szCs w:val="20"/>
                <w:highlight w:val="none"/>
              </w:rPr>
            </w:pPr>
            <w:r>
              <w:rPr>
                <w:rFonts w:hint="eastAsia" w:ascii="宋体" w:hAnsi="宋体" w:cs="宋体"/>
                <w:kern w:val="0"/>
                <w:sz w:val="20"/>
                <w:szCs w:val="20"/>
                <w:highlight w:val="none"/>
              </w:rPr>
              <w:t>填报金额为资产“账面原值”。</w:t>
            </w:r>
          </w:p>
        </w:tc>
        <w:tc>
          <w:tcPr>
            <w:tcW w:w="978" w:type="dxa"/>
            <w:gridSpan w:val="3"/>
            <w:tcBorders>
              <w:top w:val="nil"/>
              <w:left w:val="nil"/>
              <w:bottom w:val="nil"/>
              <w:right w:val="nil"/>
            </w:tcBorders>
            <w:tcMar>
              <w:top w:w="15" w:type="dxa"/>
              <w:left w:w="15" w:type="dxa"/>
              <w:bottom w:w="15" w:type="dxa"/>
              <w:right w:w="15" w:type="dxa"/>
            </w:tcMar>
            <w:vAlign w:val="bottom"/>
          </w:tcPr>
          <w:p>
            <w:pPr>
              <w:widowControl/>
              <w:jc w:val="left"/>
              <w:rPr>
                <w:rFonts w:ascii="宋体" w:hAnsi="宋体" w:cs="宋体"/>
                <w:kern w:val="0"/>
                <w:sz w:val="24"/>
                <w:highlight w:val="none"/>
              </w:rPr>
            </w:pPr>
            <w:r>
              <w:rPr>
                <w:rFonts w:ascii="Arial" w:hAnsi="Arial" w:cs="Arial"/>
                <w:kern w:val="0"/>
                <w:sz w:val="20"/>
                <w:szCs w:val="20"/>
                <w:highlight w:val="none"/>
              </w:rPr>
              <w:t> </w:t>
            </w:r>
          </w:p>
        </w:tc>
        <w:tc>
          <w:tcPr>
            <w:tcW w:w="142" w:type="dxa"/>
            <w:vAlign w:val="center"/>
          </w:tcPr>
          <w:p>
            <w:pPr>
              <w:widowControl/>
              <w:jc w:val="left"/>
              <w:rPr>
                <w:rFonts w:eastAsia="Times New Roman"/>
                <w:kern w:val="0"/>
                <w:sz w:val="20"/>
                <w:szCs w:val="20"/>
                <w:highlight w:val="none"/>
              </w:rPr>
            </w:pPr>
          </w:p>
        </w:tc>
      </w:tr>
    </w:tbl>
    <w:p>
      <w:pPr>
        <w:ind w:firstLine="600" w:firstLineChars="200"/>
        <w:jc w:val="left"/>
        <w:rPr>
          <w:rFonts w:ascii="黑体" w:hAnsi="黑体" w:eastAsia="黑体" w:cs="黑体"/>
          <w:sz w:val="30"/>
          <w:szCs w:val="30"/>
          <w:highlight w:val="none"/>
        </w:rPr>
      </w:pPr>
      <w:r>
        <w:rPr>
          <w:rFonts w:hint="eastAsia" w:ascii="黑体" w:hAnsi="黑体" w:eastAsia="黑体" w:cs="黑体"/>
          <w:sz w:val="30"/>
          <w:szCs w:val="30"/>
          <w:highlight w:val="none"/>
        </w:rPr>
        <w:t>三、政府采购支出情况</w:t>
      </w:r>
    </w:p>
    <w:p>
      <w:pPr>
        <w:ind w:firstLine="600" w:firstLineChars="200"/>
        <w:rPr>
          <w:rFonts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2020年度，部门政府采购支出总额1.55万元，其中：政府采购货物支出1.55万元（采购A4复印纸）；政府采购工程支出0万元；政府采购服务支出0万元。授予中小企业合同金额0万元，占政府采购支出总额的0%。</w:t>
      </w:r>
    </w:p>
    <w:p>
      <w:pPr>
        <w:ind w:firstLine="600" w:firstLineChars="200"/>
        <w:jc w:val="left"/>
        <w:rPr>
          <w:rFonts w:ascii="黑体" w:hAnsi="黑体" w:eastAsia="黑体" w:cs="黑体"/>
          <w:sz w:val="30"/>
          <w:szCs w:val="30"/>
          <w:highlight w:val="none"/>
        </w:rPr>
      </w:pPr>
      <w:r>
        <w:rPr>
          <w:rFonts w:hint="eastAsia" w:ascii="黑体" w:hAnsi="黑体" w:eastAsia="黑体" w:cs="黑体"/>
          <w:sz w:val="30"/>
          <w:szCs w:val="30"/>
          <w:highlight w:val="none"/>
        </w:rPr>
        <w:t>四、部门绩效自评情况</w:t>
      </w:r>
    </w:p>
    <w:p>
      <w:pPr>
        <w:widowControl/>
        <w:snapToGrid w:val="0"/>
        <w:spacing w:before="100" w:after="100" w:line="360" w:lineRule="auto"/>
        <w:ind w:firstLine="600"/>
        <w:jc w:val="left"/>
        <w:rPr>
          <w:rFonts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部门绩效自评情况详见附表（附表10—附表12）。</w:t>
      </w:r>
    </w:p>
    <w:p>
      <w:pPr>
        <w:widowControl/>
        <w:snapToGrid w:val="0"/>
        <w:spacing w:before="100" w:after="100" w:line="360" w:lineRule="auto"/>
        <w:ind w:firstLine="600" w:firstLineChars="200"/>
        <w:jc w:val="left"/>
        <w:rPr>
          <w:rFonts w:ascii="黑体" w:hAnsi="黑体" w:eastAsia="黑体" w:cs="黑体"/>
          <w:sz w:val="30"/>
          <w:szCs w:val="30"/>
          <w:highlight w:val="none"/>
        </w:rPr>
      </w:pPr>
      <w:r>
        <w:rPr>
          <w:rFonts w:hint="eastAsia" w:ascii="黑体" w:hAnsi="黑体" w:eastAsia="黑体" w:cs="黑体"/>
          <w:sz w:val="30"/>
          <w:szCs w:val="30"/>
          <w:highlight w:val="none"/>
        </w:rPr>
        <w:t>五、其他重要事项情况说明</w:t>
      </w:r>
    </w:p>
    <w:p>
      <w:pPr>
        <w:ind w:firstLine="600" w:firstLineChars="200"/>
        <w:jc w:val="left"/>
        <w:rPr>
          <w:rFonts w:ascii="仿宋_GB2312" w:hAnsi="黑体" w:eastAsia="仿宋_GB2312" w:cs="方正小标宋简体"/>
          <w:sz w:val="30"/>
          <w:szCs w:val="30"/>
          <w:highlight w:val="none"/>
        </w:rPr>
      </w:pPr>
      <w:r>
        <w:rPr>
          <w:rFonts w:hint="eastAsia" w:ascii="仿宋_GB2312" w:eastAsia="仿宋_GB2312"/>
          <w:sz w:val="30"/>
          <w:szCs w:val="30"/>
          <w:highlight w:val="none"/>
        </w:rPr>
        <w:t>盘龙区住房和城乡建设局（本级）2020年无其他重要项情况说明</w:t>
      </w:r>
      <w:r>
        <w:rPr>
          <w:rFonts w:hint="eastAsia" w:ascii="仿宋_GB2312" w:hAnsi="黑体" w:eastAsia="仿宋_GB2312" w:cs="方正小标宋简体"/>
          <w:sz w:val="30"/>
          <w:szCs w:val="30"/>
          <w:highlight w:val="none"/>
        </w:rPr>
        <w:t>。</w:t>
      </w:r>
    </w:p>
    <w:p>
      <w:pPr>
        <w:widowControl/>
        <w:snapToGrid w:val="0"/>
        <w:spacing w:before="100" w:after="100" w:line="360" w:lineRule="auto"/>
        <w:ind w:firstLine="600" w:firstLineChars="200"/>
        <w:jc w:val="left"/>
        <w:rPr>
          <w:rFonts w:ascii="黑体" w:hAnsi="黑体" w:eastAsia="黑体" w:cs="黑体"/>
          <w:sz w:val="30"/>
          <w:szCs w:val="30"/>
          <w:highlight w:val="none"/>
        </w:rPr>
      </w:pPr>
      <w:r>
        <w:rPr>
          <w:rFonts w:hint="eastAsia" w:ascii="黑体" w:hAnsi="黑体" w:eastAsia="黑体" w:cs="黑体"/>
          <w:sz w:val="30"/>
          <w:szCs w:val="30"/>
          <w:highlight w:val="none"/>
        </w:rPr>
        <w:t>六、相关口径说明</w:t>
      </w:r>
    </w:p>
    <w:p>
      <w:pPr>
        <w:ind w:firstLine="600" w:firstLineChars="200"/>
        <w:jc w:val="left"/>
        <w:rPr>
          <w:rFonts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（一）基本支出中人员经费包括工资福利支出和对个人和家庭的补助，公用经费包括商品和服务支出、资本性支出等人员经费以外的支出。</w:t>
      </w:r>
    </w:p>
    <w:p>
      <w:pPr>
        <w:ind w:firstLine="600" w:firstLineChars="200"/>
        <w:jc w:val="left"/>
        <w:rPr>
          <w:rFonts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（二）机关运行经费指行政单位和参照公务员法管理的事业单位使用一般公共预算财政拨款安排的基本支出中的公用经费支出。</w:t>
      </w:r>
    </w:p>
    <w:p>
      <w:pPr>
        <w:ind w:firstLine="600" w:firstLineChars="200"/>
        <w:jc w:val="left"/>
        <w:rPr>
          <w:rFonts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ind w:firstLine="600" w:firstLineChars="200"/>
        <w:jc w:val="left"/>
        <w:rPr>
          <w:rFonts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jc w:val="center"/>
        <w:rPr>
          <w:rFonts w:ascii="黑体" w:hAnsi="黑体" w:eastAsia="黑体" w:cs="方正小标宋简体"/>
          <w:sz w:val="32"/>
          <w:szCs w:val="32"/>
          <w:highlight w:val="none"/>
        </w:rPr>
      </w:pPr>
    </w:p>
    <w:p>
      <w:pPr>
        <w:jc w:val="center"/>
        <w:rPr>
          <w:rFonts w:ascii="黑体" w:hAnsi="黑体" w:eastAsia="黑体" w:cs="方正小标宋简体"/>
          <w:sz w:val="32"/>
          <w:szCs w:val="32"/>
          <w:highlight w:val="none"/>
        </w:rPr>
      </w:pPr>
      <w:r>
        <w:rPr>
          <w:rFonts w:hint="eastAsia" w:ascii="黑体" w:hAnsi="黑体" w:eastAsia="黑体" w:cs="方正小标宋简体"/>
          <w:sz w:val="32"/>
          <w:szCs w:val="32"/>
          <w:highlight w:val="none"/>
        </w:rPr>
        <w:t>第五部分  名词解释</w:t>
      </w:r>
    </w:p>
    <w:p>
      <w:pPr>
        <w:spacing w:line="572" w:lineRule="exact"/>
        <w:ind w:firstLine="640" w:firstLineChars="200"/>
        <w:jc w:val="left"/>
        <w:rPr>
          <w:rFonts w:ascii="仿宋_GB2312" w:hAnsi="仿宋_GB2312" w:eastAsia="仿宋_GB2312" w:cs="仿宋_GB2312"/>
          <w:sz w:val="32"/>
          <w:szCs w:val="32"/>
          <w:highlight w:val="none"/>
        </w:rPr>
      </w:pPr>
      <w:r>
        <w:rPr>
          <w:rFonts w:hint="eastAsia" w:ascii="楷体" w:hAnsi="楷体" w:eastAsia="楷体" w:cs="楷体"/>
          <w:bCs/>
          <w:sz w:val="32"/>
          <w:szCs w:val="32"/>
          <w:highlight w:val="none"/>
        </w:rPr>
        <w:t>1、一般公共预算收入：</w:t>
      </w:r>
      <w:r>
        <w:rPr>
          <w:rFonts w:hint="eastAsia" w:ascii="仿宋_GB2312" w:hAnsi="仿宋_GB2312" w:eastAsia="仿宋_GB2312" w:cs="仿宋_GB2312"/>
          <w:bCs/>
          <w:sz w:val="32"/>
          <w:szCs w:val="32"/>
          <w:highlight w:val="none"/>
        </w:rPr>
        <w:t>指政府为履行职能，按国家法律法规规定收取的纳入预算管理的各项税收及</w:t>
      </w:r>
      <w:r>
        <w:rPr>
          <w:rFonts w:hint="eastAsia" w:ascii="仿宋_GB2312" w:hAnsi="仿宋_GB2312" w:eastAsia="仿宋_GB2312" w:cs="仿宋_GB2312"/>
          <w:sz w:val="32"/>
          <w:szCs w:val="32"/>
          <w:highlight w:val="none"/>
        </w:rPr>
        <w:t>非税收入总和。《中华人民共和国预算法》第二十七条规定：一般公共预算收入包括各项税收收入、行政事业性收费收入、国有资源（资产）有偿使用收入、转移性收入和其他收入。</w:t>
      </w:r>
    </w:p>
    <w:p>
      <w:pPr>
        <w:spacing w:line="572" w:lineRule="exact"/>
        <w:ind w:firstLine="640" w:firstLineChars="200"/>
        <w:jc w:val="left"/>
        <w:rPr>
          <w:rFonts w:ascii="仿宋_GB2312" w:hAnsi="仿宋_GB2312" w:eastAsia="仿宋_GB2312" w:cs="仿宋_GB2312"/>
          <w:sz w:val="32"/>
          <w:szCs w:val="32"/>
          <w:highlight w:val="none"/>
        </w:rPr>
      </w:pPr>
      <w:r>
        <w:rPr>
          <w:rFonts w:hint="eastAsia" w:ascii="楷体" w:hAnsi="楷体" w:eastAsia="楷体" w:cs="楷体"/>
          <w:sz w:val="32"/>
          <w:szCs w:val="32"/>
          <w:highlight w:val="none"/>
        </w:rPr>
        <w:t>2、一般公共预算支出：</w:t>
      </w:r>
      <w:r>
        <w:rPr>
          <w:rFonts w:hint="eastAsia" w:ascii="仿宋_GB2312" w:hAnsi="仿宋_GB2312" w:eastAsia="仿宋_GB2312" w:cs="仿宋_GB2312"/>
          <w:sz w:val="32"/>
          <w:szCs w:val="32"/>
          <w:highlight w:val="none"/>
        </w:rPr>
        <w:t>指政府为履行职能需要，通过预算资金安排的用于维持政权运转及支持各项社会事业发展等方面的支出，支出类别分为“类”、“款”、“项”、“目”四个级次，具体划分由国家财政部门统一规定。《中华人民共和国预算法》第二十七条规定：一般公共预算支出按照其功能分类，包括一般公共服务支出，外交、公共安全、国防支出，农业、环境保护支出，教育、科技、文化、卫生、体育支出，社会保障及就业支出和其他支出。</w:t>
      </w:r>
    </w:p>
    <w:p>
      <w:pPr>
        <w:spacing w:line="572" w:lineRule="exact"/>
        <w:ind w:firstLine="640" w:firstLineChars="200"/>
        <w:jc w:val="left"/>
        <w:rPr>
          <w:rFonts w:ascii="仿宋_GB2312" w:hAnsi="仿宋_GB2312" w:eastAsia="仿宋_GB2312" w:cs="仿宋_GB2312"/>
          <w:sz w:val="32"/>
          <w:szCs w:val="32"/>
          <w:highlight w:val="none"/>
        </w:rPr>
      </w:pPr>
      <w:r>
        <w:rPr>
          <w:rFonts w:hint="eastAsia" w:ascii="楷体" w:hAnsi="楷体" w:eastAsia="楷体" w:cs="楷体"/>
          <w:sz w:val="32"/>
          <w:szCs w:val="32"/>
          <w:highlight w:val="none"/>
        </w:rPr>
        <w:t>3、政府性基金：</w:t>
      </w:r>
      <w:r>
        <w:rPr>
          <w:rFonts w:hint="eastAsia" w:ascii="仿宋_GB2312" w:hAnsi="仿宋_GB2312" w:eastAsia="仿宋_GB2312" w:cs="仿宋_GB2312"/>
          <w:sz w:val="32"/>
          <w:szCs w:val="32"/>
          <w:highlight w:val="none"/>
        </w:rPr>
        <w:t>指各级政府及其所属部门根据法律、行政法规的文件规定，为支持某项公共事业发展，按照国家规定程序批准，向公民、法人、其他组织无偿征收的具有专项用途的财政资金，包括各种基金、资金、附加和专项收费。</w:t>
      </w:r>
    </w:p>
    <w:p>
      <w:pPr>
        <w:spacing w:line="572" w:lineRule="exact"/>
        <w:ind w:firstLine="640" w:firstLineChars="200"/>
        <w:jc w:val="left"/>
        <w:rPr>
          <w:rFonts w:ascii="仿宋_GB2312" w:hAnsi="仿宋_GB2312" w:eastAsia="仿宋_GB2312" w:cs="仿宋_GB2312"/>
          <w:sz w:val="32"/>
          <w:szCs w:val="32"/>
          <w:highlight w:val="none"/>
        </w:rPr>
      </w:pPr>
      <w:r>
        <w:rPr>
          <w:rFonts w:hint="eastAsia" w:ascii="楷体" w:hAnsi="楷体" w:eastAsia="楷体" w:cs="楷体"/>
          <w:sz w:val="32"/>
          <w:szCs w:val="32"/>
          <w:highlight w:val="none"/>
        </w:rPr>
        <w:t>4、“三公”经费：</w:t>
      </w:r>
      <w:r>
        <w:rPr>
          <w:rFonts w:hint="eastAsia" w:ascii="仿宋_GB2312" w:hAnsi="仿宋_GB2312" w:eastAsia="仿宋_GB2312" w:cs="仿宋_GB2312"/>
          <w:sz w:val="32"/>
          <w:szCs w:val="32"/>
          <w:highlight w:val="none"/>
        </w:rPr>
        <w:t>指因公出国（境）经费、公务用车购置及运行维护费和公务接待费。其中：因公出国（境）经费是指行政单位、事业单位工作人员公务出国（境）的住宿费、旅费、伙食补助费、杂费、培训费等支出；公务用车购置及运行维护费指行政单位、事业单位公务用车购置费、公务用车租用费、燃料费、维修费、过桥过路费、保险费等支出；公务接待费指行政单位、事业单位按规定开支的各项公务接待（外宾接待）费用。</w:t>
      </w:r>
    </w:p>
    <w:p>
      <w:pPr>
        <w:spacing w:line="572" w:lineRule="exact"/>
        <w:ind w:firstLine="640" w:firstLineChars="200"/>
        <w:jc w:val="left"/>
        <w:rPr>
          <w:rFonts w:ascii="仿宋_GB2312" w:hAnsi="仿宋_GB2312" w:eastAsia="仿宋_GB2312" w:cs="仿宋_GB2312"/>
          <w:sz w:val="32"/>
          <w:szCs w:val="32"/>
          <w:highlight w:val="none"/>
        </w:rPr>
      </w:pPr>
      <w:r>
        <w:rPr>
          <w:rFonts w:hint="eastAsia" w:ascii="楷体" w:hAnsi="楷体" w:eastAsia="楷体" w:cs="楷体"/>
          <w:sz w:val="32"/>
          <w:szCs w:val="32"/>
          <w:highlight w:val="none"/>
        </w:rPr>
        <w:t>5、政府采购：</w:t>
      </w:r>
      <w:r>
        <w:rPr>
          <w:rFonts w:hint="eastAsia" w:ascii="仿宋_GB2312" w:hAnsi="仿宋_GB2312" w:eastAsia="仿宋_GB2312" w:cs="仿宋_GB2312"/>
          <w:sz w:val="32"/>
          <w:szCs w:val="32"/>
          <w:highlight w:val="none"/>
        </w:rPr>
        <w:t>指各级政府及其所属机构为了开展日常政务活动或为公众提供公共服务的需要，在财政的监督下，以法定的方式、方法和程序，对货物、工程或服务的购买。政府采购不仅是指具体的采购过程，而且是采购政策、采购程序、采购过程及采购管理的总称，是一种对公共采购管理的制度。</w:t>
      </w:r>
    </w:p>
    <w:p>
      <w:pPr>
        <w:pStyle w:val="2"/>
        <w:rPr>
          <w:highlight w:val="none"/>
        </w:rPr>
      </w:pPr>
    </w:p>
    <w:p>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4"/>
                            <w:rPr>
                              <w:rStyle w:val="8"/>
                            </w:rPr>
                          </w:pP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- 6 -</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TK2dTWAQAAsQ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qlC5GWYcBKncfZkxWE3TIR2&#10;rj0hzx4XoqEW958S/cmi3ml3ZiPMxm42Dj6ofZeXK/UC/+EQcbg8c+owwiLX5OBLZtbT1qVVeern&#10;qsc/bfM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GmCS9MAAAAFAQAADwAAAAAAAAABACAAAAAi&#10;AAAAZHJzL2Rvd25yZXYueG1sUEsBAhQAFAAAAAgAh07iQHTK2dTWAQAAsQMAAA4AAAAAAAAAAQAg&#10;AAAAIgEAAGRycy9lMm9Eb2MueG1sUEsFBgAAAAAGAAYAWQEAAGoFAAAAAA==&#10;">
              <v:fill on="f" focussize="0,0"/>
              <v:stroke on="f" weight="1.25pt"/>
              <v:imagedata o:title=""/>
              <o:lock v:ext="edit" aspectratio="f"/>
              <v:textbox inset="0mm,0mm,0mm,0mm" style="mso-fit-shape-to-text:t;">
                <w:txbxContent>
                  <w:p>
                    <w:pPr>
                      <w:pStyle w:val="4"/>
                      <w:rPr>
                        <w:rStyle w:val="8"/>
                      </w:rPr>
                    </w:pPr>
                    <w:r>
                      <w:rPr>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- 6 -</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8A1DF"/>
    <w:multiLevelType w:val="singleLevel"/>
    <w:tmpl w:val="FF78A1DF"/>
    <w:lvl w:ilvl="0" w:tentative="0">
      <w:start w:val="2"/>
      <w:numFmt w:val="decimal"/>
      <w:lvlText w:val="%1."/>
      <w:lvlJc w:val="left"/>
      <w:pPr>
        <w:tabs>
          <w:tab w:val="left" w:pos="312"/>
        </w:tabs>
      </w:pPr>
    </w:lvl>
  </w:abstractNum>
  <w:abstractNum w:abstractNumId="1">
    <w:nsid w:val="5820B13A"/>
    <w:multiLevelType w:val="singleLevel"/>
    <w:tmpl w:val="5820B13A"/>
    <w:lvl w:ilvl="0" w:tentative="0">
      <w:start w:val="1"/>
      <w:numFmt w:val="decimal"/>
      <w:suff w:val="nothing"/>
      <w:lvlText w:val="%1."/>
      <w:lvlJc w:val="left"/>
    </w:lvl>
  </w:abstractNum>
  <w:abstractNum w:abstractNumId="2">
    <w:nsid w:val="5820B1AA"/>
    <w:multiLevelType w:val="singleLevel"/>
    <w:tmpl w:val="5820B1AA"/>
    <w:lvl w:ilvl="0" w:tentative="0">
      <w:start w:val="1"/>
      <w:numFmt w:val="chineseCounting"/>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697918"/>
    <w:rsid w:val="000815ED"/>
    <w:rsid w:val="001821DA"/>
    <w:rsid w:val="002C76BA"/>
    <w:rsid w:val="00646B97"/>
    <w:rsid w:val="0069217B"/>
    <w:rsid w:val="00754B3D"/>
    <w:rsid w:val="00862E86"/>
    <w:rsid w:val="00A44921"/>
    <w:rsid w:val="00AC4FF2"/>
    <w:rsid w:val="00F7746E"/>
    <w:rsid w:val="02D775DD"/>
    <w:rsid w:val="05785F65"/>
    <w:rsid w:val="0E1A748E"/>
    <w:rsid w:val="0E787C0C"/>
    <w:rsid w:val="101864BF"/>
    <w:rsid w:val="1175261A"/>
    <w:rsid w:val="12A73BC3"/>
    <w:rsid w:val="13DF156C"/>
    <w:rsid w:val="1DCC3733"/>
    <w:rsid w:val="23860CCC"/>
    <w:rsid w:val="2771496D"/>
    <w:rsid w:val="2BBB5D75"/>
    <w:rsid w:val="2C173A56"/>
    <w:rsid w:val="336A6C65"/>
    <w:rsid w:val="34A24741"/>
    <w:rsid w:val="36A12C4F"/>
    <w:rsid w:val="37A458C4"/>
    <w:rsid w:val="3D0B1778"/>
    <w:rsid w:val="3FEA43E3"/>
    <w:rsid w:val="431408B6"/>
    <w:rsid w:val="46697918"/>
    <w:rsid w:val="46D761F8"/>
    <w:rsid w:val="47E047C3"/>
    <w:rsid w:val="481A4FD7"/>
    <w:rsid w:val="4A677398"/>
    <w:rsid w:val="4B6F522E"/>
    <w:rsid w:val="4EDE56A1"/>
    <w:rsid w:val="4F8A2DE8"/>
    <w:rsid w:val="530E1B4D"/>
    <w:rsid w:val="540743B4"/>
    <w:rsid w:val="549740FE"/>
    <w:rsid w:val="59910752"/>
    <w:rsid w:val="5B1E4E56"/>
    <w:rsid w:val="5DBC0F7A"/>
    <w:rsid w:val="5DDC45FE"/>
    <w:rsid w:val="5E3A25AB"/>
    <w:rsid w:val="5E6E1A40"/>
    <w:rsid w:val="5F7311DC"/>
    <w:rsid w:val="6299106B"/>
    <w:rsid w:val="67F42566"/>
    <w:rsid w:val="6A627256"/>
    <w:rsid w:val="6ABB3D2C"/>
    <w:rsid w:val="6E572260"/>
    <w:rsid w:val="6F252FF8"/>
    <w:rsid w:val="715730BD"/>
    <w:rsid w:val="72673A63"/>
    <w:rsid w:val="73E36DF3"/>
    <w:rsid w:val="752A7BA4"/>
    <w:rsid w:val="787B141D"/>
    <w:rsid w:val="792D6D84"/>
    <w:rsid w:val="7C142766"/>
    <w:rsid w:val="7D247533"/>
    <w:rsid w:val="7D8B2A19"/>
    <w:rsid w:val="7E665E0D"/>
    <w:rsid w:val="7E7F2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line="360" w:lineRule="auto"/>
      <w:jc w:val="left"/>
      <w:outlineLvl w:val="0"/>
    </w:pPr>
    <w:rPr>
      <w:rFonts w:ascii="宋体" w:hAnsi="宋体" w:cs="宋体"/>
      <w:kern w:val="36"/>
      <w:sz w:val="36"/>
      <w:szCs w:val="36"/>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昆明市直属党政机关单位</Company>
  <Pages>16</Pages>
  <Words>6605</Words>
  <Characters>738</Characters>
  <Lines>6</Lines>
  <Paragraphs>14</Paragraphs>
  <TotalTime>6</TotalTime>
  <ScaleCrop>false</ScaleCrop>
  <LinksUpToDate>false</LinksUpToDate>
  <CharactersWithSpaces>7329</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2021-08-17T01:56:00Z</dcterms:created>
  <dc:creator>张琴</dc:creator>
  <cp:lastModifiedBy>admin</cp:lastModifiedBy>
  <dcterms:modified xsi:type="dcterms:W3CDTF">2022-01-25T02:00:06Z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EDEC2A8DD52440C19A65FF0EA8083A2C</vt:lpwstr>
  </property>
</Properties>
</file>