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Arial" w:hAnsi="Arial" w:eastAsia="Arial" w:cs="Arial"/>
          <w:b/>
          <w:sz w:val="36"/>
        </w:rPr>
      </w:pPr>
      <w:r>
        <w:rPr>
          <w:rFonts w:ascii="Arial" w:hAnsi="Arial" w:eastAsia="Arial" w:cs="Arial"/>
          <w:b/>
          <w:sz w:val="36"/>
        </w:rPr>
        <w:t>监督索引号53010300163401000</w:t>
      </w:r>
    </w:p>
    <w:p>
      <w:pPr>
        <w:spacing w:line="360" w:lineRule="auto"/>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昆明市盘龙区信访局</w:t>
      </w:r>
    </w:p>
    <w:p>
      <w:pPr>
        <w:spacing w:line="360" w:lineRule="auto"/>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2020年度部门决算</w:t>
      </w:r>
    </w:p>
    <w:p>
      <w:pPr>
        <w:spacing w:line="360" w:lineRule="auto"/>
        <w:jc w:val="left"/>
        <w:rPr>
          <w:rFonts w:ascii="黑体" w:hAnsi="黑体" w:eastAsia="黑体"/>
          <w:sz w:val="30"/>
          <w:szCs w:val="30"/>
        </w:rPr>
      </w:pPr>
      <w:r>
        <w:rPr>
          <w:rFonts w:hint="eastAsia" w:ascii="黑体" w:hAnsi="黑体" w:eastAsia="黑体"/>
          <w:sz w:val="30"/>
          <w:szCs w:val="30"/>
        </w:rPr>
        <w:t xml:space="preserve">                         </w:t>
      </w:r>
    </w:p>
    <w:p>
      <w:pPr>
        <w:spacing w:line="360" w:lineRule="auto"/>
        <w:jc w:val="center"/>
        <w:rPr>
          <w:rFonts w:ascii="黑体" w:hAnsi="黑体" w:eastAsia="黑体"/>
          <w:sz w:val="32"/>
          <w:szCs w:val="32"/>
        </w:rPr>
      </w:pPr>
      <w:r>
        <w:rPr>
          <w:rFonts w:hint="eastAsia" w:ascii="黑体" w:hAnsi="黑体" w:eastAsia="黑体"/>
          <w:sz w:val="32"/>
          <w:szCs w:val="32"/>
        </w:rPr>
        <w:t>目录</w:t>
      </w:r>
    </w:p>
    <w:p>
      <w:pPr>
        <w:spacing w:line="360" w:lineRule="auto"/>
        <w:jc w:val="left"/>
        <w:rPr>
          <w:rFonts w:ascii="黑体" w:hAnsi="黑体" w:eastAsia="黑体"/>
          <w:sz w:val="30"/>
          <w:szCs w:val="30"/>
        </w:rPr>
      </w:pPr>
      <w:r>
        <w:rPr>
          <w:rFonts w:hint="eastAsia" w:ascii="黑体" w:hAnsi="黑体" w:eastAsia="黑体"/>
          <w:sz w:val="30"/>
          <w:szCs w:val="30"/>
        </w:rPr>
        <w:t>第一部分  基本概况</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一、主要职能</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二、部门基本情况</w:t>
      </w:r>
    </w:p>
    <w:p>
      <w:pPr>
        <w:spacing w:line="360" w:lineRule="auto"/>
        <w:jc w:val="left"/>
        <w:rPr>
          <w:rFonts w:ascii="黑体" w:hAnsi="黑体" w:eastAsia="黑体"/>
          <w:sz w:val="30"/>
          <w:szCs w:val="30"/>
        </w:rPr>
      </w:pPr>
      <w:r>
        <w:rPr>
          <w:rFonts w:hint="eastAsia" w:ascii="黑体" w:hAnsi="黑体" w:eastAsia="黑体"/>
          <w:sz w:val="30"/>
          <w:szCs w:val="30"/>
        </w:rPr>
        <w:t>第二部分 2020年度部门决算表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一、收入支出决算总表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二、收入决算表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三、支出决算表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四、财政拨款收入支出决算总表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五、一般公共预算财政拨款收入支出决算表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六、一般公共预算财政拨款基本支出决算表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七、政府性基金预算财政拨款收入支出决算表</w:t>
      </w:r>
    </w:p>
    <w:p>
      <w:pPr>
        <w:spacing w:line="360" w:lineRule="auto"/>
        <w:rPr>
          <w:rFonts w:hint="eastAsia" w:ascii="仿宋_GB2312" w:hAnsi="黑体" w:eastAsia="仿宋_GB2312" w:cs="方正小标宋简体"/>
          <w:sz w:val="30"/>
          <w:szCs w:val="30"/>
        </w:rPr>
      </w:pPr>
      <w:r>
        <w:rPr>
          <w:rFonts w:hint="eastAsia" w:ascii="仿宋_GB2312" w:hAnsi="黑体" w:eastAsia="仿宋_GB2312" w:cs="方正小标宋简体"/>
          <w:sz w:val="30"/>
          <w:szCs w:val="30"/>
        </w:rPr>
        <w:t>八、国有资本经营预算财政拨款收入支出决算表</w:t>
      </w:r>
    </w:p>
    <w:p>
      <w:pPr>
        <w:spacing w:line="360" w:lineRule="auto"/>
        <w:rPr>
          <w:rFonts w:hint="eastAsia" w:ascii="仿宋_GB2312" w:hAnsi="黑体" w:eastAsia="仿宋_GB2312" w:cs="方正小标宋简体"/>
          <w:sz w:val="30"/>
          <w:szCs w:val="30"/>
        </w:rPr>
      </w:pPr>
      <w:r>
        <w:rPr>
          <w:rFonts w:hint="eastAsia" w:ascii="仿宋_GB2312" w:hAnsi="黑体" w:eastAsia="仿宋_GB2312" w:cs="方正小标宋简体"/>
          <w:sz w:val="30"/>
          <w:szCs w:val="30"/>
          <w:lang w:val="en-US" w:eastAsia="zh-CN"/>
        </w:rPr>
        <w:t>九、</w:t>
      </w:r>
      <w:r>
        <w:rPr>
          <w:rFonts w:hint="eastAsia" w:ascii="仿宋_GB2312" w:hAnsi="黑体" w:eastAsia="仿宋_GB2312" w:cs="方正小标宋简体"/>
          <w:sz w:val="30"/>
          <w:szCs w:val="30"/>
        </w:rPr>
        <w:t>“三公”经费、行政参公单位机关运行经费情况表</w:t>
      </w:r>
    </w:p>
    <w:p>
      <w:pPr>
        <w:spacing w:line="360" w:lineRule="auto"/>
        <w:jc w:val="left"/>
        <w:rPr>
          <w:rFonts w:ascii="黑体" w:hAnsi="黑体" w:eastAsia="黑体"/>
          <w:sz w:val="30"/>
          <w:szCs w:val="30"/>
        </w:rPr>
      </w:pPr>
      <w:r>
        <w:rPr>
          <w:rFonts w:hint="eastAsia" w:ascii="黑体" w:hAnsi="黑体" w:eastAsia="黑体"/>
          <w:sz w:val="30"/>
          <w:szCs w:val="30"/>
        </w:rPr>
        <w:t>第三部分  2020年度部门决算情况说明</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一、收入决算情况说明</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二、支出决算情况说明</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三、一般公共预算财政拨款支出决算情况说明</w:t>
      </w:r>
    </w:p>
    <w:p>
      <w:pPr>
        <w:spacing w:line="360" w:lineRule="auto"/>
        <w:rPr>
          <w:rFonts w:ascii="楷体" w:hAnsi="楷体" w:eastAsia="楷体"/>
          <w:sz w:val="30"/>
          <w:szCs w:val="30"/>
        </w:rPr>
      </w:pPr>
      <w:r>
        <w:rPr>
          <w:rFonts w:hint="eastAsia" w:ascii="仿宋_GB2312" w:hAnsi="黑体" w:eastAsia="仿宋_GB2312" w:cs="方正小标宋简体"/>
          <w:sz w:val="30"/>
          <w:szCs w:val="30"/>
        </w:rPr>
        <w:t>四、一般公共预算财政拨款“三公”经费支出决算情况说明</w:t>
      </w: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第四部分</w:t>
      </w:r>
      <w:r>
        <w:rPr>
          <w:rFonts w:hint="eastAsia" w:ascii="楷体" w:hAnsi="楷体" w:eastAsia="楷体"/>
          <w:sz w:val="30"/>
          <w:szCs w:val="30"/>
        </w:rPr>
        <w:t xml:space="preserve">  </w:t>
      </w:r>
      <w:r>
        <w:rPr>
          <w:rFonts w:hint="eastAsia" w:ascii="黑体" w:hAnsi="黑体" w:eastAsia="黑体"/>
          <w:sz w:val="30"/>
          <w:szCs w:val="30"/>
        </w:rPr>
        <w:t>其他重要事项及相关口径情况说明</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一、机关运行经费支出情况</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二、国有资产占用情况</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三、政府采购支出情况</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四、部门绩效自评情况</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（一）项目支出绩效自评/项目支出绩效自评报告（表）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（二）部门整体支出绩效自评报告</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（三）部门整体支出绩效自评表</w:t>
      </w:r>
    </w:p>
    <w:p>
      <w:pPr>
        <w:spacing w:line="360" w:lineRule="auto"/>
        <w:rPr>
          <w:rFonts w:ascii="仿宋_GB2312" w:hAnsi="黑体" w:eastAsia="仿宋_GB2312" w:cs="方正小标宋简体"/>
          <w:sz w:val="30"/>
          <w:szCs w:val="30"/>
        </w:rPr>
      </w:pPr>
      <w:r>
        <w:rPr>
          <w:rFonts w:hint="eastAsia" w:ascii="仿宋_GB2312" w:hAnsi="黑体" w:eastAsia="仿宋_GB2312" w:cs="方正小标宋简体"/>
          <w:sz w:val="30"/>
          <w:szCs w:val="30"/>
        </w:rPr>
        <w:t>五、其他重要事项情况说明</w:t>
      </w:r>
    </w:p>
    <w:p>
      <w:pPr>
        <w:widowControl/>
        <w:snapToGrid w:val="0"/>
        <w:spacing w:before="100" w:after="100" w:line="360" w:lineRule="auto"/>
        <w:jc w:val="left"/>
        <w:rPr>
          <w:rFonts w:ascii="黑体" w:hAnsi="黑体" w:eastAsia="黑体"/>
          <w:sz w:val="30"/>
          <w:szCs w:val="30"/>
        </w:rPr>
      </w:pPr>
    </w:p>
    <w:p>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第五部分  名词解释</w:t>
      </w:r>
    </w:p>
    <w:p>
      <w:pPr>
        <w:spacing w:line="360" w:lineRule="auto"/>
        <w:jc w:val="center"/>
        <w:rPr>
          <w:rFonts w:ascii="黑体" w:hAnsi="黑体" w:eastAsia="黑体"/>
          <w:sz w:val="32"/>
          <w:szCs w:val="32"/>
        </w:rPr>
      </w:pPr>
      <w:r>
        <w:rPr>
          <w:rFonts w:hint="eastAsia" w:ascii="黑体" w:hAnsi="黑体" w:eastAsia="黑体"/>
          <w:sz w:val="32"/>
          <w:szCs w:val="32"/>
        </w:rPr>
        <w:t>第一部分 概况</w:t>
      </w:r>
    </w:p>
    <w:p>
      <w:pPr>
        <w:spacing w:line="360" w:lineRule="auto"/>
        <w:ind w:firstLine="600" w:firstLineChars="200"/>
        <w:rPr>
          <w:rFonts w:ascii="黑体" w:hAnsi="黑体" w:eastAsia="黑体"/>
          <w:sz w:val="30"/>
          <w:szCs w:val="30"/>
        </w:rPr>
      </w:pPr>
      <w:r>
        <w:rPr>
          <w:rFonts w:hint="eastAsia" w:ascii="黑体" w:hAnsi="黑体" w:eastAsia="黑体"/>
          <w:sz w:val="30"/>
          <w:szCs w:val="30"/>
        </w:rPr>
        <w:t>一、主要职能</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（一）主要职能</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1、负责处理公民、法人及其他组织通过信访渠道给区委、区政府及领导同志的来信来电和网络信访事项，接待来访。</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2、承办上级机关和区委、区政府领导同志转办、交办的信访事项，督促检查办理落实情况。</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3、贯彻落实党中央、国务院、省、市、区党委政府关于信访工作决策部署，推进信访工作制度改革和信访法治化建设，总结推广工作经验，提出加强和改进信访工作的意见建议。</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4、综合协调和指导全区信访工作，组织开展联合接访工作，交办、转送信访事项，承担信访事项督查督办、复查复核工作，协调、处理进京上访的处置工作。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5、制定信访问题排查化解制度并组织实施，推进依法分类处理信访诉求，开展人民建议征集工作，建立和完善信访信息汇集分析机制，及时反映倾向性、动态性信息和影响社会稳定的突出问题。</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6、负责信访信息化建设，指导全区信访信息系统建设和应用工作。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7、负责信访工作宣传和信息发布，组织信访工作检查考评和干部教育培训工作。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8、承担区委信访工作联席会议办公室日常工作，督促落实联席会议决定事项；负责盘龙区信访事项复查复核委员会办公室日常工作。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9、完成区委、区政府和上级部门交办的其他任务。</w:t>
      </w:r>
    </w:p>
    <w:p>
      <w:pPr>
        <w:spacing w:line="360" w:lineRule="auto"/>
        <w:ind w:firstLine="600" w:firstLineChars="200"/>
        <w:rPr>
          <w:rFonts w:ascii="仿宋_GB2312" w:hAnsi="黑体" w:eastAsia="仿宋_GB2312" w:cs="方正小标宋简体"/>
          <w:sz w:val="30"/>
          <w:szCs w:val="30"/>
        </w:rPr>
      </w:pPr>
      <w:r>
        <w:rPr>
          <w:rFonts w:hint="eastAsia" w:ascii="楷体" w:hAnsi="楷体" w:eastAsia="楷体"/>
          <w:bCs/>
          <w:sz w:val="30"/>
          <w:szCs w:val="30"/>
        </w:rPr>
        <w:t>（</w:t>
      </w:r>
      <w:r>
        <w:rPr>
          <w:rFonts w:hint="eastAsia" w:ascii="仿宋_GB2312" w:hAnsi="黑体" w:eastAsia="仿宋_GB2312" w:cs="方正小标宋简体"/>
          <w:sz w:val="30"/>
          <w:szCs w:val="30"/>
        </w:rPr>
        <w:t>二）机构设置情况</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昆明市盘龙区信访局设3个内设机构：</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1、办公室。负责文电、会务、机要、档案等日常运转和综合协调工作；承担信息、保密、安全保卫、后勤、财务和资产管理等工作；负责党务、组织人事、机构编制、教育培训，指导工、青、妇开展各项工作；承担退休人员服务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2、接访科（中共昆明市盘龙区委、昆明市盘龙区人民政府人民群众来访接待室）。负责群众来信来访接待工作和通过网络途径提出的信访事项，转办、交办来信来访重要事项；承办区委书记、区长人民网网民留言办理工作；负责指导检查全区群众来信和网络信访事项办理工作；负责协调指导全区信访信息系统建设和应用工作，承担“云南省信访信息系统”、“云南省视频接访系统”、信访局门户网站及微信、微博的建设和运维工作；负责信访数据统计和信访形势综合分析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3、督查督办科。指导检查全区信访事项督查督办、复查复核和信访积案化解工作；统一受理区一级的信访事项复查、复核及听证申请；负责信访工作制度改革、信访法治化建设、依法分类处理信访诉求、综合文稿起草、对外宣传、政务公开和人民建议征集工作，提出加强和改进信访工作的建议；承担区委信访工作联席会议办公室日常工作；提出改进工作、完善政策、给予处分和违反信访工作纪律实施责任追究的建议。</w:t>
      </w:r>
    </w:p>
    <w:p>
      <w:pPr>
        <w:pStyle w:val="3"/>
        <w:adjustRightInd w:val="0"/>
        <w:snapToGrid w:val="0"/>
        <w:spacing w:before="93" w:line="360" w:lineRule="auto"/>
        <w:ind w:firstLine="630" w:firstLineChars="210"/>
        <w:rPr>
          <w:rFonts w:hAnsi="黑体" w:cs="方正小标宋简体"/>
          <w:szCs w:val="30"/>
        </w:rPr>
      </w:pPr>
      <w:r>
        <w:rPr>
          <w:rFonts w:hint="eastAsia" w:hAnsi="黑体" w:cs="方正小标宋简体"/>
          <w:szCs w:val="30"/>
        </w:rPr>
        <w:t>（三）2020年度重点工作任务介绍</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1.信访工作目标完成情况</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云南信访系统受理信访事项1802件，比去年同期1091件上升65%。按收件方式统计，其中有上级交办件1031件、自办件771件。按信访渠道统计，其中：来访录入办件317件次，网上信访216件次、人民网607件次、领导信箱120件次、微信237件次，手机语音50件次、邮件21件次、来信234件次，以网上信访为主的非接触式信访占比82%，同比2019年723件次，上升105%。网上信访逐步成为群众信访主渠道。</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区群众信访接待中心现场接访共接待来访群众566批1603人次，受理群众信访事项317批716人次，同比2019年368批974人次，批次上升54.35%、人次上升64.58%。</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2.信访积案责任包保到位</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我区建立了扎实的党政领导包案化解和带案下访工作机制，区级领导干部带头接访、约访重大疑难信访积案，给予信访局部门职能发挥强有力的支持。区委、区政府主要领导率先示范带头阅批群众来信和接待群众来访，各级党政领导认真落实主体责任和“一岗双责”，从源头上预防减少矛盾纠纷和信访问题的产生，亲自研究协调处理重大信访事项、亲自接待群众、阅批群众来信、亲自包案化解信访积案，亲自维护信访秩序，认真落实“三到位一处理”的要求，有力推动信访工作责任制落实。</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3.畅通渠道接来访</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结合新冠肺炎疫情防控工作实际，全区信访干部以高度的政治责任感和主动担当的使命意识做好信访受理办理工作，全力配合打好疫情防控阻击战。一是大力推广网上信访，畅通非接触式信访渠道，疫情爆发初期，及时发出《致信访群众的倡议书》，暂停开放来访接待场所，有效减少人员流动和聚集，倡导通过来信、网络和电话方式反映问题，保持信访事项“24小时在线受理”状态，做到即时受理、即时交办、优先处置、跟踪督办。二是建立与街道联动机制，对涉疫信访件处置情况全程跟踪掌握。落实信访受理情况日报告制度，每日汇总分析当日受理处置情况。落实工作责任，妥善处置到位。对群众反映的涉及疫情方面的信访事项，精准识别、精准研判、精准处置。三是做好接访场所防疫防护，确保来访群众和接访工作人员的生命健康安全。</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全区新开云南信访信息系统单位帐号1个（区检察院），累计覆盖全区37家单位、街道，联通市、区、街道三级联网视频接访系统，“网上信访”、“省长、书记信箱”、“区长、书记信箱”、“人民网”、“手机APP”、“微信”、“视频接访”工作延续开展。</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4.专项工作应急接访到位</w:t>
      </w:r>
    </w:p>
    <w:p>
      <w:pPr>
        <w:spacing w:line="360" w:lineRule="auto"/>
        <w:ind w:right="-218" w:rightChars="-10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信访局承接并圆满完成了、全国、省、市、区“两会”和各级各类重要会议活动、中小学考学重点时段、新冠肺炎防疫抗疫各专项工作期间的盘龙区信访保障工作。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5.开展信访法治宣传及信访调研活动</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按《关于认真做好2020年信访法治宣传及信访调研工作的通知》（昆信发〔2020〕10号）要求，以《信访条例》修订15周年主题宣传活动为契机，开展主题征文、系列讲座、以案释法、社区文艺演出等形式多样的法治宣传活动，积极做好信访调研工作。</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6.分责定岗、专题培训双管齐下提高办信质效</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适应大力推广网上信访和信访工作规范化、法治化要求不断提升的新形势，针对前期存在接访责任不明晰、业务流程不畅、接访办件人员政策规范不清的突出问题。区信访局将业务力量分为来访接待、来信处理和网上办件三个方阵，强化对全区责任单位、街道信访工作人员的组织和指导，进一步规范来访登记、接访流程，清除云南信访信息系统中的无效帐号，全面清理前期积存、错交和漏办案件，把好来件研判、交办前沟通指导、办件中进展跟踪规范“三道关”。针对部门(街道)主要领导、分管领导、信访专干分类分层次开展信访专题培训，落实了信访件的精准交办，有效提高了信访办件质效，群众满意率明显提升。</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7.信息通报推联动</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区信访局坚持信访工作周通报、月汇报、季小结的基础信息通报制度，以快报的形式对重大急难信访案件及时报告区委、区政府，将重大和疑难信访问题形成信访专报，为领导决策提供科学依据。对于去省、到市、来区集体访情况每月进行通报并将各有关单位集体访情况按批数、人数进行排序。围绕阶段的信访情况和问题以信访简报（共43期）为载体进行宣传，使区党政领导和各单位、各部门都能及时了解信访工作的信息和动态，从而形成了全区齐抓共管信访工作的强大合力。</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8.方式创新促绩效</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今年以来，区信访局从三个方面积极探索创新工作方式。一是，制度建设厘清信访工作职责，规范办信。制定完善考核办法、专项经费管理办法和相关规定。根据上级年度工作部署和区委、区政府目督考核统一计划，区信访局全区向信联成员单位及街道广泛征集信访工作考核意见，制定印发了《盘龙区信访工作考核办法（试行）》及《信访工作考核2020年重点工作》，发挥好信访工作“指挥棒”的作用。并制定了《盘龙区信访处突经费管理办法》，在主要领导过渡期间还制定了《盘龙区信访局过渡期管理决策及财务审批办法》。</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是，带案下访助力“街道吹哨、部门报到”机关运行，联合办信。针对重大疑难信访件和群体访苗头，区信访局与涉访责任单位、街道联合召集相关部门，局党组全体总动员，到涉访责任街道与群体访代表见面，把握接访主动权，坚持正面宣传，及时通报接访事项的受理情况。</w:t>
      </w:r>
    </w:p>
    <w:p>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是，落实区信访局党员干部对口协办信访工作机制。由局党组成员带头，全局党员干部对区委、区政府各部门和所属街道实行信访工作分片联系、对口协办的网格化工作布局，实行对口协办工作信息周汇报、月小结、季总结的报告研判制度，确保信访和社会矛盾纠纷隐患排查及时、预警有效、办件有序。</w:t>
      </w:r>
    </w:p>
    <w:p>
      <w:pPr>
        <w:spacing w:line="360" w:lineRule="auto"/>
        <w:ind w:firstLine="600" w:firstLineChars="200"/>
        <w:rPr>
          <w:rFonts w:ascii="黑体" w:hAnsi="黑体" w:eastAsia="黑体"/>
          <w:sz w:val="30"/>
          <w:szCs w:val="30"/>
        </w:rPr>
      </w:pPr>
      <w:r>
        <w:rPr>
          <w:rFonts w:hint="eastAsia" w:ascii="黑体" w:hAnsi="黑体" w:eastAsia="黑体"/>
          <w:sz w:val="30"/>
          <w:szCs w:val="30"/>
        </w:rPr>
        <w:t>二、部门基本情况</w:t>
      </w:r>
    </w:p>
    <w:p>
      <w:pPr>
        <w:spacing w:line="360" w:lineRule="auto"/>
        <w:ind w:firstLine="600" w:firstLineChars="200"/>
        <w:rPr>
          <w:rFonts w:ascii="仿宋_GB2312" w:hAnsi="黑体" w:eastAsia="仿宋_GB2312" w:cs="方正小标宋简体"/>
          <w:sz w:val="30"/>
          <w:szCs w:val="30"/>
        </w:rPr>
      </w:pPr>
      <w:r>
        <w:rPr>
          <w:rFonts w:hint="eastAsia" w:ascii="楷体" w:hAnsi="楷体" w:eastAsia="楷体"/>
          <w:bCs/>
          <w:sz w:val="30"/>
          <w:szCs w:val="30"/>
        </w:rPr>
        <w:t>（</w:t>
      </w:r>
      <w:r>
        <w:rPr>
          <w:rFonts w:hint="eastAsia" w:ascii="仿宋_GB2312" w:hAnsi="黑体" w:eastAsia="仿宋_GB2312" w:cs="方正小标宋简体"/>
          <w:sz w:val="30"/>
          <w:szCs w:val="30"/>
        </w:rPr>
        <w:t>一）部门决算单位构成</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纳入昆明市盘龙区信访局2020年度部门决算编报的单位共1个。其中：行政单位1个。即：昆明市盘龙区信访局。</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 xml:space="preserve">（二）部门人员和车辆的编制及实有情况 </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昆明市盘龙区信访局2020年末实有人员编制8人。其中：行政编制8人，在职在编实有行政人员8人。离退休人员2人。其中：退休2人。</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实有车辆编制1辆，在编实有车辆1辆。</w:t>
      </w:r>
    </w:p>
    <w:p>
      <w:pPr>
        <w:spacing w:line="360" w:lineRule="auto"/>
        <w:jc w:val="center"/>
        <w:rPr>
          <w:rFonts w:ascii="黑体" w:hAnsi="黑体" w:eastAsia="黑体"/>
          <w:sz w:val="32"/>
          <w:szCs w:val="32"/>
        </w:rPr>
      </w:pPr>
    </w:p>
    <w:p>
      <w:pPr>
        <w:numPr>
          <w:ilvl w:val="0"/>
          <w:numId w:val="1"/>
        </w:numPr>
        <w:spacing w:line="360" w:lineRule="auto"/>
        <w:jc w:val="center"/>
        <w:rPr>
          <w:rFonts w:ascii="黑体" w:hAnsi="黑体" w:eastAsia="黑体"/>
          <w:sz w:val="32"/>
          <w:szCs w:val="32"/>
        </w:rPr>
      </w:pPr>
      <w:r>
        <w:rPr>
          <w:rFonts w:hint="eastAsia" w:ascii="黑体" w:hAnsi="黑体" w:eastAsia="黑体"/>
          <w:sz w:val="32"/>
          <w:szCs w:val="32"/>
        </w:rPr>
        <w:t xml:space="preserve"> 2020年度部门决算表</w:t>
      </w:r>
    </w:p>
    <w:p>
      <w:pPr>
        <w:numPr>
          <w:ilvl w:val="0"/>
          <w:numId w:val="1"/>
        </w:numPr>
        <w:spacing w:line="360" w:lineRule="auto"/>
        <w:jc w:val="center"/>
        <w:rPr>
          <w:rFonts w:ascii="仿宋" w:hAnsi="仿宋" w:eastAsia="仿宋" w:cs="仿宋"/>
          <w:bCs/>
          <w:sz w:val="30"/>
          <w:szCs w:val="30"/>
        </w:rPr>
      </w:pPr>
      <w:r>
        <w:rPr>
          <w:rFonts w:hint="eastAsia" w:ascii="仿宋" w:hAnsi="仿宋" w:eastAsia="仿宋" w:cs="仿宋"/>
          <w:bCs/>
          <w:sz w:val="30"/>
          <w:szCs w:val="30"/>
        </w:rPr>
        <w:t>（详见附件）</w:t>
      </w:r>
    </w:p>
    <w:p>
      <w:pPr>
        <w:spacing w:line="360" w:lineRule="auto"/>
        <w:jc w:val="center"/>
        <w:rPr>
          <w:rFonts w:ascii="黑体" w:hAnsi="黑体" w:eastAsia="黑体"/>
          <w:sz w:val="32"/>
          <w:szCs w:val="32"/>
        </w:rPr>
      </w:pPr>
      <w:r>
        <w:rPr>
          <w:rFonts w:hint="eastAsia" w:ascii="黑体" w:hAnsi="黑体" w:eastAsia="黑体"/>
          <w:sz w:val="32"/>
          <w:szCs w:val="32"/>
        </w:rPr>
        <w:t>第三部分  2020年度部门决算情况说明</w:t>
      </w:r>
    </w:p>
    <w:p>
      <w:pPr>
        <w:spacing w:line="360" w:lineRule="auto"/>
        <w:ind w:firstLine="600" w:firstLineChars="200"/>
        <w:jc w:val="left"/>
        <w:rPr>
          <w:rFonts w:ascii="黑体" w:hAnsi="黑体" w:eastAsia="黑体"/>
          <w:sz w:val="30"/>
          <w:szCs w:val="30"/>
        </w:rPr>
      </w:pPr>
      <w:r>
        <w:rPr>
          <w:rFonts w:hint="eastAsia" w:ascii="黑体" w:hAnsi="黑体" w:eastAsia="黑体"/>
          <w:sz w:val="30"/>
          <w:szCs w:val="30"/>
        </w:rPr>
        <w:t>一、收入决算情况说明</w:t>
      </w:r>
    </w:p>
    <w:p>
      <w:pPr>
        <w:widowControl/>
        <w:snapToGrid w:val="0"/>
        <w:spacing w:before="100" w:after="100" w:line="360" w:lineRule="auto"/>
        <w:ind w:firstLine="538"/>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信访局2020年度收入合计226.48万元。其中：财政拨款收入226.48万元，占总收入的100%；上级-补助收入0万元，占总收入的0%；事业收入0万元（含教育收费0万元），占总收入的0%；经营收入0万元，占总收入的0%；附属单位缴款收入0万元，占总收入的0%；其他收入0万元，占总收入的0%。与上年266.81万元对比总收入减少40.33万元，主要原因：财政调减项目经费预算。</w:t>
      </w:r>
    </w:p>
    <w:p>
      <w:pPr>
        <w:spacing w:line="360" w:lineRule="auto"/>
        <w:ind w:firstLine="600" w:firstLineChars="200"/>
        <w:jc w:val="left"/>
        <w:rPr>
          <w:rFonts w:ascii="黑体" w:hAnsi="黑体" w:eastAsia="黑体"/>
          <w:sz w:val="30"/>
          <w:szCs w:val="30"/>
        </w:rPr>
      </w:pPr>
      <w:r>
        <w:rPr>
          <w:rFonts w:hint="eastAsia" w:ascii="黑体" w:hAnsi="黑体" w:eastAsia="黑体"/>
          <w:sz w:val="30"/>
          <w:szCs w:val="30"/>
        </w:rPr>
        <w:t>二、支出决算情况说明</w:t>
      </w:r>
    </w:p>
    <w:p>
      <w:pPr>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昆明市盘龙区信访局2020年度支出合计226.48万元。其中：基本支出144.68万元，占总支出的63.88％；项目支出81.8万元，占总支出的36.12％。上缴上级支出、经营支出、对附属单位补助支出共0万元，占总支出的0%。与上年260.88万元对比总支出减少34.4万元,主要原因，基本支出增加3.93万元，目支出减少38.33万元。</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（一）基本支出情况</w:t>
      </w:r>
    </w:p>
    <w:p>
      <w:pPr>
        <w:spacing w:line="360" w:lineRule="auto"/>
        <w:ind w:firstLine="600" w:firstLineChars="200"/>
        <w:rPr>
          <w:rFonts w:ascii="仿宋_GB2312" w:hAnsi="黑体" w:eastAsia="仿宋_GB2312" w:cs="方正小标宋简体"/>
          <w:sz w:val="30"/>
          <w:szCs w:val="30"/>
        </w:rPr>
      </w:pPr>
      <w:r>
        <w:rPr>
          <w:rFonts w:hint="eastAsia" w:ascii="仿宋_GB2312" w:hAnsi="黑体" w:eastAsia="仿宋_GB2312" w:cs="方正小标宋简体"/>
          <w:sz w:val="30"/>
          <w:szCs w:val="30"/>
        </w:rPr>
        <w:t>2020年度用于保障昆明市盘龙区信访局正常运转的日常支出144.68万元。与上年140.75万元对比增加3.93万元,主要原因分析：人员调动，调出1人，调入2人。包括基本工资、津贴补贴等人员经费支出129</w:t>
      </w:r>
      <w:r>
        <w:rPr>
          <w:rFonts w:hint="eastAsia" w:ascii="仿宋_GB2312" w:hAnsi="黑体" w:eastAsia="仿宋_GB2312" w:cs="方正小标宋简体"/>
          <w:sz w:val="30"/>
          <w:szCs w:val="30"/>
          <w:lang w:val="en-US" w:eastAsia="zh-CN"/>
        </w:rPr>
        <w:t>.</w:t>
      </w:r>
      <w:r>
        <w:rPr>
          <w:rFonts w:hint="eastAsia" w:ascii="仿宋_GB2312" w:hAnsi="黑体" w:eastAsia="仿宋_GB2312" w:cs="方正小标宋简体"/>
          <w:sz w:val="30"/>
          <w:szCs w:val="30"/>
        </w:rPr>
        <w:t>69</w:t>
      </w:r>
      <w:r>
        <w:rPr>
          <w:rFonts w:hint="eastAsia" w:ascii="仿宋_GB2312" w:hAnsi="黑体" w:eastAsia="仿宋_GB2312" w:cs="方正小标宋简体"/>
          <w:sz w:val="30"/>
          <w:szCs w:val="30"/>
          <w:lang w:val="en-US" w:eastAsia="zh-CN"/>
        </w:rPr>
        <w:t>元，</w:t>
      </w:r>
      <w:r>
        <w:rPr>
          <w:rFonts w:hint="eastAsia" w:ascii="仿宋_GB2312" w:hAnsi="黑体" w:eastAsia="仿宋_GB2312" w:cs="方正小标宋简体"/>
          <w:sz w:val="30"/>
          <w:szCs w:val="30"/>
        </w:rPr>
        <w:t>占基本支出的89.63％；办公费、印刷费、水电费、办公设备购置等日常公用经费14</w:t>
      </w:r>
      <w:r>
        <w:rPr>
          <w:rFonts w:hint="eastAsia" w:ascii="仿宋_GB2312" w:hAnsi="黑体" w:eastAsia="仿宋_GB2312" w:cs="方正小标宋简体"/>
          <w:sz w:val="30"/>
          <w:szCs w:val="30"/>
          <w:lang w:val="en-US" w:eastAsia="zh-CN"/>
        </w:rPr>
        <w:t>.</w:t>
      </w:r>
      <w:r>
        <w:rPr>
          <w:rFonts w:hint="eastAsia" w:ascii="仿宋_GB2312" w:hAnsi="黑体" w:eastAsia="仿宋_GB2312" w:cs="方正小标宋简体"/>
          <w:sz w:val="30"/>
          <w:szCs w:val="30"/>
        </w:rPr>
        <w:t>99</w:t>
      </w:r>
      <w:r>
        <w:rPr>
          <w:rFonts w:hint="eastAsia" w:ascii="仿宋_GB2312" w:hAnsi="黑体" w:eastAsia="仿宋_GB2312" w:cs="方正小标宋简体"/>
          <w:sz w:val="30"/>
          <w:szCs w:val="30"/>
          <w:lang w:val="en-US" w:eastAsia="zh-CN"/>
        </w:rPr>
        <w:t>元，</w:t>
      </w:r>
      <w:r>
        <w:rPr>
          <w:rFonts w:hint="eastAsia" w:ascii="仿宋_GB2312" w:hAnsi="黑体" w:eastAsia="仿宋_GB2312" w:cs="方正小标宋简体"/>
          <w:sz w:val="30"/>
          <w:szCs w:val="30"/>
        </w:rPr>
        <w:t>占基本支出的10.37％。</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（二）项目支出情况</w:t>
      </w:r>
    </w:p>
    <w:p>
      <w:pPr>
        <w:widowControl/>
        <w:snapToGrid w:val="0"/>
        <w:spacing w:before="100" w:after="100" w:line="360" w:lineRule="auto"/>
        <w:ind w:firstLine="538"/>
        <w:jc w:val="left"/>
        <w:rPr>
          <w:rFonts w:ascii="楷体" w:hAnsi="楷体" w:eastAsia="楷体"/>
          <w:bCs/>
          <w:sz w:val="30"/>
          <w:szCs w:val="30"/>
        </w:rPr>
      </w:pPr>
      <w:r>
        <w:rPr>
          <w:rFonts w:hint="eastAsia" w:ascii="仿宋_GB2312" w:hAnsi="黑体" w:eastAsia="仿宋_GB2312" w:cs="方正小标宋简体"/>
          <w:sz w:val="30"/>
          <w:szCs w:val="30"/>
        </w:rPr>
        <w:t>2020年度用于保障昆明市盘龙区信访局完成特定的行政工作任务或事业发展目标，用于专项业务工作的经费支出81.8万元。与上年120.13万元对比减少38.33万元,主要原因分析：财政调减项目预算经费。具体项目开支及开展工作情况：律师参与信访接待经费支出3万元，解决特殊疑难信访问题支出20万元，编外用工人员劳务费支出8.5万元，区信访局信访维稳工作经费支出50.30万元。</w:t>
      </w:r>
    </w:p>
    <w:p>
      <w:pPr>
        <w:widowControl/>
        <w:snapToGrid w:val="0"/>
        <w:spacing w:before="100" w:after="100" w:line="360" w:lineRule="auto"/>
        <w:ind w:firstLine="600" w:firstLineChars="200"/>
        <w:jc w:val="left"/>
        <w:rPr>
          <w:rFonts w:ascii="黑体" w:hAnsi="黑体" w:eastAsia="黑体"/>
          <w:sz w:val="30"/>
          <w:szCs w:val="30"/>
        </w:rPr>
      </w:pPr>
      <w:r>
        <w:rPr>
          <w:rFonts w:hint="eastAsia" w:ascii="黑体" w:hAnsi="黑体" w:eastAsia="黑体"/>
          <w:sz w:val="30"/>
          <w:szCs w:val="30"/>
        </w:rPr>
        <w:t>三、一般公共预算财政拨款支出决算情况说明</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（一）一般公共预算财政拨款支出决算总体情况</w:t>
      </w:r>
    </w:p>
    <w:p>
      <w:pPr>
        <w:widowControl/>
        <w:snapToGrid w:val="0"/>
        <w:spacing w:before="100" w:after="100" w:line="360" w:lineRule="auto"/>
        <w:ind w:firstLine="538"/>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昆明市盘龙区信访局2020年度一般公共预算财政拨款支出226.48万元,占本年支出合计的100%。与上年260.88万元对比减少34.4万元,主要原因分析：财政调减项目预算经费。</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（二）一般公共预算财政拨款支出决算具体情况</w:t>
      </w:r>
      <w:r>
        <w:rPr>
          <w:rFonts w:hint="eastAsia" w:ascii="楷体" w:hAnsi="楷体" w:eastAsia="楷体"/>
          <w:sz w:val="30"/>
          <w:szCs w:val="30"/>
        </w:rPr>
        <w:tab/>
      </w:r>
      <w:r>
        <w:rPr>
          <w:rFonts w:hint="eastAsia" w:ascii="楷体" w:hAnsi="楷体" w:eastAsia="楷体"/>
          <w:sz w:val="30"/>
          <w:szCs w:val="30"/>
        </w:rPr>
        <w:tab/>
      </w:r>
      <w:r>
        <w:rPr>
          <w:rFonts w:hint="eastAsia" w:ascii="楷体" w:hAnsi="楷体" w:eastAsia="楷体"/>
          <w:sz w:val="30"/>
          <w:szCs w:val="30"/>
        </w:rPr>
        <w:tab/>
      </w:r>
    </w:p>
    <w:p>
      <w:pPr>
        <w:widowControl/>
        <w:snapToGrid w:val="0"/>
        <w:spacing w:before="100" w:after="100" w:line="360" w:lineRule="auto"/>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1.一般公共服务（类）支出195万元，</w:t>
      </w:r>
      <w:r>
        <w:rPr>
          <w:rFonts w:hint="eastAsia" w:ascii="仿宋_GB2312" w:eastAsia="仿宋_GB2312"/>
          <w:sz w:val="30"/>
          <w:szCs w:val="30"/>
        </w:rPr>
        <w:t>占一般公共预算财政拨款总支出的86.1%。</w:t>
      </w:r>
      <w:r>
        <w:rPr>
          <w:rFonts w:hint="eastAsia" w:ascii="仿宋_GB2312" w:hAnsi="宋体" w:eastAsia="仿宋_GB2312" w:cs="Arial"/>
          <w:kern w:val="0"/>
          <w:sz w:val="30"/>
          <w:szCs w:val="30"/>
        </w:rPr>
        <w:t>主要用于</w:t>
      </w:r>
      <w:r>
        <w:rPr>
          <w:rFonts w:hint="eastAsia" w:ascii="仿宋_GB2312" w:hAnsi="黑体" w:eastAsia="仿宋_GB2312" w:cs="方正小标宋简体"/>
          <w:sz w:val="30"/>
          <w:szCs w:val="30"/>
        </w:rPr>
        <w:t>包括基本工资、津贴补贴等人员经费支出98.21万元；办公费、印刷费、水电费、办公设备购置等日常公用经费14.99万元；用于专项业务工作的经费支出81.8万元。</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hAnsi="宋体" w:eastAsia="仿宋_GB2312" w:cs="Arial"/>
          <w:kern w:val="0"/>
          <w:sz w:val="30"/>
          <w:szCs w:val="30"/>
        </w:rPr>
        <w:t>2.外交（类）支出</w:t>
      </w:r>
      <w:r>
        <w:rPr>
          <w:rFonts w:hint="eastAsia" w:ascii="仿宋_GB2312" w:eastAsia="仿宋_GB2312"/>
          <w:sz w:val="30"/>
          <w:szCs w:val="30"/>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占一般公共预算财政拨款总支出的0%。</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hAnsi="宋体" w:eastAsia="仿宋_GB2312" w:cs="Arial"/>
          <w:kern w:val="0"/>
          <w:sz w:val="30"/>
          <w:szCs w:val="30"/>
        </w:rPr>
        <w:t>3.国防（类）支出</w:t>
      </w:r>
      <w:r>
        <w:rPr>
          <w:rFonts w:hint="eastAsia" w:ascii="仿宋_GB2312" w:eastAsia="仿宋_GB2312"/>
          <w:sz w:val="30"/>
          <w:szCs w:val="30"/>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占一般公共预算财政拨款总支出的0%。</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hAnsi="宋体" w:eastAsia="仿宋_GB2312" w:cs="Arial"/>
          <w:kern w:val="0"/>
          <w:sz w:val="30"/>
          <w:szCs w:val="30"/>
        </w:rPr>
        <w:t>4.公共安全（类）支出</w:t>
      </w:r>
      <w:r>
        <w:rPr>
          <w:rFonts w:hint="eastAsia" w:ascii="仿宋_GB2312" w:eastAsia="仿宋_GB2312"/>
          <w:sz w:val="30"/>
          <w:szCs w:val="30"/>
        </w:rPr>
        <w:t>0</w:t>
      </w:r>
      <w:r>
        <w:rPr>
          <w:rFonts w:hint="eastAsia" w:ascii="仿宋_GB2312" w:hAnsi="宋体" w:eastAsia="仿宋_GB2312" w:cs="Arial"/>
          <w:kern w:val="0"/>
          <w:sz w:val="30"/>
          <w:szCs w:val="30"/>
        </w:rPr>
        <w:t>万元，</w:t>
      </w:r>
      <w:r>
        <w:rPr>
          <w:rFonts w:hint="eastAsia" w:ascii="仿宋_GB2312" w:eastAsia="仿宋_GB2312"/>
          <w:sz w:val="30"/>
          <w:szCs w:val="30"/>
        </w:rPr>
        <w:t>占一般公共预算财政拨款总支出的0%。</w:t>
      </w:r>
    </w:p>
    <w:p>
      <w:pPr>
        <w:widowControl/>
        <w:snapToGrid w:val="0"/>
        <w:spacing w:before="100" w:after="100" w:line="360" w:lineRule="auto"/>
        <w:ind w:firstLine="600" w:firstLineChars="200"/>
        <w:jc w:val="left"/>
        <w:rPr>
          <w:rFonts w:ascii="黑体" w:hAnsi="黑体" w:eastAsia="黑体"/>
          <w:sz w:val="30"/>
          <w:szCs w:val="30"/>
        </w:rPr>
      </w:pPr>
      <w:r>
        <w:rPr>
          <w:rFonts w:hint="eastAsia" w:ascii="黑体" w:hAnsi="黑体" w:eastAsia="黑体"/>
          <w:sz w:val="30"/>
          <w:szCs w:val="30"/>
        </w:rPr>
        <w:t>四、一般公共预算财政拨款“三公”经费支出决算情况说明</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(一)</w:t>
      </w:r>
      <w:r>
        <w:rPr>
          <w:rFonts w:hint="eastAsia" w:ascii="黑体" w:hAnsi="黑体" w:eastAsia="黑体"/>
          <w:sz w:val="30"/>
          <w:szCs w:val="30"/>
        </w:rPr>
        <w:t xml:space="preserve"> </w:t>
      </w:r>
      <w:r>
        <w:rPr>
          <w:rFonts w:hint="eastAsia" w:ascii="楷体" w:hAnsi="楷体" w:eastAsia="楷体"/>
          <w:sz w:val="30"/>
          <w:szCs w:val="30"/>
        </w:rPr>
        <w:t>一般公共预算财政拨款“三公”经费支出决算总体情况</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hAnsi="黑体" w:eastAsia="仿宋_GB2312" w:cs="方正小标宋简体"/>
          <w:sz w:val="30"/>
          <w:szCs w:val="30"/>
        </w:rPr>
        <w:t>昆明市盘龙区信访局2020年度</w:t>
      </w:r>
      <w:r>
        <w:rPr>
          <w:rFonts w:hint="eastAsia" w:ascii="仿宋_GB2312" w:eastAsia="仿宋_GB2312"/>
          <w:sz w:val="30"/>
          <w:szCs w:val="30"/>
        </w:rPr>
        <w:t>一般公共预算财政拨款“三公”经费支出预算为3.15万元，支出决算为1.84万元，完成预算的58.41%。其中：因公出国（境）费支出决算为0万元，完成预算的0%；公务用车购置及运行费支出决算为1.84万元，完成预算的58.41%；公务接待费支出决算为0万元，完成预算的0%。2020年度一般公共预算财政拨款“三公”经费支出决算数小于预算数的主要原因：未发生会务及公务接待。</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rPr>
        <w:t>2020年度一般公共预算财政拨款“三公”经费支出决算数比2019年增加0.66万元，增长55.93%。其中：因公出国（境）费支出决算减少0万元，下降0%；公务用车购置及运行费支出决算增加0.66万元，增长55.93%；公务接待费支出决算减少0万元，下降0%。2020年度一般公共预算财政拨款“三公”经费支出决算增加的主要原因车辆维修费增加。</w:t>
      </w:r>
    </w:p>
    <w:p>
      <w:pPr>
        <w:widowControl/>
        <w:snapToGrid w:val="0"/>
        <w:spacing w:before="100" w:after="100" w:line="360" w:lineRule="auto"/>
        <w:ind w:firstLine="600" w:firstLineChars="200"/>
        <w:jc w:val="left"/>
        <w:rPr>
          <w:rFonts w:ascii="楷体" w:hAnsi="楷体" w:eastAsia="楷体"/>
          <w:sz w:val="30"/>
          <w:szCs w:val="30"/>
        </w:rPr>
      </w:pPr>
      <w:r>
        <w:rPr>
          <w:rFonts w:hint="eastAsia" w:ascii="楷体" w:hAnsi="楷体" w:eastAsia="楷体"/>
          <w:sz w:val="30"/>
          <w:szCs w:val="30"/>
        </w:rPr>
        <w:t>(二)</w:t>
      </w:r>
      <w:r>
        <w:rPr>
          <w:rFonts w:hint="eastAsia" w:ascii="仿宋_GB2312" w:eastAsia="仿宋_GB2312"/>
          <w:sz w:val="30"/>
          <w:szCs w:val="30"/>
        </w:rPr>
        <w:t xml:space="preserve"> </w:t>
      </w:r>
      <w:r>
        <w:rPr>
          <w:rFonts w:hint="eastAsia" w:ascii="楷体" w:hAnsi="楷体" w:eastAsia="楷体"/>
          <w:sz w:val="30"/>
          <w:szCs w:val="30"/>
        </w:rPr>
        <w:t>一般公共预算财政拨款“三公”经费支出决算具体情况</w:t>
      </w:r>
    </w:p>
    <w:p>
      <w:pPr>
        <w:widowControl/>
        <w:snapToGrid w:val="0"/>
        <w:spacing w:before="100" w:after="100" w:line="360" w:lineRule="auto"/>
        <w:ind w:firstLine="600" w:firstLineChars="200"/>
        <w:jc w:val="left"/>
        <w:rPr>
          <w:rFonts w:ascii="仿宋_GB2312" w:eastAsia="仿宋_GB2312"/>
          <w:sz w:val="30"/>
          <w:szCs w:val="30"/>
        </w:rPr>
      </w:pPr>
      <w:r>
        <w:rPr>
          <w:rFonts w:hint="eastAsia" w:ascii="仿宋_GB2312" w:eastAsia="仿宋_GB2312"/>
          <w:sz w:val="30"/>
          <w:szCs w:val="30"/>
        </w:rPr>
        <w:t>2020年度一般公共预算财政拨款“三公”经费支出决算中，因公出国（境）费支出0万元，占0%；公务用车购置及运行维护费支出1.84万元，占58.41%；公务接待费支出0万元，占0%。具体情况如下：</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1.因公出国（境）费</w:t>
      </w:r>
      <w:r>
        <w:rPr>
          <w:rFonts w:hint="eastAsia" w:ascii="仿宋_GB2312" w:eastAsia="仿宋_GB2312"/>
          <w:sz w:val="30"/>
          <w:szCs w:val="30"/>
        </w:rPr>
        <w:t>支出0万元，共安排因公出国（境）团组0个，累计0人次。</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2.公务用车购置及运行维护费</w:t>
      </w:r>
      <w:r>
        <w:rPr>
          <w:rFonts w:hint="eastAsia" w:ascii="仿宋_GB2312" w:eastAsia="仿宋_GB2312"/>
          <w:sz w:val="30"/>
          <w:szCs w:val="30"/>
        </w:rPr>
        <w:t>支出1.84万元。其中：</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公务用车购置</w:t>
      </w:r>
      <w:r>
        <w:rPr>
          <w:rFonts w:hint="eastAsia" w:ascii="仿宋_GB2312" w:eastAsia="仿宋_GB2312"/>
          <w:sz w:val="30"/>
          <w:szCs w:val="30"/>
        </w:rPr>
        <w:t>支出0万元，购置车辆0辆。</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公务用车运行维护</w:t>
      </w:r>
      <w:r>
        <w:rPr>
          <w:rFonts w:hint="eastAsia" w:ascii="仿宋_GB2312" w:eastAsia="仿宋_GB2312"/>
          <w:sz w:val="30"/>
          <w:szCs w:val="30"/>
        </w:rPr>
        <w:t>支出1.84万元，开支一般公共预算财政拨款的公务用车保有量为1辆。主要用于信访处突所需车辆燃料费、维修费、过路过桥费、保险费等。</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3.公务接待费</w:t>
      </w:r>
      <w:r>
        <w:rPr>
          <w:rFonts w:hint="eastAsia" w:ascii="仿宋_GB2312" w:eastAsia="仿宋_GB2312"/>
          <w:sz w:val="30"/>
          <w:szCs w:val="30"/>
        </w:rPr>
        <w:t>支出0万元。其中：</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国内接待费</w:t>
      </w:r>
      <w:r>
        <w:rPr>
          <w:rFonts w:hint="eastAsia" w:ascii="仿宋_GB2312" w:eastAsia="仿宋_GB2312"/>
          <w:sz w:val="30"/>
          <w:szCs w:val="30"/>
        </w:rPr>
        <w:t>支出0万元（其中：外事接待费支出0万元），共安排国内公务接待0批次（其中：外事接待0批次），接待人次0人（其中：外事接待人次0人）。</w:t>
      </w:r>
    </w:p>
    <w:p>
      <w:pPr>
        <w:widowControl/>
        <w:snapToGrid w:val="0"/>
        <w:spacing w:before="100" w:after="100" w:line="360" w:lineRule="auto"/>
        <w:ind w:firstLine="602" w:firstLineChars="200"/>
        <w:jc w:val="left"/>
        <w:rPr>
          <w:rFonts w:ascii="仿宋_GB2312" w:eastAsia="仿宋_GB2312"/>
          <w:sz w:val="30"/>
          <w:szCs w:val="30"/>
        </w:rPr>
      </w:pPr>
      <w:r>
        <w:rPr>
          <w:rFonts w:hint="eastAsia" w:ascii="仿宋_GB2312" w:eastAsia="仿宋_GB2312"/>
          <w:b/>
          <w:sz w:val="30"/>
          <w:szCs w:val="30"/>
        </w:rPr>
        <w:t>国（境）外接待费</w:t>
      </w:r>
      <w:r>
        <w:rPr>
          <w:rFonts w:hint="eastAsia" w:ascii="仿宋_GB2312" w:eastAsia="仿宋_GB2312"/>
          <w:sz w:val="30"/>
          <w:szCs w:val="30"/>
        </w:rPr>
        <w:t>支出0万元，共安排国（境）外公务接待0批次，接待人次0人。</w:t>
      </w:r>
    </w:p>
    <w:p>
      <w:pPr>
        <w:widowControl/>
        <w:snapToGrid w:val="0"/>
        <w:spacing w:before="100" w:after="100" w:line="360" w:lineRule="auto"/>
        <w:ind w:firstLine="640" w:firstLineChars="200"/>
        <w:jc w:val="left"/>
        <w:rPr>
          <w:rFonts w:ascii="仿宋_GB2312" w:eastAsia="仿宋_GB2312"/>
          <w:sz w:val="32"/>
          <w:szCs w:val="32"/>
        </w:rPr>
      </w:pPr>
      <w:r>
        <w:rPr>
          <w:rFonts w:hint="eastAsia" w:ascii="黑体" w:hAnsi="黑体" w:eastAsia="黑体" w:cs="方正小标宋简体"/>
          <w:sz w:val="32"/>
          <w:szCs w:val="32"/>
        </w:rPr>
        <w:t xml:space="preserve">第四部分  </w:t>
      </w:r>
      <w:r>
        <w:rPr>
          <w:rFonts w:hint="eastAsia" w:ascii="黑体" w:hAnsi="黑体" w:eastAsia="黑体"/>
          <w:sz w:val="32"/>
          <w:szCs w:val="32"/>
        </w:rPr>
        <w:t>其他重要事项及相关口径情况说明</w:t>
      </w:r>
    </w:p>
    <w:p>
      <w:pPr>
        <w:spacing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一、机关运行经费支出情况</w:t>
      </w:r>
    </w:p>
    <w:p>
      <w:pPr>
        <w:spacing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昆明市盘龙区信访局2020年机关运行经费支出14.99万元，与上年16.92万元对比减少1.93万元,主要原因分析：财政预算部分调减经费。部门机关运行经费主要用于行政办公和保障机关运行支出。</w:t>
      </w:r>
    </w:p>
    <w:p>
      <w:pPr>
        <w:widowControl/>
        <w:spacing w:line="360" w:lineRule="auto"/>
        <w:ind w:firstLine="600" w:firstLineChars="200"/>
        <w:rPr>
          <w:rFonts w:ascii="黑体" w:hAnsi="黑体" w:eastAsia="黑体" w:cs="黑体"/>
          <w:color w:val="000000"/>
          <w:kern w:val="0"/>
          <w:sz w:val="30"/>
          <w:szCs w:val="30"/>
        </w:rPr>
      </w:pPr>
      <w:r>
        <w:rPr>
          <w:rFonts w:hint="eastAsia" w:ascii="黑体" w:hAnsi="黑体" w:eastAsia="黑体" w:cs="黑体"/>
          <w:color w:val="000000"/>
          <w:kern w:val="0"/>
          <w:sz w:val="30"/>
          <w:szCs w:val="30"/>
        </w:rPr>
        <w:t>二、国有资产占用情况</w:t>
      </w:r>
    </w:p>
    <w:p>
      <w:pPr>
        <w:widowControl/>
        <w:spacing w:line="360" w:lineRule="auto"/>
        <w:ind w:firstLine="600" w:firstLineChars="200"/>
        <w:rPr>
          <w:rFonts w:ascii="宋体" w:hAnsi="宋体" w:cs="宋体"/>
          <w:color w:val="000000"/>
          <w:kern w:val="0"/>
          <w:sz w:val="30"/>
          <w:szCs w:val="30"/>
        </w:rPr>
      </w:pPr>
      <w:r>
        <w:rPr>
          <w:rFonts w:hint="eastAsia" w:ascii="仿宋_GB2312" w:hAnsi="黑体" w:eastAsia="仿宋_GB2312" w:cs="方正小标宋简体"/>
          <w:color w:val="000000"/>
          <w:kern w:val="0"/>
          <w:sz w:val="30"/>
          <w:szCs w:val="30"/>
        </w:rPr>
        <w:t>截至2020年12月31日，昆明市盘龙区信访局资产总额39.28万元，其中，流动资产4.78万元，固定资产34.51万元，对外投资及有价证券0万元，在建工程0万元，无形资产0万元，其他资产13.55万元（具体内容详见附表）。与上年相比，本年资产总额增加</w:t>
      </w:r>
      <w:bookmarkStart w:id="0" w:name="_GoBack"/>
      <w:bookmarkEnd w:id="0"/>
      <w:r>
        <w:rPr>
          <w:rFonts w:hint="eastAsia" w:ascii="仿宋_GB2312" w:hAnsi="黑体" w:eastAsia="仿宋_GB2312" w:cs="方正小标宋简体"/>
          <w:color w:val="000000"/>
          <w:kern w:val="0"/>
          <w:sz w:val="30"/>
          <w:szCs w:val="30"/>
        </w:rPr>
        <w:t>0万元。处置房屋建筑物0平方米，账面原值0万元；处置车辆0辆，账面原值0万元；报废报损资产0项，账面原值0万元，实现资产处置收入0万元；出租房屋0平方米，账面原值0万元，实现资产使用收入0万元。</w:t>
      </w:r>
    </w:p>
    <w:tbl>
      <w:tblPr>
        <w:tblStyle w:val="7"/>
        <w:tblpPr w:leftFromText="180" w:rightFromText="180" w:topFromText="100" w:bottomFromText="100" w:vertAnchor="text" w:horzAnchor="page" w:tblpX="534" w:tblpY="490"/>
        <w:tblOverlap w:val="never"/>
        <w:tblW w:w="10770" w:type="dxa"/>
        <w:tblInd w:w="0"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476"/>
        <w:gridCol w:w="142"/>
      </w:tblGrid>
      <w:tr>
        <w:tblPrEx>
          <w:tblCellMar>
            <w:top w:w="0" w:type="dxa"/>
            <w:left w:w="0" w:type="dxa"/>
            <w:bottom w:w="0" w:type="dxa"/>
            <w:right w:w="0" w:type="dxa"/>
          </w:tblCellMar>
        </w:tblPrEx>
        <w:trPr>
          <w:trHeight w:val="495" w:hRule="atLeast"/>
        </w:trPr>
        <w:tc>
          <w:tcPr>
            <w:tcW w:w="10628" w:type="dxa"/>
            <w:gridSpan w:val="19"/>
            <w:tcBorders>
              <w:top w:val="nil"/>
              <w:left w:val="nil"/>
              <w:bottom w:val="nil"/>
              <w:right w:val="nil"/>
            </w:tcBorders>
            <w:shd w:val="clear" w:color="auto" w:fill="FFFFFF"/>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仿宋_GB2312" w:hAnsi="方正小标宋_GBK" w:eastAsia="仿宋_GB2312" w:cs="方正小标宋_GBK"/>
                <w:b/>
                <w:color w:val="000000"/>
                <w:kern w:val="0"/>
                <w:sz w:val="30"/>
                <w:szCs w:val="30"/>
              </w:rPr>
              <w:t>国有资产占有使用情况表</w:t>
            </w: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textAlignment w:val="center"/>
              <w:rPr>
                <w:rFonts w:ascii="宋体" w:hAnsi="宋体" w:cs="宋体"/>
                <w:color w:val="000000"/>
                <w:kern w:val="0"/>
                <w:sz w:val="24"/>
              </w:rPr>
            </w:pPr>
            <w:r>
              <w:rPr>
                <w:rFonts w:hint="eastAsia" w:ascii="宋体" w:hAnsi="宋体" w:cs="宋体"/>
                <w:color w:val="000000"/>
                <w:kern w:val="0"/>
                <w:sz w:val="20"/>
                <w:szCs w:val="20"/>
              </w:rPr>
              <w:t> </w:t>
            </w:r>
          </w:p>
        </w:tc>
        <w:tc>
          <w:tcPr>
            <w:tcW w:w="865"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974"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196"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978"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979"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1956" w:type="dxa"/>
            <w:gridSpan w:val="5"/>
            <w:tcBorders>
              <w:top w:val="nil"/>
              <w:left w:val="nil"/>
              <w:bottom w:val="single" w:color="808080" w:sz="4" w:space="0"/>
              <w:right w:val="nil"/>
            </w:tcBorders>
            <w:shd w:val="clear" w:color="auto" w:fill="FFFFFF"/>
            <w:tcMar>
              <w:top w:w="15" w:type="dxa"/>
              <w:left w:w="15" w:type="dxa"/>
              <w:bottom w:w="15" w:type="dxa"/>
              <w:right w:w="15" w:type="dxa"/>
            </w:tcMar>
            <w:vAlign w:val="center"/>
          </w:tcPr>
          <w:p>
            <w:pPr>
              <w:widowControl/>
              <w:spacing w:line="360" w:lineRule="auto"/>
              <w:jc w:val="right"/>
              <w:textAlignment w:val="center"/>
              <w:rPr>
                <w:rFonts w:ascii="宋体" w:hAnsi="宋体" w:cs="宋体"/>
                <w:color w:val="000000"/>
                <w:kern w:val="0"/>
                <w:sz w:val="24"/>
              </w:rPr>
            </w:pPr>
            <w:r>
              <w:rPr>
                <w:rFonts w:hint="eastAsia" w:ascii="宋体" w:hAnsi="宋体" w:cs="宋体"/>
                <w:color w:val="000000"/>
                <w:kern w:val="0"/>
                <w:sz w:val="20"/>
                <w:szCs w:val="20"/>
              </w:rPr>
              <w:t>单位：万元</w:t>
            </w: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15" w:hRule="atLeast"/>
        </w:trPr>
        <w:tc>
          <w:tcPr>
            <w:tcW w:w="71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项目</w:t>
            </w:r>
          </w:p>
        </w:tc>
        <w:tc>
          <w:tcPr>
            <w:tcW w:w="546"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行次</w:t>
            </w:r>
          </w:p>
        </w:tc>
        <w:tc>
          <w:tcPr>
            <w:tcW w:w="700"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资产总额</w:t>
            </w:r>
          </w:p>
        </w:tc>
        <w:tc>
          <w:tcPr>
            <w:tcW w:w="684"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流动资产</w:t>
            </w:r>
          </w:p>
        </w:tc>
        <w:tc>
          <w:tcPr>
            <w:tcW w:w="4070" w:type="dxa"/>
            <w:gridSpan w:val="8"/>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固定资产</w:t>
            </w:r>
          </w:p>
        </w:tc>
        <w:tc>
          <w:tcPr>
            <w:tcW w:w="978"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对外投资/有价证券</w:t>
            </w:r>
          </w:p>
        </w:tc>
        <w:tc>
          <w:tcPr>
            <w:tcW w:w="979"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在建工程</w:t>
            </w:r>
          </w:p>
        </w:tc>
        <w:tc>
          <w:tcPr>
            <w:tcW w:w="978" w:type="dxa"/>
            <w:gridSpan w:val="2"/>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无形资产</w:t>
            </w:r>
          </w:p>
        </w:tc>
        <w:tc>
          <w:tcPr>
            <w:tcW w:w="978" w:type="dxa"/>
            <w:gridSpan w:val="3"/>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其他资产</w:t>
            </w: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45"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474"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小计</w:t>
            </w:r>
          </w:p>
        </w:tc>
        <w:tc>
          <w:tcPr>
            <w:tcW w:w="725"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房屋构筑物</w:t>
            </w:r>
          </w:p>
        </w:tc>
        <w:tc>
          <w:tcPr>
            <w:tcW w:w="769"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车辆</w:t>
            </w:r>
          </w:p>
        </w:tc>
        <w:tc>
          <w:tcPr>
            <w:tcW w:w="1263" w:type="dxa"/>
            <w:gridSpan w:val="3"/>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单价200万以上大型设备</w:t>
            </w:r>
          </w:p>
        </w:tc>
        <w:tc>
          <w:tcPr>
            <w:tcW w:w="839" w:type="dxa"/>
            <w:gridSpan w:val="2"/>
            <w:vMerge w:val="restart"/>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其他固定资产</w:t>
            </w:r>
          </w:p>
        </w:tc>
        <w:tc>
          <w:tcPr>
            <w:tcW w:w="97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287" w:hRule="atLeast"/>
        </w:trPr>
        <w:tc>
          <w:tcPr>
            <w:tcW w:w="71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700"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68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47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725"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76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1263" w:type="dxa"/>
            <w:gridSpan w:val="3"/>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8"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9"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8" w:type="dxa"/>
            <w:gridSpan w:val="2"/>
            <w:vMerge w:val="continue"/>
            <w:tcBorders>
              <w:top w:val="nil"/>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978" w:type="dxa"/>
            <w:gridSpan w:val="3"/>
            <w:vMerge w:val="continue"/>
            <w:tcBorders>
              <w:top w:val="nil"/>
              <w:left w:val="single" w:color="000000" w:sz="4" w:space="0"/>
              <w:bottom w:val="single" w:color="000000" w:sz="4" w:space="0"/>
              <w:right w:val="single" w:color="000000" w:sz="4" w:space="0"/>
            </w:tcBorders>
            <w:vAlign w:val="center"/>
          </w:tcPr>
          <w:p>
            <w:pPr>
              <w:widowControl/>
              <w:spacing w:line="360" w:lineRule="auto"/>
              <w:jc w:val="left"/>
              <w:rPr>
                <w:rFonts w:ascii="宋体" w:hAnsi="宋体" w:cs="宋体"/>
                <w:color w:val="000000"/>
                <w:kern w:val="0"/>
                <w:sz w:val="24"/>
              </w:rPr>
            </w:pP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栏次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left"/>
              <w:rPr>
                <w:rFonts w:ascii="宋体" w:hAnsi="宋体" w:cs="宋体"/>
                <w:color w:val="000000"/>
                <w:kern w:val="0"/>
                <w:sz w:val="24"/>
              </w:rPr>
            </w:pPr>
            <w:r>
              <w:rPr>
                <w:rFonts w:hint="eastAsia" w:ascii="宋体" w:hAnsi="宋体" w:cs="宋体"/>
                <w:color w:val="000000"/>
                <w:kern w:val="0"/>
                <w:sz w:val="20"/>
                <w:szCs w:val="20"/>
              </w:rPr>
              <w:t> </w:t>
            </w:r>
          </w:p>
        </w:tc>
        <w:tc>
          <w:tcPr>
            <w:tcW w:w="7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1</w:t>
            </w:r>
          </w:p>
        </w:tc>
        <w:tc>
          <w:tcPr>
            <w:tcW w:w="68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2</w:t>
            </w:r>
          </w:p>
        </w:tc>
        <w:tc>
          <w:tcPr>
            <w:tcW w:w="47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3</w:t>
            </w:r>
          </w:p>
        </w:tc>
        <w:tc>
          <w:tcPr>
            <w:tcW w:w="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4</w:t>
            </w:r>
          </w:p>
        </w:tc>
        <w:tc>
          <w:tcPr>
            <w:tcW w:w="76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5</w:t>
            </w:r>
          </w:p>
        </w:tc>
        <w:tc>
          <w:tcPr>
            <w:tcW w:w="126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6</w:t>
            </w:r>
          </w:p>
        </w:tc>
        <w:tc>
          <w:tcPr>
            <w:tcW w:w="839"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7</w:t>
            </w:r>
          </w:p>
        </w:tc>
        <w:tc>
          <w:tcPr>
            <w:tcW w:w="9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8</w:t>
            </w:r>
          </w:p>
        </w:tc>
        <w:tc>
          <w:tcPr>
            <w:tcW w:w="97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9</w:t>
            </w:r>
          </w:p>
        </w:tc>
        <w:tc>
          <w:tcPr>
            <w:tcW w:w="97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10</w:t>
            </w:r>
          </w:p>
        </w:tc>
        <w:tc>
          <w:tcPr>
            <w:tcW w:w="9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11</w:t>
            </w: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合计</w:t>
            </w:r>
          </w:p>
        </w:tc>
        <w:tc>
          <w:tcPr>
            <w:tcW w:w="54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center"/>
              <w:textAlignment w:val="center"/>
              <w:rPr>
                <w:rFonts w:ascii="宋体" w:hAnsi="宋体" w:cs="宋体"/>
                <w:color w:val="000000"/>
                <w:kern w:val="0"/>
                <w:sz w:val="24"/>
              </w:rPr>
            </w:pPr>
            <w:r>
              <w:rPr>
                <w:rFonts w:hint="eastAsia" w:ascii="宋体" w:hAnsi="宋体" w:cs="宋体"/>
                <w:color w:val="000000"/>
                <w:kern w:val="0"/>
                <w:sz w:val="20"/>
                <w:szCs w:val="20"/>
              </w:rPr>
              <w:t>1</w:t>
            </w:r>
          </w:p>
        </w:tc>
        <w:tc>
          <w:tcPr>
            <w:tcW w:w="700"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39.28 </w:t>
            </w:r>
          </w:p>
        </w:tc>
        <w:tc>
          <w:tcPr>
            <w:tcW w:w="68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4.78 </w:t>
            </w:r>
          </w:p>
        </w:tc>
        <w:tc>
          <w:tcPr>
            <w:tcW w:w="47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34.51 </w:t>
            </w:r>
          </w:p>
        </w:tc>
        <w:tc>
          <w:tcPr>
            <w:tcW w:w="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76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20.96 </w:t>
            </w:r>
          </w:p>
        </w:tc>
        <w:tc>
          <w:tcPr>
            <w:tcW w:w="1263"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839"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13.55 </w:t>
            </w:r>
          </w:p>
        </w:tc>
        <w:tc>
          <w:tcPr>
            <w:tcW w:w="978"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979"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978" w:type="dxa"/>
            <w:gridSpan w:val="2"/>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978" w:type="dxa"/>
            <w:gridSpan w:val="3"/>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widowControl/>
              <w:spacing w:line="360" w:lineRule="auto"/>
              <w:jc w:val="right"/>
              <w:rPr>
                <w:rFonts w:ascii="宋体" w:hAnsi="宋体" w:cs="宋体"/>
                <w:color w:val="000000"/>
                <w:kern w:val="0"/>
                <w:sz w:val="24"/>
              </w:rPr>
            </w:pPr>
            <w:r>
              <w:rPr>
                <w:rFonts w:hint="eastAsia" w:ascii="宋体" w:hAnsi="宋体" w:cs="宋体"/>
                <w:color w:val="000000"/>
                <w:kern w:val="0"/>
                <w:sz w:val="20"/>
                <w:szCs w:val="20"/>
              </w:rPr>
              <w:t> </w:t>
            </w: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gridAfter w:val="2"/>
          <w:wAfter w:w="618" w:type="dxa"/>
          <w:trHeight w:val="259" w:hRule="atLeast"/>
        </w:trPr>
        <w:tc>
          <w:tcPr>
            <w:tcW w:w="8672" w:type="dxa"/>
            <w:gridSpan w:val="14"/>
            <w:tcBorders>
              <w:top w:val="nil"/>
              <w:left w:val="nil"/>
              <w:bottom w:val="nil"/>
              <w:right w:val="nil"/>
            </w:tcBorders>
            <w:tcMar>
              <w:top w:w="15" w:type="dxa"/>
              <w:left w:w="15" w:type="dxa"/>
              <w:bottom w:w="15" w:type="dxa"/>
              <w:right w:w="15" w:type="dxa"/>
            </w:tcMar>
            <w:vAlign w:val="bottom"/>
          </w:tcPr>
          <w:p>
            <w:pPr>
              <w:widowControl/>
              <w:spacing w:line="360" w:lineRule="auto"/>
              <w:rPr>
                <w:rFonts w:ascii="宋体" w:hAnsi="宋体" w:cs="宋体"/>
                <w:color w:val="000000"/>
                <w:kern w:val="0"/>
                <w:sz w:val="24"/>
              </w:rPr>
            </w:pPr>
          </w:p>
        </w:tc>
        <w:tc>
          <w:tcPr>
            <w:tcW w:w="360" w:type="dxa"/>
            <w:tcBorders>
              <w:top w:val="nil"/>
              <w:left w:val="nil"/>
              <w:bottom w:val="nil"/>
              <w:right w:val="nil"/>
            </w:tcBorders>
            <w:tcMar>
              <w:top w:w="15" w:type="dxa"/>
              <w:left w:w="15" w:type="dxa"/>
              <w:bottom w:w="15" w:type="dxa"/>
              <w:right w:w="15" w:type="dxa"/>
            </w:tcMar>
            <w:vAlign w:val="bottom"/>
          </w:tcPr>
          <w:p>
            <w:pPr>
              <w:widowControl/>
              <w:spacing w:line="360" w:lineRule="auto"/>
              <w:rPr>
                <w:rFonts w:ascii="宋体" w:hAnsi="宋体" w:cs="宋体"/>
                <w:color w:val="000000"/>
                <w:kern w:val="0"/>
                <w:sz w:val="20"/>
              </w:rPr>
            </w:pPr>
          </w:p>
        </w:tc>
        <w:tc>
          <w:tcPr>
            <w:tcW w:w="978" w:type="dxa"/>
            <w:gridSpan w:val="2"/>
            <w:tcBorders>
              <w:top w:val="nil"/>
              <w:left w:val="nil"/>
              <w:bottom w:val="nil"/>
              <w:right w:val="nil"/>
            </w:tcBorders>
            <w:tcMar>
              <w:top w:w="15" w:type="dxa"/>
              <w:left w:w="15" w:type="dxa"/>
              <w:bottom w:w="15" w:type="dxa"/>
              <w:right w:w="15" w:type="dxa"/>
            </w:tcMar>
            <w:vAlign w:val="bottom"/>
          </w:tcPr>
          <w:p>
            <w:pPr>
              <w:widowControl/>
              <w:spacing w:line="360" w:lineRule="auto"/>
              <w:jc w:val="left"/>
              <w:rPr>
                <w:rFonts w:ascii="宋体" w:hAnsi="宋体" w:cs="宋体"/>
                <w:color w:val="000000"/>
                <w:kern w:val="0"/>
                <w:sz w:val="24"/>
              </w:rPr>
            </w:pPr>
          </w:p>
        </w:tc>
        <w:tc>
          <w:tcPr>
            <w:tcW w:w="142" w:type="dxa"/>
            <w:tcBorders>
              <w:top w:val="nil"/>
              <w:left w:val="nil"/>
              <w:bottom w:val="nil"/>
              <w:right w:val="nil"/>
            </w:tcBorders>
            <w:vAlign w:val="center"/>
          </w:tcPr>
          <w:p>
            <w:pPr>
              <w:widowControl/>
              <w:spacing w:line="360" w:lineRule="auto"/>
              <w:jc w:val="left"/>
              <w:rPr>
                <w:rFonts w:ascii="宋体" w:hAnsi="宋体" w:cs="宋体"/>
                <w:color w:val="000000"/>
                <w:kern w:val="0"/>
                <w:sz w:val="17"/>
                <w:szCs w:val="17"/>
              </w:rPr>
            </w:pPr>
          </w:p>
        </w:tc>
      </w:tr>
      <w:tr>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tcMar>
              <w:top w:w="15" w:type="dxa"/>
              <w:left w:w="15" w:type="dxa"/>
              <w:bottom w:w="15" w:type="dxa"/>
              <w:right w:w="15" w:type="dxa"/>
            </w:tcMar>
            <w:vAlign w:val="bottom"/>
          </w:tcPr>
          <w:p>
            <w:pPr>
              <w:widowControl/>
              <w:spacing w:line="360" w:lineRule="auto"/>
              <w:rPr>
                <w:rFonts w:ascii="宋体" w:hAnsi="宋体" w:cs="宋体"/>
                <w:color w:val="000000"/>
                <w:kern w:val="0"/>
                <w:sz w:val="20"/>
                <w:szCs w:val="20"/>
              </w:rPr>
            </w:pPr>
            <w:r>
              <w:rPr>
                <w:rFonts w:hint="eastAsia" w:ascii="宋体" w:hAnsi="宋体" w:cs="宋体"/>
                <w:color w:val="000000"/>
                <w:kern w:val="0"/>
                <w:sz w:val="20"/>
                <w:szCs w:val="20"/>
              </w:rPr>
              <w:t>填报说明：1.资产总额＝流动资产＋固定资产＋对外投资+有价证券＋在建工程＋无形资产＋其他资产</w:t>
            </w:r>
          </w:p>
          <w:p>
            <w:pPr>
              <w:widowControl/>
              <w:spacing w:line="360" w:lineRule="auto"/>
              <w:ind w:firstLine="1000" w:firstLineChars="500"/>
              <w:rPr>
                <w:rFonts w:ascii="宋体" w:hAnsi="宋体" w:cs="宋体"/>
                <w:color w:val="000000"/>
                <w:kern w:val="0"/>
                <w:sz w:val="20"/>
                <w:szCs w:val="20"/>
              </w:rPr>
            </w:pPr>
            <w:r>
              <w:rPr>
                <w:rFonts w:hint="eastAsia" w:ascii="宋体" w:hAnsi="宋体" w:cs="宋体"/>
                <w:color w:val="000000"/>
                <w:kern w:val="0"/>
                <w:sz w:val="20"/>
                <w:szCs w:val="20"/>
              </w:rPr>
              <w:t>2.固定资产＝房屋构筑物＋车辆＋单价200万元以上大型设备＋其他固定资产</w:t>
            </w:r>
          </w:p>
          <w:p>
            <w:pPr>
              <w:widowControl/>
              <w:spacing w:line="360" w:lineRule="auto"/>
              <w:ind w:firstLine="1000" w:firstLineChars="500"/>
              <w:rPr>
                <w:rFonts w:ascii="宋体" w:hAnsi="宋体" w:cs="宋体"/>
                <w:color w:val="000000"/>
                <w:kern w:val="0"/>
                <w:sz w:val="20"/>
                <w:szCs w:val="20"/>
              </w:rPr>
            </w:pPr>
            <w:r>
              <w:rPr>
                <w:rFonts w:hint="eastAsia" w:ascii="宋体" w:hAnsi="宋体" w:cs="宋体"/>
                <w:color w:val="000000"/>
                <w:kern w:val="0"/>
                <w:sz w:val="20"/>
                <w:szCs w:val="20"/>
              </w:rPr>
              <w:t>3.填报金额为资产“账面原值”。</w:t>
            </w:r>
          </w:p>
        </w:tc>
        <w:tc>
          <w:tcPr>
            <w:tcW w:w="978" w:type="dxa"/>
            <w:gridSpan w:val="3"/>
            <w:tcBorders>
              <w:top w:val="nil"/>
              <w:left w:val="nil"/>
              <w:bottom w:val="nil"/>
              <w:right w:val="nil"/>
            </w:tcBorders>
            <w:tcMar>
              <w:top w:w="15" w:type="dxa"/>
              <w:left w:w="15" w:type="dxa"/>
              <w:bottom w:w="15" w:type="dxa"/>
              <w:right w:w="15" w:type="dxa"/>
            </w:tcMar>
            <w:vAlign w:val="bottom"/>
          </w:tcPr>
          <w:p>
            <w:pPr>
              <w:widowControl/>
              <w:spacing w:line="360" w:lineRule="auto"/>
              <w:jc w:val="left"/>
              <w:rPr>
                <w:rFonts w:ascii="宋体" w:hAnsi="宋体" w:cs="宋体"/>
                <w:color w:val="000000"/>
                <w:kern w:val="0"/>
                <w:sz w:val="24"/>
              </w:rPr>
            </w:pPr>
            <w:r>
              <w:rPr>
                <w:rFonts w:ascii="Arial" w:hAnsi="Arial" w:cs="Arial"/>
                <w:color w:val="000000"/>
                <w:kern w:val="0"/>
                <w:sz w:val="20"/>
                <w:szCs w:val="20"/>
              </w:rPr>
              <w:t> </w:t>
            </w:r>
          </w:p>
        </w:tc>
        <w:tc>
          <w:tcPr>
            <w:tcW w:w="142" w:type="dxa"/>
            <w:vAlign w:val="center"/>
          </w:tcPr>
          <w:p>
            <w:pPr>
              <w:widowControl/>
              <w:spacing w:line="360" w:lineRule="auto"/>
              <w:jc w:val="left"/>
              <w:rPr>
                <w:rFonts w:eastAsia="Times New Roman"/>
                <w:kern w:val="0"/>
                <w:sz w:val="20"/>
                <w:szCs w:val="20"/>
              </w:rPr>
            </w:pPr>
          </w:p>
        </w:tc>
      </w:tr>
    </w:tbl>
    <w:p>
      <w:pPr>
        <w:spacing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三、政府采购支出情况</w:t>
      </w:r>
    </w:p>
    <w:p>
      <w:pPr>
        <w:spacing w:line="360" w:lineRule="auto"/>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2020年度，部门政府采购支出总额0万元，其中：政府采购货物支出0万元；政府采购工程支出0万元；政府采购服务支出0万元。授予中小企业合同金额0万元，占政府采购支出总额的0%。</w:t>
      </w:r>
    </w:p>
    <w:p>
      <w:pPr>
        <w:spacing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四、部门绩效自评情况</w:t>
      </w:r>
    </w:p>
    <w:p>
      <w:pPr>
        <w:widowControl/>
        <w:snapToGrid w:val="0"/>
        <w:spacing w:before="100" w:after="100" w:line="360" w:lineRule="auto"/>
        <w:ind w:firstLine="600" w:firstLineChars="200"/>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部门绩效自评情况详见附表（附表9—附表11）。</w:t>
      </w:r>
    </w:p>
    <w:p>
      <w:pPr>
        <w:widowControl/>
        <w:snapToGrid w:val="0"/>
        <w:spacing w:before="100" w:after="10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五、其他重要事项情况说明</w:t>
      </w:r>
    </w:p>
    <w:p>
      <w:pPr>
        <w:widowControl/>
        <w:snapToGrid w:val="0"/>
        <w:spacing w:before="100" w:after="100"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项目支出主要为处突维稳经费支出。</w:t>
      </w:r>
    </w:p>
    <w:p>
      <w:pPr>
        <w:widowControl/>
        <w:snapToGrid w:val="0"/>
        <w:spacing w:before="100" w:after="100" w:line="360" w:lineRule="auto"/>
        <w:ind w:firstLine="600" w:firstLineChars="200"/>
        <w:jc w:val="left"/>
        <w:rPr>
          <w:rFonts w:ascii="黑体" w:hAnsi="黑体" w:eastAsia="黑体" w:cs="黑体"/>
          <w:sz w:val="30"/>
          <w:szCs w:val="30"/>
        </w:rPr>
      </w:pPr>
      <w:r>
        <w:rPr>
          <w:rFonts w:hint="eastAsia" w:ascii="黑体" w:hAnsi="黑体" w:eastAsia="黑体" w:cs="黑体"/>
          <w:sz w:val="30"/>
          <w:szCs w:val="30"/>
        </w:rPr>
        <w:t>六、相关口径说明</w:t>
      </w:r>
    </w:p>
    <w:p>
      <w:pPr>
        <w:spacing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（一）基本支出中人员经费包括工资福利支出和对个人和家庭的补助，日常公用支出包括商品和服务支出、资本性支出等人员经费以外的支出。</w:t>
      </w:r>
    </w:p>
    <w:p>
      <w:pPr>
        <w:spacing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（二）机关运行经费指行政单位和参照公务员法管理的事业单位使用一般公共预算财政拨款安排的基本支出中的日常公用经费支出。</w:t>
      </w:r>
    </w:p>
    <w:p>
      <w:pPr>
        <w:spacing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spacing w:line="360" w:lineRule="auto"/>
        <w:ind w:firstLine="600" w:firstLineChars="200"/>
        <w:jc w:val="left"/>
        <w:rPr>
          <w:rFonts w:ascii="仿宋_GB2312" w:hAnsi="黑体" w:eastAsia="仿宋_GB2312" w:cs="方正小标宋简体"/>
          <w:sz w:val="30"/>
          <w:szCs w:val="30"/>
        </w:rPr>
      </w:pPr>
      <w:r>
        <w:rPr>
          <w:rFonts w:hint="eastAsia" w:ascii="仿宋_GB2312" w:hAnsi="黑体" w:eastAsia="仿宋_GB2312" w:cs="方正小标宋简体"/>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spacing w:line="360" w:lineRule="auto"/>
        <w:jc w:val="center"/>
        <w:rPr>
          <w:rFonts w:hint="eastAsia" w:ascii="黑体" w:hAnsi="黑体" w:eastAsia="黑体"/>
          <w:sz w:val="32"/>
          <w:szCs w:val="32"/>
        </w:rPr>
      </w:pPr>
      <w:r>
        <w:rPr>
          <w:rFonts w:hint="eastAsia" w:ascii="黑体" w:hAnsi="黑体" w:eastAsia="黑体" w:cs="方正小标宋简体"/>
          <w:sz w:val="32"/>
          <w:szCs w:val="32"/>
        </w:rPr>
        <w:t xml:space="preserve">第五部分  </w:t>
      </w:r>
      <w:r>
        <w:rPr>
          <w:rFonts w:hint="eastAsia" w:ascii="黑体" w:hAnsi="黑体" w:eastAsia="黑体"/>
          <w:sz w:val="32"/>
          <w:szCs w:val="32"/>
        </w:rPr>
        <w:t>名次解释</w:t>
      </w:r>
    </w:p>
    <w:p>
      <w:pPr>
        <w:spacing w:line="360" w:lineRule="auto"/>
        <w:jc w:val="left"/>
        <w:rPr>
          <w:rFonts w:ascii="黑体" w:hAnsi="黑体" w:eastAsia="黑体"/>
          <w:sz w:val="32"/>
          <w:szCs w:val="32"/>
        </w:rPr>
      </w:pPr>
      <w:r>
        <w:rPr>
          <w:rFonts w:hint="eastAsia" w:ascii="黑体" w:hAnsi="黑体" w:eastAsia="黑体"/>
          <w:sz w:val="32"/>
          <w:szCs w:val="32"/>
        </w:rPr>
        <w:t xml:space="preserve">   </w:t>
      </w:r>
      <w:r>
        <w:rPr>
          <w:rFonts w:hint="eastAsia" w:ascii="仿宋_GB2312" w:hAnsi="黑体" w:eastAsia="仿宋_GB2312" w:cs="方正小标宋简体"/>
          <w:sz w:val="30"/>
          <w:szCs w:val="30"/>
        </w:rPr>
        <w:t>昆明市盘龙区信访局不涉及专用名词解释。</w:t>
      </w:r>
    </w:p>
    <w:p>
      <w:pPr>
        <w:spacing w:line="360" w:lineRule="auto"/>
        <w:rPr>
          <w:rFonts w:ascii="Arial" w:hAnsi="Arial" w:eastAsia="Arial" w:cs="Arial"/>
          <w:b/>
          <w:sz w:val="36"/>
        </w:rPr>
      </w:pPr>
      <w:r>
        <w:rPr>
          <w:rFonts w:ascii="Arial" w:hAnsi="Arial" w:eastAsia="Arial" w:cs="Arial"/>
          <w:b/>
          <w:sz w:val="36"/>
        </w:rPr>
        <w:t>监督索引号53010300163401111</w:t>
      </w:r>
    </w:p>
    <w:sectPr>
      <w:headerReference r:id="rId5" w:type="default"/>
      <w:footerReference r:id="rId6" w:type="default"/>
      <w:footerReference r:id="rId7" w:type="even"/>
      <w:pgSz w:w="11906" w:h="16838"/>
      <w:pgMar w:top="2098" w:right="1418" w:bottom="1588" w:left="1644"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Arial">
    <w:panose1 w:val="020B0604020202020204"/>
    <w:charset w:val="00"/>
    <w:family w:val="swiss"/>
    <w:pitch w:val="default"/>
    <w:sig w:usb0="E0002EFF" w:usb1="C000785B" w:usb2="00000009" w:usb3="00000000" w:csb0="400001FF" w:csb1="FFFF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roman"/>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17</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11CF09"/>
    <w:multiLevelType w:val="singleLevel"/>
    <w:tmpl w:val="E811CF09"/>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67761804"/>
    <w:rsid w:val="000F46ED"/>
    <w:rsid w:val="00102F7E"/>
    <w:rsid w:val="00304F58"/>
    <w:rsid w:val="003C27A5"/>
    <w:rsid w:val="00486668"/>
    <w:rsid w:val="00511D91"/>
    <w:rsid w:val="00543C7D"/>
    <w:rsid w:val="00687985"/>
    <w:rsid w:val="0087580D"/>
    <w:rsid w:val="00B268D6"/>
    <w:rsid w:val="00C2626C"/>
    <w:rsid w:val="00D3197D"/>
    <w:rsid w:val="00EB08FF"/>
    <w:rsid w:val="00F94B5C"/>
    <w:rsid w:val="029A21DC"/>
    <w:rsid w:val="24A8019F"/>
    <w:rsid w:val="29A91C19"/>
    <w:rsid w:val="34BE3988"/>
    <w:rsid w:val="39E72621"/>
    <w:rsid w:val="4A163D8A"/>
    <w:rsid w:val="4F2A0786"/>
    <w:rsid w:val="530A7932"/>
    <w:rsid w:val="5F9D2751"/>
    <w:rsid w:val="62356B77"/>
    <w:rsid w:val="67761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uiPriority w:val="0"/>
    <w:pPr>
      <w:spacing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昆明市盘龙区党政机关单位</Company>
  <Pages>17</Pages>
  <Words>1108</Words>
  <Characters>6318</Characters>
  <Lines>52</Lines>
  <Paragraphs>14</Paragraphs>
  <TotalTime>21</TotalTime>
  <ScaleCrop>false</ScaleCrop>
  <LinksUpToDate>false</LinksUpToDate>
  <CharactersWithSpaces>7412</CharactersWithSpaces>
  <Application>WPS Office_11.1.0.10395_F1E327BC-269C-435d-A152-05C5408002CA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2020-10-22T11:31:00Z</dcterms:created>
  <dc:creator>lenovo</dc:creator>
  <cp:lastModifiedBy>yzy</cp:lastModifiedBy>
  <dcterms:modified xsi:type="dcterms:W3CDTF">2022-01-27T03:38:16Z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2052-11.1.0.10395</vt:lpwstr>
  </property>
  <property fmtid="{D5CDD505-2E9C-101B-9397-08002B2CF9AE}" pid="3" name="ICV">
    <vt:lpwstr>DCD76E31AA9F4A76864002C54DEBBFCE</vt:lpwstr>
  </property>
</Properties>
</file>