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left"/>
        <w:rPr>
          <w:rFonts w:ascii="黑体" w:hAnsi="黑体" w:eastAsia="黑体"/>
          <w:sz w:val="32"/>
          <w:szCs w:val="32"/>
        </w:rPr>
      </w:pPr>
    </w:p>
    <w:p>
      <w:pPr>
        <w:snapToGrid w:val="0"/>
        <w:spacing w:line="570" w:lineRule="exact"/>
        <w:jc w:val="center"/>
        <w:rPr>
          <w:rFonts w:hint="eastAsia" w:ascii="方正小标宋简体" w:hAnsi="华文中宋" w:eastAsia="方正小标宋简体"/>
          <w:spacing w:val="14"/>
          <w:sz w:val="44"/>
          <w:szCs w:val="44"/>
        </w:rPr>
      </w:pPr>
    </w:p>
    <w:p>
      <w:pPr>
        <w:snapToGrid w:val="0"/>
        <w:spacing w:line="570" w:lineRule="exact"/>
        <w:jc w:val="center"/>
        <w:rPr>
          <w:rFonts w:hint="eastAsia" w:ascii="方正小标宋简体" w:eastAsia="方正小标宋简体"/>
          <w:sz w:val="44"/>
          <w:szCs w:val="44"/>
        </w:rPr>
      </w:pPr>
      <w:r>
        <w:rPr>
          <w:rFonts w:hint="eastAsia" w:ascii="方正小标宋简体" w:eastAsia="方正小标宋简体"/>
          <w:sz w:val="44"/>
          <w:szCs w:val="44"/>
        </w:rPr>
        <w:t>昆明市盘龙区人民政府东华街道办事处2022年</w:t>
      </w:r>
    </w:p>
    <w:p>
      <w:pPr>
        <w:snapToGrid w:val="0"/>
        <w:spacing w:line="570" w:lineRule="exact"/>
        <w:jc w:val="center"/>
        <w:rPr>
          <w:rFonts w:hint="eastAsia" w:ascii="方正小标宋简体" w:hAnsi="华文中宋" w:eastAsia="方正小标宋简体"/>
          <w:spacing w:val="14"/>
          <w:sz w:val="44"/>
          <w:szCs w:val="44"/>
        </w:rPr>
      </w:pPr>
      <w:r>
        <w:rPr>
          <w:rFonts w:hint="eastAsia" w:ascii="方正小标宋简体" w:hAnsi="华文中宋" w:eastAsia="方正小标宋简体"/>
          <w:spacing w:val="14"/>
          <w:sz w:val="44"/>
          <w:szCs w:val="44"/>
        </w:rPr>
        <w:t>党建工作经费项目</w:t>
      </w:r>
    </w:p>
    <w:p>
      <w:pPr>
        <w:snapToGrid w:val="0"/>
        <w:spacing w:line="570" w:lineRule="exact"/>
        <w:jc w:val="center"/>
        <w:rPr>
          <w:rFonts w:hint="eastAsia" w:ascii="方正小标宋简体" w:hAnsi="华文中宋" w:eastAsia="方正小标宋简体"/>
          <w:spacing w:val="14"/>
          <w:sz w:val="44"/>
          <w:szCs w:val="44"/>
        </w:rPr>
      </w:pPr>
    </w:p>
    <w:p>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pPr>
        <w:widowControl/>
        <w:ind w:firstLine="600" w:firstLineChars="200"/>
        <w:jc w:val="left"/>
        <w:rPr>
          <w:rFonts w:eastAsia="仿宋_GB2312"/>
          <w:kern w:val="0"/>
          <w:sz w:val="30"/>
          <w:szCs w:val="30"/>
        </w:rPr>
      </w:pPr>
      <w:r>
        <w:rPr>
          <w:rFonts w:hint="eastAsia" w:eastAsia="仿宋_GB2312"/>
          <w:kern w:val="0"/>
          <w:sz w:val="30"/>
          <w:szCs w:val="30"/>
        </w:rPr>
        <w:t>党建工作经费</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pPr>
        <w:widowControl/>
        <w:ind w:firstLine="600" w:firstLineChars="200"/>
        <w:jc w:val="left"/>
        <w:rPr>
          <w:rFonts w:hint="eastAsia" w:eastAsia="仿宋_GB2312"/>
          <w:kern w:val="0"/>
          <w:sz w:val="30"/>
          <w:szCs w:val="30"/>
        </w:rPr>
      </w:pPr>
      <w:r>
        <w:rPr>
          <w:rFonts w:hint="eastAsia" w:eastAsia="仿宋_GB2312"/>
          <w:kern w:val="0"/>
          <w:sz w:val="30"/>
          <w:szCs w:val="30"/>
        </w:rPr>
        <w:t>项目依据昆办通〔2018〕15号实施。</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pPr>
        <w:widowControl/>
        <w:ind w:firstLine="600" w:firstLineChars="200"/>
        <w:jc w:val="left"/>
        <w:rPr>
          <w:rFonts w:hint="eastAsia" w:eastAsia="仿宋_GB2312"/>
          <w:kern w:val="0"/>
          <w:sz w:val="30"/>
          <w:szCs w:val="30"/>
        </w:rPr>
      </w:pPr>
      <w:r>
        <w:rPr>
          <w:rFonts w:hint="eastAsia" w:eastAsia="仿宋_GB2312"/>
          <w:kern w:val="0"/>
          <w:sz w:val="30"/>
          <w:szCs w:val="30"/>
        </w:rPr>
        <w:t>单位名称：昆明市盘龙区人民政府东华街道办事处</w:t>
      </w:r>
    </w:p>
    <w:p>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w:t>
      </w:r>
      <w:r>
        <w:rPr>
          <w:rFonts w:eastAsia="仿宋_GB2312"/>
          <w:kern w:val="0"/>
          <w:sz w:val="30"/>
          <w:szCs w:val="30"/>
        </w:rPr>
        <w:t>015119530</w:t>
      </w:r>
    </w:p>
    <w:p>
      <w:pPr>
        <w:widowControl/>
        <w:ind w:firstLine="600" w:firstLineChars="200"/>
        <w:jc w:val="left"/>
        <w:rPr>
          <w:rFonts w:hint="eastAsia" w:eastAsia="仿宋_GB2312"/>
          <w:kern w:val="0"/>
          <w:sz w:val="30"/>
          <w:szCs w:val="30"/>
        </w:rPr>
      </w:pPr>
      <w:r>
        <w:rPr>
          <w:rFonts w:hint="eastAsia" w:eastAsia="仿宋_GB2312"/>
          <w:kern w:val="0"/>
          <w:sz w:val="30"/>
          <w:szCs w:val="30"/>
        </w:rPr>
        <w:t>地址：昆明市盘龙区白龙路19</w:t>
      </w:r>
      <w:bookmarkStart w:id="0" w:name="_GoBack"/>
      <w:bookmarkEnd w:id="0"/>
      <w:r>
        <w:rPr>
          <w:rFonts w:hint="eastAsia" w:eastAsia="仿宋_GB2312"/>
          <w:kern w:val="0"/>
          <w:sz w:val="30"/>
          <w:szCs w:val="30"/>
        </w:rPr>
        <w:t>号</w:t>
      </w:r>
    </w:p>
    <w:p>
      <w:pPr>
        <w:widowControl/>
        <w:ind w:firstLine="600" w:firstLineChars="200"/>
        <w:jc w:val="left"/>
        <w:rPr>
          <w:rFonts w:hint="eastAsia" w:eastAsia="仿宋_GB2312"/>
          <w:kern w:val="0"/>
          <w:sz w:val="30"/>
          <w:szCs w:val="30"/>
        </w:rPr>
      </w:pPr>
      <w:r>
        <w:rPr>
          <w:rFonts w:hint="eastAsia" w:eastAsia="仿宋_GB2312"/>
          <w:kern w:val="0"/>
          <w:sz w:val="30"/>
          <w:szCs w:val="30"/>
        </w:rPr>
        <w:t>联系电话：0871-</w:t>
      </w:r>
      <w:r>
        <w:rPr>
          <w:rFonts w:eastAsia="仿宋_GB2312"/>
          <w:kern w:val="0"/>
          <w:sz w:val="30"/>
          <w:szCs w:val="30"/>
        </w:rPr>
        <w:t>63379878</w:t>
      </w:r>
    </w:p>
    <w:p>
      <w:pPr>
        <w:widowControl/>
        <w:ind w:firstLine="600" w:firstLineChars="200"/>
        <w:jc w:val="left"/>
        <w:rPr>
          <w:rFonts w:hint="eastAsia" w:eastAsia="仿宋_GB2312"/>
          <w:kern w:val="0"/>
          <w:sz w:val="30"/>
          <w:szCs w:val="30"/>
        </w:rPr>
      </w:pPr>
      <w:r>
        <w:rPr>
          <w:rFonts w:hint="eastAsia" w:eastAsia="仿宋_GB2312"/>
          <w:kern w:val="0"/>
          <w:sz w:val="30"/>
          <w:szCs w:val="30"/>
        </w:rPr>
        <w:t>法人代表：张启卫</w:t>
      </w:r>
    </w:p>
    <w:p>
      <w:pPr>
        <w:widowControl/>
        <w:ind w:firstLine="600" w:firstLineChars="200"/>
        <w:jc w:val="left"/>
        <w:rPr>
          <w:rFonts w:hint="eastAsia" w:eastAsia="仿宋_GB2312"/>
          <w:kern w:val="0"/>
          <w:sz w:val="30"/>
          <w:szCs w:val="30"/>
        </w:rPr>
      </w:pPr>
      <w:r>
        <w:rPr>
          <w:rFonts w:hint="eastAsia" w:eastAsia="仿宋_GB2312"/>
          <w:kern w:val="0"/>
          <w:sz w:val="30"/>
          <w:szCs w:val="30"/>
        </w:rPr>
        <w:t>经费来源：本级财力安排</w:t>
      </w:r>
    </w:p>
    <w:p>
      <w:pPr>
        <w:snapToGrid w:val="0"/>
        <w:spacing w:line="520" w:lineRule="exact"/>
        <w:ind w:firstLine="600" w:firstLineChars="200"/>
        <w:rPr>
          <w:rFonts w:hint="eastAsia" w:eastAsia="仿宋_GB2312"/>
          <w:kern w:val="0"/>
          <w:sz w:val="30"/>
          <w:szCs w:val="30"/>
        </w:rPr>
      </w:pPr>
      <w:r>
        <w:rPr>
          <w:rFonts w:hint="eastAsia" w:eastAsia="仿宋_GB2312"/>
          <w:kern w:val="0"/>
          <w:sz w:val="30"/>
          <w:szCs w:val="30"/>
        </w:rPr>
        <w:t>单位概况：</w:t>
      </w:r>
    </w:p>
    <w:p>
      <w:pPr>
        <w:snapToGrid w:val="0"/>
        <w:spacing w:line="520" w:lineRule="exact"/>
        <w:ind w:firstLine="600" w:firstLineChars="200"/>
        <w:rPr>
          <w:rFonts w:eastAsia="仿宋_GB2312"/>
          <w:kern w:val="0"/>
          <w:sz w:val="30"/>
          <w:szCs w:val="30"/>
        </w:rPr>
      </w:pPr>
      <w:r>
        <w:rPr>
          <w:rFonts w:hint="eastAsia" w:eastAsia="仿宋_GB2312"/>
          <w:kern w:val="0"/>
          <w:sz w:val="30"/>
          <w:szCs w:val="30"/>
        </w:rPr>
        <w:t>昆明市盘龙区</w:t>
      </w:r>
      <w:r>
        <w:rPr>
          <w:rFonts w:hint="eastAsia" w:eastAsia="仿宋_GB2312"/>
          <w:kern w:val="0"/>
          <w:sz w:val="30"/>
          <w:szCs w:val="30"/>
          <w:lang w:eastAsia="zh-CN"/>
        </w:rPr>
        <w:t>人民政府</w:t>
      </w:r>
      <w:r>
        <w:rPr>
          <w:rFonts w:hint="eastAsia" w:eastAsia="仿宋_GB2312"/>
          <w:kern w:val="0"/>
          <w:sz w:val="30"/>
          <w:szCs w:val="30"/>
        </w:rPr>
        <w:t>东华街道办事处系盘龙区政府派出机构，在区委、区政府的领导下，贯彻执行党的路线、方针、政策和国家的各项法律、法规；负责辖区内的地区性、群众性、公益性、社会性工作。</w:t>
      </w:r>
    </w:p>
    <w:p>
      <w:pPr>
        <w:widowControl/>
        <w:ind w:firstLine="600" w:firstLineChars="200"/>
        <w:jc w:val="left"/>
        <w:rPr>
          <w:rFonts w:hint="eastAsia" w:eastAsia="仿宋_GB2312"/>
          <w:kern w:val="0"/>
          <w:sz w:val="30"/>
          <w:szCs w:val="30"/>
        </w:rPr>
      </w:pPr>
      <w:r>
        <w:rPr>
          <w:rFonts w:hint="eastAsia" w:eastAsia="仿宋_GB2312"/>
          <w:kern w:val="0"/>
          <w:sz w:val="30"/>
          <w:szCs w:val="30"/>
        </w:rPr>
        <w:t>办事处内设党政综合办公室、经济发展办公室、基层党建办公室、社会建设办公室和文化综合服务中心合署办公室、社会治安维稳综合治理办公室、城镇建设管理办公室和经济发展服务中心合署办公室、城市管理综合服务中心、社会保障综合服务中心（加挂退役军人服务站牌子）、为民服务中心、综合执法队、农林水与应急处置服务中心、区属职能部门派驻机构3个，分别为，财政所、司法所、统计站等机构，下辖席子营、文艺路、小龙路、田园路、白云、金色、新迎7个社区居委会。</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pPr>
        <w:widowControl/>
        <w:ind w:firstLine="600" w:firstLineChars="200"/>
        <w:jc w:val="left"/>
        <w:rPr>
          <w:rFonts w:eastAsia="仿宋_GB2312"/>
          <w:kern w:val="0"/>
          <w:sz w:val="30"/>
          <w:szCs w:val="30"/>
        </w:rPr>
      </w:pPr>
      <w:r>
        <w:rPr>
          <w:rFonts w:hint="eastAsia" w:eastAsia="仿宋_GB2312"/>
          <w:kern w:val="0"/>
          <w:sz w:val="30"/>
          <w:szCs w:val="30"/>
        </w:rPr>
        <w:t>东华街道办事处按照省市区委相关党建工作要求，发挥基层党组织服务功能，围绕服务居民、和谐社区建设设立服务项目，把党员放光彩、居民得实惠作为工作的出发点和落脚点，开展帮扶困难党员、困难群众、扶助孤寡等惠民服务工程。进一步加强了城乡基层党组织互帮互助机制，推动城乡党建资源共建共享，构建城乡统筹的基层党建新格局。</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pPr>
        <w:widowControl/>
        <w:ind w:firstLine="600" w:firstLineChars="200"/>
        <w:jc w:val="left"/>
        <w:rPr>
          <w:rFonts w:hint="eastAsia" w:eastAsia="仿宋_GB2312"/>
          <w:kern w:val="0"/>
          <w:sz w:val="30"/>
          <w:szCs w:val="30"/>
        </w:rPr>
      </w:pPr>
      <w:r>
        <w:rPr>
          <w:rFonts w:hint="eastAsia" w:eastAsia="仿宋_GB2312"/>
          <w:kern w:val="0"/>
          <w:sz w:val="30"/>
          <w:szCs w:val="30"/>
        </w:rPr>
        <w:t>党建工作经费预算项目具体实施内容如下：</w:t>
      </w:r>
    </w:p>
    <w:p>
      <w:pPr>
        <w:widowControl/>
        <w:ind w:firstLine="600" w:firstLineChars="200"/>
        <w:jc w:val="left"/>
        <w:rPr>
          <w:rFonts w:hint="eastAsia" w:eastAsia="仿宋_GB2312"/>
          <w:kern w:val="0"/>
          <w:sz w:val="30"/>
          <w:szCs w:val="30"/>
        </w:rPr>
      </w:pPr>
      <w:r>
        <w:rPr>
          <w:rFonts w:hint="eastAsia" w:eastAsia="仿宋_GB2312"/>
          <w:kern w:val="0"/>
          <w:sz w:val="30"/>
          <w:szCs w:val="30"/>
        </w:rPr>
        <w:t>1、开展7个社区规范化党建建设工作；2、开展春节、七一、中秋节等重要节日困难党员、群众帮扶工作；3、开展党员教育培训；4、征订党报党刊。</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pPr>
        <w:widowControl/>
        <w:ind w:firstLine="600" w:firstLineChars="200"/>
        <w:jc w:val="left"/>
        <w:rPr>
          <w:rFonts w:eastAsia="仿宋_GB2312"/>
          <w:kern w:val="0"/>
          <w:sz w:val="30"/>
          <w:szCs w:val="30"/>
        </w:rPr>
      </w:pPr>
      <w:r>
        <w:rPr>
          <w:rFonts w:hint="eastAsia" w:eastAsia="仿宋_GB2312"/>
          <w:kern w:val="0"/>
          <w:sz w:val="30"/>
          <w:szCs w:val="30"/>
        </w:rPr>
        <w:t>东华街道办事处2022年党建工作经费预算项目资金预算来源为本级财力安排，预算总额10万元。</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pPr>
        <w:widowControl/>
        <w:ind w:firstLine="600" w:firstLineChars="200"/>
        <w:jc w:val="left"/>
        <w:rPr>
          <w:rFonts w:eastAsia="仿宋_GB2312"/>
          <w:kern w:val="0"/>
          <w:sz w:val="30"/>
          <w:szCs w:val="30"/>
        </w:rPr>
      </w:pPr>
      <w:r>
        <w:rPr>
          <w:rFonts w:hint="eastAsia" w:eastAsia="仿宋_GB2312"/>
          <w:kern w:val="0"/>
          <w:sz w:val="30"/>
          <w:szCs w:val="30"/>
        </w:rPr>
        <w:t>项目执行时间为2022年1月1日-12月31日，时间安排以项目实际执行情况为准。项目依据问卷调查结果结合项目实施情况、项目考核、项目现场调研等方式进行考核，在不超出预算范围内按质按量完成当年工作。</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pPr>
        <w:widowControl/>
        <w:ind w:firstLine="600" w:firstLineChars="200"/>
        <w:jc w:val="left"/>
        <w:rPr>
          <w:rFonts w:eastAsia="仿宋_GB2312"/>
          <w:kern w:val="0"/>
          <w:sz w:val="30"/>
          <w:szCs w:val="30"/>
        </w:rPr>
      </w:pPr>
      <w:r>
        <w:rPr>
          <w:rFonts w:hint="eastAsia" w:eastAsia="仿宋_GB2312"/>
          <w:kern w:val="0"/>
          <w:sz w:val="30"/>
          <w:szCs w:val="30"/>
        </w:rPr>
        <w:t>东华街道办事处积极开展社区规范化党建建设工作，打造非公经济党组织和社会组织党组织示范点，把党建活动阵地在非公企业中组织起来，让非公党员有归属感。组织开展党员教育培训提升党员自身综合素质及困难党员慰问工作提升困难党员、群众的获得感和认同感。积极开展党建建设工作不断提高基层党组织的服务效率及服务质量，进一步加强了城乡基层党组织互帮互助机制，推动城乡党建资源共建共享，构建城乡统筹的基层党建新格局。通过培训、访谈等方式，发现不足，提高质量。</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tbl>
      <w:tblPr>
        <w:tblStyle w:val="3"/>
        <w:tblW w:w="8396" w:type="dxa"/>
        <w:tblInd w:w="98" w:type="dxa"/>
        <w:tblLayout w:type="fixed"/>
        <w:tblCellMar>
          <w:top w:w="0" w:type="dxa"/>
          <w:left w:w="108" w:type="dxa"/>
          <w:bottom w:w="0" w:type="dxa"/>
          <w:right w:w="108" w:type="dxa"/>
        </w:tblCellMar>
      </w:tblPr>
      <w:tblGrid>
        <w:gridCol w:w="1136"/>
        <w:gridCol w:w="1070"/>
        <w:gridCol w:w="840"/>
        <w:gridCol w:w="790"/>
        <w:gridCol w:w="700"/>
        <w:gridCol w:w="760"/>
        <w:gridCol w:w="580"/>
        <w:gridCol w:w="720"/>
        <w:gridCol w:w="660"/>
        <w:gridCol w:w="1140"/>
      </w:tblGrid>
      <w:tr>
        <w:tblPrEx>
          <w:tblLayout w:type="fixed"/>
          <w:tblCellMar>
            <w:top w:w="0" w:type="dxa"/>
            <w:left w:w="108" w:type="dxa"/>
            <w:bottom w:w="0" w:type="dxa"/>
            <w:right w:w="108" w:type="dxa"/>
          </w:tblCellMar>
        </w:tblPrEx>
        <w:trPr>
          <w:trHeight w:val="840" w:hRule="atLeast"/>
        </w:trPr>
        <w:tc>
          <w:tcPr>
            <w:tcW w:w="113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项目名称</w:t>
            </w:r>
          </w:p>
        </w:tc>
        <w:tc>
          <w:tcPr>
            <w:tcW w:w="107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项目年度绩效目标</w:t>
            </w:r>
          </w:p>
        </w:tc>
        <w:tc>
          <w:tcPr>
            <w:tcW w:w="84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一级指标</w:t>
            </w:r>
          </w:p>
        </w:tc>
        <w:tc>
          <w:tcPr>
            <w:tcW w:w="79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二级指标</w:t>
            </w:r>
          </w:p>
        </w:tc>
        <w:tc>
          <w:tcPr>
            <w:tcW w:w="70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三级指标</w:t>
            </w:r>
          </w:p>
        </w:tc>
        <w:tc>
          <w:tcPr>
            <w:tcW w:w="76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指标性质</w:t>
            </w:r>
          </w:p>
        </w:tc>
        <w:tc>
          <w:tcPr>
            <w:tcW w:w="58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指标值</w:t>
            </w:r>
          </w:p>
        </w:tc>
        <w:tc>
          <w:tcPr>
            <w:tcW w:w="72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度量单位</w:t>
            </w:r>
          </w:p>
        </w:tc>
        <w:tc>
          <w:tcPr>
            <w:tcW w:w="66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指标属性</w:t>
            </w:r>
          </w:p>
        </w:tc>
        <w:tc>
          <w:tcPr>
            <w:tcW w:w="114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指标内容</w:t>
            </w:r>
          </w:p>
        </w:tc>
      </w:tr>
      <w:tr>
        <w:tblPrEx>
          <w:tblLayout w:type="fixed"/>
          <w:tblCellMar>
            <w:top w:w="0" w:type="dxa"/>
            <w:left w:w="108" w:type="dxa"/>
            <w:bottom w:w="0" w:type="dxa"/>
            <w:right w:w="108" w:type="dxa"/>
          </w:tblCellMar>
        </w:tblPrEx>
        <w:trPr>
          <w:trHeight w:val="960" w:hRule="atLeast"/>
        </w:trPr>
        <w:tc>
          <w:tcPr>
            <w:tcW w:w="113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w:t>
            </w:r>
            <w:r>
              <w:rPr>
                <w:rStyle w:val="5"/>
                <w:rFonts w:hint="default"/>
                <w:lang w:bidi="ar"/>
              </w:rPr>
              <w:t>党建工作经费</w:t>
            </w:r>
          </w:p>
        </w:tc>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突出社区党组织服务功能，围绕服务居民、和谐社区建设设立服务项目，把党员放光彩、居民得实惠作为工作的出发点和落脚点，开展帮扶困难党员、困难群众、扶助孤寡等惠民服务工程。进一步加强了城乡基层党组织互帮互助机制，推动城乡党建资源共建共享，构建城乡统筹的基层党建新格局。党建工作经费预算项目具体实施内容如下：1、开展7个社区规范化党建建设工作；2、开展春节、七一等中秋节等重要节日困难党员、群众帮扶工作；3、开展党员教育培训；4、征订党报党刊。</w:t>
            </w:r>
          </w:p>
        </w:tc>
        <w:tc>
          <w:tcPr>
            <w:tcW w:w="84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70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开展社区规范化党建建设工作个数</w:t>
            </w:r>
          </w:p>
        </w:tc>
        <w:tc>
          <w:tcPr>
            <w:tcW w:w="76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58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72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66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开展7个社区规范化党建建设工作</w:t>
            </w:r>
          </w:p>
        </w:tc>
      </w:tr>
      <w:tr>
        <w:tblPrEx>
          <w:tblLayout w:type="fixed"/>
          <w:tblCellMar>
            <w:top w:w="0" w:type="dxa"/>
            <w:left w:w="108" w:type="dxa"/>
            <w:bottom w:w="0" w:type="dxa"/>
            <w:right w:w="108" w:type="dxa"/>
          </w:tblCellMar>
        </w:tblPrEx>
        <w:trPr>
          <w:trHeight w:val="192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开展春节、七一等中秋节等重要节日困难党员、群众帮扶工作人数</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52</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人次</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开展春节、七一等中秋节等重要节日困难党员、群众帮扶工作52人次</w:t>
            </w:r>
          </w:p>
        </w:tc>
      </w:tr>
      <w:tr>
        <w:tblPrEx>
          <w:tblLayout w:type="fixed"/>
          <w:tblCellMar>
            <w:top w:w="0" w:type="dxa"/>
            <w:left w:w="108" w:type="dxa"/>
            <w:bottom w:w="0" w:type="dxa"/>
            <w:right w:w="108" w:type="dxa"/>
          </w:tblCellMar>
        </w:tblPrEx>
        <w:trPr>
          <w:trHeight w:val="72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开展党员教育培训参与人数</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人次</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开展党员教育培训2期480人次</w:t>
            </w:r>
          </w:p>
        </w:tc>
      </w:tr>
      <w:tr>
        <w:tblPrEx>
          <w:tblLayout w:type="fixed"/>
          <w:tblCellMar>
            <w:top w:w="0" w:type="dxa"/>
            <w:left w:w="108" w:type="dxa"/>
            <w:bottom w:w="0" w:type="dxa"/>
            <w:right w:w="108" w:type="dxa"/>
          </w:tblCellMar>
        </w:tblPrEx>
        <w:trPr>
          <w:trHeight w:val="48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征订党报党刊数</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170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册</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征订党报党刊170册</w:t>
            </w:r>
          </w:p>
        </w:tc>
      </w:tr>
      <w:tr>
        <w:tblPrEx>
          <w:tblLayout w:type="fixed"/>
          <w:tblCellMar>
            <w:top w:w="0" w:type="dxa"/>
            <w:left w:w="108" w:type="dxa"/>
            <w:bottom w:w="0" w:type="dxa"/>
            <w:right w:w="108" w:type="dxa"/>
          </w:tblCellMar>
        </w:tblPrEx>
        <w:trPr>
          <w:trHeight w:val="48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质量指标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培训覆盖率</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培训覆盖率</w:t>
            </w:r>
          </w:p>
        </w:tc>
      </w:tr>
      <w:tr>
        <w:tblPrEx>
          <w:tblLayout w:type="fixed"/>
          <w:tblCellMar>
            <w:top w:w="0" w:type="dxa"/>
            <w:left w:w="108" w:type="dxa"/>
            <w:bottom w:w="0" w:type="dxa"/>
            <w:right w:w="108" w:type="dxa"/>
          </w:tblCellMar>
        </w:tblPrEx>
        <w:trPr>
          <w:trHeight w:val="336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时效指标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完成及时率</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按工作计划、工作方案及街道办的工作安排100%按时完成，完成及时率=在规定时限内完成的工作量/应完成的工作总量*100%</w:t>
            </w:r>
          </w:p>
        </w:tc>
      </w:tr>
      <w:tr>
        <w:tblPrEx>
          <w:tblLayout w:type="fixed"/>
          <w:tblCellMar>
            <w:top w:w="0" w:type="dxa"/>
            <w:left w:w="108" w:type="dxa"/>
            <w:bottom w:w="0" w:type="dxa"/>
            <w:right w:w="108" w:type="dxa"/>
          </w:tblCellMar>
        </w:tblPrEx>
        <w:trPr>
          <w:trHeight w:val="120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开展社区规范化党建建设工作费用</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10000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元/个</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开展社区规范化党建建设工作10000元/个</w:t>
            </w:r>
          </w:p>
        </w:tc>
      </w:tr>
      <w:tr>
        <w:tblPrEx>
          <w:tblLayout w:type="fixed"/>
          <w:tblCellMar>
            <w:top w:w="0" w:type="dxa"/>
            <w:left w:w="108" w:type="dxa"/>
            <w:bottom w:w="0" w:type="dxa"/>
            <w:right w:w="108" w:type="dxa"/>
          </w:tblCellMar>
        </w:tblPrEx>
        <w:trPr>
          <w:trHeight w:val="168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打造非公经济党组织和社会组织党组织示范点经费</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50000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元/个</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打造非公经济党组织和社会组织党组织示范点50000元/个</w:t>
            </w:r>
          </w:p>
        </w:tc>
      </w:tr>
      <w:tr>
        <w:tblPrEx>
          <w:tblLayout w:type="fixed"/>
          <w:tblCellMar>
            <w:top w:w="0" w:type="dxa"/>
            <w:left w:w="108" w:type="dxa"/>
            <w:bottom w:w="0" w:type="dxa"/>
            <w:right w:w="108" w:type="dxa"/>
          </w:tblCellMar>
        </w:tblPrEx>
        <w:trPr>
          <w:trHeight w:val="192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开展春节、七一等中秋节等重要节日困难党员、群众帮扶工作3次</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元/人次</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开展春节、七一等中秋节等重要节日困难党员、群众帮扶工作200元/人次</w:t>
            </w:r>
          </w:p>
        </w:tc>
      </w:tr>
      <w:tr>
        <w:tblPrEx>
          <w:tblLayout w:type="fixed"/>
          <w:tblCellMar>
            <w:top w:w="0" w:type="dxa"/>
            <w:left w:w="108" w:type="dxa"/>
            <w:bottom w:w="0" w:type="dxa"/>
            <w:right w:w="108" w:type="dxa"/>
          </w:tblCellMar>
        </w:tblPrEx>
        <w:trPr>
          <w:trHeight w:val="96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开展党员教育培训2期培训费</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235</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元/人次</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开展党员教育培训235元/人次</w:t>
            </w:r>
          </w:p>
        </w:tc>
      </w:tr>
      <w:tr>
        <w:tblPrEx>
          <w:tblLayout w:type="fixed"/>
          <w:tblCellMar>
            <w:top w:w="0" w:type="dxa"/>
            <w:left w:w="108" w:type="dxa"/>
            <w:bottom w:w="0" w:type="dxa"/>
            <w:right w:w="108" w:type="dxa"/>
          </w:tblCellMar>
        </w:tblPrEx>
        <w:trPr>
          <w:trHeight w:val="72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征订党报党刊费</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72</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元/册</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征订党报党刊72元/册</w:t>
            </w:r>
          </w:p>
        </w:tc>
      </w:tr>
      <w:tr>
        <w:tblPrEx>
          <w:tblLayout w:type="fixed"/>
          <w:tblCellMar>
            <w:top w:w="0" w:type="dxa"/>
            <w:left w:w="108" w:type="dxa"/>
            <w:bottom w:w="0" w:type="dxa"/>
            <w:right w:w="108" w:type="dxa"/>
          </w:tblCellMar>
        </w:tblPrEx>
        <w:trPr>
          <w:trHeight w:val="120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效益指标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社会效益指标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加强党员教育培训，提升党员思想认知</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提升</w:t>
            </w:r>
          </w:p>
        </w:tc>
        <w:tc>
          <w:tcPr>
            <w:tcW w:w="720"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定性指标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加强党员教育培训，提升党员思想认知</w:t>
            </w:r>
          </w:p>
        </w:tc>
      </w:tr>
      <w:tr>
        <w:tblPrEx>
          <w:tblLayout w:type="fixed"/>
          <w:tblCellMar>
            <w:top w:w="0" w:type="dxa"/>
            <w:left w:w="108" w:type="dxa"/>
            <w:bottom w:w="0" w:type="dxa"/>
            <w:right w:w="108" w:type="dxa"/>
          </w:tblCellMar>
        </w:tblPrEx>
        <w:trPr>
          <w:trHeight w:val="720" w:hRule="atLeast"/>
        </w:trPr>
        <w:tc>
          <w:tcPr>
            <w:tcW w:w="113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4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满意度指标</w:t>
            </w:r>
          </w:p>
        </w:tc>
        <w:tc>
          <w:tcPr>
            <w:tcW w:w="79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服务对象满意度指标</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服务对象满意度</w:t>
            </w:r>
          </w:p>
        </w:tc>
        <w:tc>
          <w:tcPr>
            <w:tcW w:w="7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58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80</w:t>
            </w:r>
          </w:p>
        </w:tc>
        <w:tc>
          <w:tcPr>
            <w:tcW w:w="7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66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14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服务对象满意度达80%以上</w:t>
            </w:r>
          </w:p>
        </w:tc>
      </w:tr>
    </w:tbl>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snapToGrid w:val="0"/>
        <w:spacing w:line="570" w:lineRule="exact"/>
        <w:jc w:val="center"/>
        <w:rPr>
          <w:rFonts w:hint="eastAsia" w:ascii="方正小标宋简体" w:eastAsia="方正小标宋简体"/>
          <w:sz w:val="36"/>
          <w:szCs w:val="36"/>
        </w:rPr>
      </w:pPr>
      <w:r>
        <w:rPr>
          <w:rFonts w:hint="eastAsia" w:ascii="方正小标宋简体" w:eastAsia="方正小标宋简体"/>
          <w:sz w:val="36"/>
          <w:szCs w:val="36"/>
        </w:rPr>
        <w:t>昆明市盘龙区人民政府东华街道办事处2022年</w:t>
      </w:r>
    </w:p>
    <w:p>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hAnsi="华文中宋" w:eastAsia="方正小标宋简体"/>
          <w:spacing w:val="14"/>
          <w:sz w:val="36"/>
          <w:szCs w:val="36"/>
        </w:rPr>
        <w:t xml:space="preserve">  “街道吹哨、部门报到”工作经费项目</w:t>
      </w:r>
    </w:p>
    <w:p>
      <w:pPr>
        <w:snapToGrid w:val="0"/>
        <w:spacing w:line="570" w:lineRule="exact"/>
        <w:jc w:val="center"/>
        <w:rPr>
          <w:rFonts w:hint="eastAsia" w:ascii="方正小标宋简体" w:hAnsi="华文中宋" w:eastAsia="方正小标宋简体"/>
          <w:spacing w:val="14"/>
          <w:sz w:val="44"/>
          <w:szCs w:val="44"/>
        </w:rPr>
      </w:pPr>
    </w:p>
    <w:p>
      <w:pPr>
        <w:widowControl/>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一、项目名称</w:t>
      </w:r>
    </w:p>
    <w:p>
      <w:pPr>
        <w:widowControl/>
        <w:ind w:firstLine="600" w:firstLineChars="200"/>
        <w:jc w:val="left"/>
        <w:rPr>
          <w:rFonts w:eastAsia="仿宋_GB2312"/>
          <w:kern w:val="0"/>
          <w:sz w:val="30"/>
          <w:szCs w:val="30"/>
        </w:rPr>
      </w:pPr>
      <w:r>
        <w:rPr>
          <w:rFonts w:hint="eastAsia" w:eastAsia="仿宋_GB2312"/>
          <w:kern w:val="0"/>
          <w:sz w:val="30"/>
          <w:szCs w:val="30"/>
        </w:rPr>
        <w:t>“街道吹哨、部门报到”工作经费</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二、立项依据</w:t>
      </w:r>
    </w:p>
    <w:p>
      <w:pPr>
        <w:widowControl/>
        <w:ind w:firstLine="600" w:firstLineChars="200"/>
        <w:jc w:val="left"/>
        <w:rPr>
          <w:rFonts w:hint="eastAsia" w:eastAsia="仿宋_GB2312"/>
          <w:kern w:val="0"/>
          <w:sz w:val="30"/>
          <w:szCs w:val="30"/>
        </w:rPr>
      </w:pPr>
      <w:r>
        <w:rPr>
          <w:rFonts w:hint="eastAsia" w:eastAsia="仿宋_GB2312"/>
          <w:kern w:val="0"/>
          <w:sz w:val="30"/>
          <w:szCs w:val="30"/>
        </w:rPr>
        <w:t>项目依据昆办通〔201</w:t>
      </w:r>
      <w:r>
        <w:rPr>
          <w:rFonts w:eastAsia="仿宋_GB2312"/>
          <w:kern w:val="0"/>
          <w:sz w:val="30"/>
          <w:szCs w:val="30"/>
        </w:rPr>
        <w:t>9</w:t>
      </w:r>
      <w:r>
        <w:rPr>
          <w:rFonts w:hint="eastAsia" w:eastAsia="仿宋_GB2312"/>
          <w:kern w:val="0"/>
          <w:sz w:val="30"/>
          <w:szCs w:val="30"/>
        </w:rPr>
        <w:t>〕105号《关于全面推行“党建引领、街道吹哨、部门报到”工作的意见(试行)》的通知实施。</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三、项目实施单位</w:t>
      </w:r>
    </w:p>
    <w:p>
      <w:pPr>
        <w:widowControl/>
        <w:ind w:firstLine="600" w:firstLineChars="200"/>
        <w:jc w:val="left"/>
        <w:rPr>
          <w:rFonts w:hint="eastAsia" w:eastAsia="仿宋_GB2312"/>
          <w:kern w:val="0"/>
          <w:sz w:val="30"/>
          <w:szCs w:val="30"/>
        </w:rPr>
      </w:pPr>
      <w:r>
        <w:rPr>
          <w:rFonts w:hint="eastAsia" w:eastAsia="仿宋_GB2312"/>
          <w:kern w:val="0"/>
          <w:sz w:val="30"/>
          <w:szCs w:val="30"/>
        </w:rPr>
        <w:t>单位名称：昆明市盘龙区人民政府东华街道办事处</w:t>
      </w:r>
    </w:p>
    <w:p>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w:t>
      </w:r>
      <w:r>
        <w:rPr>
          <w:rFonts w:eastAsia="仿宋_GB2312"/>
          <w:kern w:val="0"/>
          <w:sz w:val="30"/>
          <w:szCs w:val="30"/>
        </w:rPr>
        <w:t>015119530</w:t>
      </w:r>
    </w:p>
    <w:p>
      <w:pPr>
        <w:widowControl/>
        <w:ind w:firstLine="600" w:firstLineChars="200"/>
        <w:jc w:val="left"/>
        <w:rPr>
          <w:rFonts w:hint="eastAsia" w:eastAsia="仿宋_GB2312"/>
          <w:kern w:val="0"/>
          <w:sz w:val="30"/>
          <w:szCs w:val="30"/>
        </w:rPr>
      </w:pPr>
      <w:r>
        <w:rPr>
          <w:rFonts w:hint="eastAsia" w:eastAsia="仿宋_GB2312"/>
          <w:kern w:val="0"/>
          <w:sz w:val="30"/>
          <w:szCs w:val="30"/>
        </w:rPr>
        <w:t>地址：昆明市盘龙区白龙路19号</w:t>
      </w:r>
    </w:p>
    <w:p>
      <w:pPr>
        <w:widowControl/>
        <w:ind w:firstLine="600" w:firstLineChars="200"/>
        <w:jc w:val="left"/>
        <w:rPr>
          <w:rFonts w:hint="eastAsia" w:eastAsia="仿宋_GB2312"/>
          <w:kern w:val="0"/>
          <w:sz w:val="30"/>
          <w:szCs w:val="30"/>
        </w:rPr>
      </w:pPr>
      <w:r>
        <w:rPr>
          <w:rFonts w:hint="eastAsia" w:eastAsia="仿宋_GB2312"/>
          <w:kern w:val="0"/>
          <w:sz w:val="30"/>
          <w:szCs w:val="30"/>
        </w:rPr>
        <w:t>联系电话：0871-</w:t>
      </w:r>
      <w:r>
        <w:rPr>
          <w:rFonts w:eastAsia="仿宋_GB2312"/>
          <w:kern w:val="0"/>
          <w:sz w:val="30"/>
          <w:szCs w:val="30"/>
        </w:rPr>
        <w:t>63379878</w:t>
      </w:r>
    </w:p>
    <w:p>
      <w:pPr>
        <w:widowControl/>
        <w:ind w:firstLine="600" w:firstLineChars="200"/>
        <w:jc w:val="left"/>
        <w:rPr>
          <w:rFonts w:hint="eastAsia" w:eastAsia="仿宋_GB2312"/>
          <w:kern w:val="0"/>
          <w:sz w:val="30"/>
          <w:szCs w:val="30"/>
        </w:rPr>
      </w:pPr>
      <w:r>
        <w:rPr>
          <w:rFonts w:hint="eastAsia" w:eastAsia="仿宋_GB2312"/>
          <w:kern w:val="0"/>
          <w:sz w:val="30"/>
          <w:szCs w:val="30"/>
        </w:rPr>
        <w:t>法人代表：张启卫</w:t>
      </w:r>
    </w:p>
    <w:p>
      <w:pPr>
        <w:widowControl/>
        <w:ind w:firstLine="600" w:firstLineChars="200"/>
        <w:jc w:val="left"/>
        <w:rPr>
          <w:rFonts w:hint="eastAsia" w:eastAsia="仿宋_GB2312"/>
          <w:kern w:val="0"/>
          <w:sz w:val="30"/>
          <w:szCs w:val="30"/>
        </w:rPr>
      </w:pPr>
      <w:r>
        <w:rPr>
          <w:rFonts w:hint="eastAsia" w:eastAsia="仿宋_GB2312"/>
          <w:kern w:val="0"/>
          <w:sz w:val="30"/>
          <w:szCs w:val="30"/>
        </w:rPr>
        <w:t>经费来源：本级财力安排</w:t>
      </w:r>
    </w:p>
    <w:p>
      <w:pPr>
        <w:snapToGrid w:val="0"/>
        <w:spacing w:line="520" w:lineRule="exact"/>
        <w:ind w:firstLine="600" w:firstLineChars="200"/>
        <w:rPr>
          <w:rFonts w:hint="eastAsia" w:eastAsia="仿宋_GB2312"/>
          <w:kern w:val="0"/>
          <w:sz w:val="30"/>
          <w:szCs w:val="30"/>
        </w:rPr>
      </w:pPr>
      <w:r>
        <w:rPr>
          <w:rFonts w:hint="eastAsia" w:eastAsia="仿宋_GB2312"/>
          <w:kern w:val="0"/>
          <w:sz w:val="30"/>
          <w:szCs w:val="30"/>
        </w:rPr>
        <w:t>单位概况：</w:t>
      </w:r>
    </w:p>
    <w:p>
      <w:pPr>
        <w:snapToGrid w:val="0"/>
        <w:spacing w:line="520" w:lineRule="exact"/>
        <w:ind w:firstLine="600" w:firstLineChars="200"/>
        <w:rPr>
          <w:rFonts w:eastAsia="仿宋_GB2312"/>
          <w:kern w:val="0"/>
          <w:sz w:val="30"/>
          <w:szCs w:val="30"/>
        </w:rPr>
      </w:pPr>
      <w:r>
        <w:rPr>
          <w:rFonts w:hint="eastAsia" w:eastAsia="仿宋_GB2312"/>
          <w:kern w:val="0"/>
          <w:sz w:val="30"/>
          <w:szCs w:val="30"/>
        </w:rPr>
        <w:t>昆明市盘龙区</w:t>
      </w:r>
      <w:r>
        <w:rPr>
          <w:rFonts w:hint="eastAsia" w:eastAsia="仿宋_GB2312"/>
          <w:kern w:val="0"/>
          <w:sz w:val="30"/>
          <w:szCs w:val="30"/>
          <w:lang w:eastAsia="zh-CN"/>
        </w:rPr>
        <w:t>人民政府</w:t>
      </w:r>
      <w:r>
        <w:rPr>
          <w:rFonts w:hint="eastAsia" w:eastAsia="仿宋_GB2312"/>
          <w:kern w:val="0"/>
          <w:sz w:val="30"/>
          <w:szCs w:val="30"/>
        </w:rPr>
        <w:t>东华街道办事处系盘龙区政府派出机构，在区委、区政府的领导下，贯彻执行党的路线、方针、政策和国家的各项法律、法规；负责街辖区内的地区性、群众性、公益性、社会性工作。</w:t>
      </w:r>
    </w:p>
    <w:p>
      <w:pPr>
        <w:widowControl/>
        <w:ind w:firstLine="600" w:firstLineChars="200"/>
        <w:jc w:val="left"/>
        <w:rPr>
          <w:rFonts w:hint="eastAsia" w:eastAsia="仿宋_GB2312"/>
          <w:kern w:val="0"/>
          <w:sz w:val="30"/>
          <w:szCs w:val="30"/>
        </w:rPr>
      </w:pPr>
      <w:r>
        <w:rPr>
          <w:rFonts w:hint="eastAsia" w:eastAsia="仿宋_GB2312"/>
          <w:kern w:val="0"/>
          <w:sz w:val="30"/>
          <w:szCs w:val="30"/>
        </w:rPr>
        <w:t>办事处内设党政综合办公室、经济发展办公室、基层党建办公室、社会建设办公室和文化综合服务中心合署办公室、社会治安维稳综合治理办公室、城镇建设管理办公室和经济发展服务中心合署办公室、城市管理综合服务中心、社会保障综合服务中心（加挂退役军人服务站牌子）、为民服务中心、综合执法队、农林水与应急处置服务中心、区属职能部门派驻机构3个，分别为，财政所、司法所、统计站等机构，下辖席子营、文艺路、小龙路、田园路、白云、金色、新迎7个社区居委会。</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四、项目基本概况</w:t>
      </w:r>
    </w:p>
    <w:p>
      <w:pPr>
        <w:widowControl/>
        <w:ind w:firstLine="600" w:firstLineChars="200"/>
        <w:jc w:val="left"/>
        <w:rPr>
          <w:rFonts w:hint="eastAsia" w:eastAsia="仿宋_GB2312"/>
          <w:kern w:val="0"/>
          <w:sz w:val="30"/>
          <w:szCs w:val="30"/>
        </w:rPr>
      </w:pPr>
      <w:r>
        <w:rPr>
          <w:rFonts w:hint="eastAsia" w:eastAsia="仿宋_GB2312"/>
          <w:kern w:val="0"/>
          <w:sz w:val="30"/>
          <w:szCs w:val="30"/>
        </w:rPr>
        <w:t>为全面落实中共中央办公厅印发的《关于加强和改进城市基层党的建设工作的意见》（中办发〔2019〕30号）精神，进一步加强基层党对基层治理的领导，提升党建引领社会治理和城市治理的能力和水平，增进民生福祉，走好新时代党的群众路线，街道积极开展“街道吹哨、部门报到”工作。</w:t>
      </w:r>
    </w:p>
    <w:p>
      <w:pPr>
        <w:widowControl/>
        <w:ind w:firstLine="600" w:firstLineChars="200"/>
        <w:jc w:val="left"/>
        <w:rPr>
          <w:rFonts w:eastAsia="仿宋_GB2312"/>
          <w:kern w:val="0"/>
          <w:sz w:val="30"/>
          <w:szCs w:val="30"/>
        </w:rPr>
      </w:pPr>
      <w:r>
        <w:rPr>
          <w:rFonts w:hint="eastAsia" w:eastAsia="仿宋_GB2312"/>
          <w:kern w:val="0"/>
          <w:sz w:val="30"/>
          <w:szCs w:val="30"/>
        </w:rPr>
        <w:t>项目经费主要用于开展人民调解工作、加强党风廉政建设、进一步深化社会共治、维护安全稳定、加强办事工作人员业务知识和工作能力、协调城市管理等。</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五、项目实施内容</w:t>
      </w:r>
    </w:p>
    <w:p>
      <w:pPr>
        <w:widowControl/>
        <w:ind w:firstLine="600" w:firstLineChars="200"/>
        <w:jc w:val="left"/>
        <w:rPr>
          <w:rFonts w:hint="eastAsia" w:eastAsia="仿宋_GB2312"/>
          <w:kern w:val="0"/>
          <w:sz w:val="30"/>
          <w:szCs w:val="30"/>
        </w:rPr>
      </w:pPr>
      <w:r>
        <w:rPr>
          <w:rFonts w:hint="eastAsia" w:eastAsia="仿宋_GB2312"/>
          <w:kern w:val="0"/>
          <w:sz w:val="30"/>
          <w:szCs w:val="30"/>
        </w:rPr>
        <w:t>2022年项目具体工作任务：</w:t>
      </w:r>
    </w:p>
    <w:p>
      <w:pPr>
        <w:widowControl/>
        <w:ind w:firstLine="600" w:firstLineChars="200"/>
        <w:jc w:val="left"/>
        <w:rPr>
          <w:rFonts w:hint="eastAsia" w:eastAsia="仿宋_GB2312"/>
          <w:kern w:val="0"/>
          <w:sz w:val="30"/>
          <w:szCs w:val="30"/>
        </w:rPr>
      </w:pPr>
      <w:r>
        <w:rPr>
          <w:rFonts w:hint="eastAsia" w:eastAsia="仿宋_GB2312"/>
          <w:kern w:val="0"/>
          <w:sz w:val="30"/>
          <w:szCs w:val="30"/>
        </w:rPr>
        <w:t>1、加强街道社区党组织自身建设。2、推动街道赋权扩能。3、制定完善街道职责清单。4、调整优化街道体制机制。5、建立四级综合指挥系统。6、建立街道实体化综合执法平台。7、合理整合优化网格。8、深化问题收集机制。9、规范“哨音”产生机制。10、健全响应处置机制。11、建立考核评价机制。12、强化督查问效机制。13、完善经费保障机制。</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六、资金安排情况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东华街道办事处2022年“街道吹哨、部门报到”工作经费预算项目资金预算来源为本级财力安排，预算总额200万元。</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七、项目实施计划</w:t>
      </w:r>
    </w:p>
    <w:p>
      <w:pPr>
        <w:widowControl/>
        <w:ind w:firstLine="600" w:firstLineChars="200"/>
        <w:jc w:val="left"/>
        <w:rPr>
          <w:rFonts w:eastAsia="仿宋_GB2312"/>
          <w:kern w:val="0"/>
          <w:sz w:val="30"/>
          <w:szCs w:val="30"/>
        </w:rPr>
      </w:pPr>
      <w:r>
        <w:rPr>
          <w:rFonts w:hint="eastAsia" w:eastAsia="仿宋_GB2312"/>
          <w:kern w:val="0"/>
          <w:sz w:val="30"/>
          <w:szCs w:val="30"/>
        </w:rPr>
        <w:t>项目执行时间为2022年1月1日-12月31日，时间安排以项目实际执行情况为准。项目依据问卷调查结果结合项目实施情况、项目考核、项目现场调研等方式进行考核，在不超出预算范围内按质按量完成当年工作。</w:t>
      </w:r>
    </w:p>
    <w:p>
      <w:pPr>
        <w:widowControl/>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八、项目实施成效</w:t>
      </w:r>
    </w:p>
    <w:p>
      <w:pPr>
        <w:widowControl/>
        <w:ind w:firstLine="600" w:firstLineChars="200"/>
        <w:jc w:val="left"/>
        <w:rPr>
          <w:rFonts w:eastAsia="仿宋_GB2312"/>
          <w:kern w:val="0"/>
          <w:sz w:val="30"/>
          <w:szCs w:val="30"/>
        </w:rPr>
      </w:pPr>
      <w:r>
        <w:rPr>
          <w:rFonts w:hint="eastAsia" w:eastAsia="仿宋_GB2312"/>
          <w:kern w:val="0"/>
          <w:sz w:val="30"/>
          <w:szCs w:val="30"/>
        </w:rPr>
        <w:t>东华街道办事处坚持和加强党的全面领导，坚持以人民为中心，积极推进街道管理体制机制改革，推动基层治理重心下移，构建“党建引领、街道吹哨、部门报到”工作机制，形成“上下联动、多方参与”的基层治理新格局，为昆明全面建成小康社会，高质量推进区域性国际中心城市建设提供坚强保证。</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w:t>
      </w: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p>
      <w:pPr>
        <w:widowControl/>
        <w:jc w:val="left"/>
        <w:rPr>
          <w:rFonts w:hint="eastAsia" w:ascii="黑体" w:hAnsi="黑体" w:eastAsia="黑体" w:cs="黑体"/>
          <w:kern w:val="0"/>
          <w:sz w:val="30"/>
          <w:szCs w:val="30"/>
        </w:rPr>
      </w:pPr>
    </w:p>
    <w:tbl>
      <w:tblPr>
        <w:tblStyle w:val="3"/>
        <w:tblW w:w="8296" w:type="dxa"/>
        <w:tblInd w:w="98" w:type="dxa"/>
        <w:tblLayout w:type="fixed"/>
        <w:tblCellMar>
          <w:top w:w="0" w:type="dxa"/>
          <w:left w:w="108" w:type="dxa"/>
          <w:bottom w:w="0" w:type="dxa"/>
          <w:right w:w="108" w:type="dxa"/>
        </w:tblCellMar>
      </w:tblPr>
      <w:tblGrid>
        <w:gridCol w:w="706"/>
        <w:gridCol w:w="1070"/>
        <w:gridCol w:w="850"/>
        <w:gridCol w:w="680"/>
        <w:gridCol w:w="870"/>
        <w:gridCol w:w="710"/>
        <w:gridCol w:w="700"/>
        <w:gridCol w:w="620"/>
        <w:gridCol w:w="870"/>
        <w:gridCol w:w="1220"/>
      </w:tblGrid>
      <w:tr>
        <w:tblPrEx>
          <w:tblLayout w:type="fixed"/>
          <w:tblCellMar>
            <w:top w:w="0" w:type="dxa"/>
            <w:left w:w="108" w:type="dxa"/>
            <w:bottom w:w="0" w:type="dxa"/>
            <w:right w:w="108" w:type="dxa"/>
          </w:tblCellMar>
        </w:tblPrEx>
        <w:trPr>
          <w:trHeight w:val="840" w:hRule="atLeast"/>
        </w:trPr>
        <w:tc>
          <w:tcPr>
            <w:tcW w:w="706"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项目名称</w:t>
            </w:r>
          </w:p>
        </w:tc>
        <w:tc>
          <w:tcPr>
            <w:tcW w:w="107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项目年度绩效目标</w:t>
            </w:r>
          </w:p>
        </w:tc>
        <w:tc>
          <w:tcPr>
            <w:tcW w:w="85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一级指标</w:t>
            </w:r>
          </w:p>
        </w:tc>
        <w:tc>
          <w:tcPr>
            <w:tcW w:w="68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二级指标</w:t>
            </w:r>
          </w:p>
        </w:tc>
        <w:tc>
          <w:tcPr>
            <w:tcW w:w="87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三级指标</w:t>
            </w:r>
          </w:p>
        </w:tc>
        <w:tc>
          <w:tcPr>
            <w:tcW w:w="71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指标性质</w:t>
            </w:r>
          </w:p>
        </w:tc>
        <w:tc>
          <w:tcPr>
            <w:tcW w:w="70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指标值</w:t>
            </w:r>
          </w:p>
        </w:tc>
        <w:tc>
          <w:tcPr>
            <w:tcW w:w="62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度量单位</w:t>
            </w:r>
          </w:p>
        </w:tc>
        <w:tc>
          <w:tcPr>
            <w:tcW w:w="87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指标属性</w:t>
            </w:r>
          </w:p>
        </w:tc>
        <w:tc>
          <w:tcPr>
            <w:tcW w:w="122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指标内容</w:t>
            </w:r>
          </w:p>
        </w:tc>
      </w:tr>
      <w:tr>
        <w:tblPrEx>
          <w:tblLayout w:type="fixed"/>
          <w:tblCellMar>
            <w:top w:w="0" w:type="dxa"/>
            <w:left w:w="108" w:type="dxa"/>
            <w:bottom w:w="0" w:type="dxa"/>
            <w:right w:w="108" w:type="dxa"/>
          </w:tblCellMar>
        </w:tblPrEx>
        <w:trPr>
          <w:trHeight w:val="7740" w:hRule="atLeast"/>
        </w:trPr>
        <w:tc>
          <w:tcPr>
            <w:tcW w:w="706"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”街道吹哨、部门报到“工作经费</w:t>
            </w:r>
          </w:p>
        </w:tc>
        <w:tc>
          <w:tcPr>
            <w:tcW w:w="107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坚持和加强党的全面领导，坚持以人民为中心，积极推进街道管理体制机制改革，推动基层治理重心下移，构建“党建引领、街道吹哨、部门报到”工作机制，形成“上下联动、多方参与”的基层治理新格局，为昆明全面建成小康社会，高质量推进区域性国际中心城市建设提供坚强保证。具体工作任务：1.加强街道社区党组织自身建设。2.推动街道赋权扩能。3.制定完善街道职责清单。4.调整优化街道体制机制。5.建立四级综合指挥系统。6.建立街道实体化综合执法平台。7.合理整合优化网格。8.深化问题收集机制。9.规范“哨音”产生机制。10.健全响应处置机制。11.建立考核评价机制。12.强化督查问效机制。13.完善经费保障机制。</w:t>
            </w:r>
          </w:p>
        </w:tc>
        <w:tc>
          <w:tcPr>
            <w:tcW w:w="85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87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7个社区开展党建引领基层治理推动实现“街道吹哨、部门报到”工作</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 xml:space="preserve"> 　 市容环境提升和城市管理综合整治八项工作</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 　 对东华街道下辖7个社区实现社会治理工作全覆盖"</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四级综合指挥系统</w:t>
            </w:r>
          </w:p>
        </w:tc>
        <w:tc>
          <w:tcPr>
            <w:tcW w:w="71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70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62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70" w:type="dxa"/>
            <w:tcBorders>
              <w:top w:val="single" w:color="000000" w:sz="4" w:space="0"/>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single" w:color="000000" w:sz="4" w:space="0"/>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开展党建引领基层治理推动实现“街道吹哨、部门报到”工作</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 xml:space="preserve"> 　 市容环境提升和城市管理综合整治八项工作</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 　 对东华街道下辖7个社区实现社会治理工作全覆盖"</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四级综合指挥系统</w:t>
            </w:r>
          </w:p>
        </w:tc>
      </w:tr>
      <w:tr>
        <w:tblPrEx>
          <w:tblLayout w:type="fixed"/>
          <w:tblCellMar>
            <w:top w:w="0" w:type="dxa"/>
            <w:left w:w="108" w:type="dxa"/>
            <w:bottom w:w="0" w:type="dxa"/>
            <w:right w:w="108" w:type="dxa"/>
          </w:tblCellMar>
        </w:tblPrEx>
        <w:trPr>
          <w:trHeight w:val="144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7个社区市容环境提升和城市管理综合整治八项工作</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市容环境提升和城市管理综合整治八项工作</w:t>
            </w:r>
          </w:p>
        </w:tc>
      </w:tr>
      <w:tr>
        <w:tblPrEx>
          <w:tblLayout w:type="fixed"/>
          <w:tblCellMar>
            <w:top w:w="0" w:type="dxa"/>
            <w:left w:w="108" w:type="dxa"/>
            <w:bottom w:w="0" w:type="dxa"/>
            <w:right w:w="108" w:type="dxa"/>
          </w:tblCellMar>
        </w:tblPrEx>
        <w:trPr>
          <w:trHeight w:val="144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对东华街道下辖7个社区实现社会治理工作全覆盖</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个</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对东华街道下辖7个社区实现社会治理工作全覆盖</w:t>
            </w:r>
          </w:p>
        </w:tc>
      </w:tr>
      <w:tr>
        <w:tblPrEx>
          <w:tblLayout w:type="fixed"/>
          <w:tblCellMar>
            <w:top w:w="0" w:type="dxa"/>
            <w:left w:w="108" w:type="dxa"/>
            <w:bottom w:w="0" w:type="dxa"/>
            <w:right w:w="108" w:type="dxa"/>
          </w:tblCellMar>
        </w:tblPrEx>
        <w:trPr>
          <w:trHeight w:val="48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四级综合指挥系统</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级</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四级综合指挥系统</w:t>
            </w:r>
          </w:p>
        </w:tc>
      </w:tr>
      <w:tr>
        <w:tblPrEx>
          <w:tblLayout w:type="fixed"/>
          <w:tblCellMar>
            <w:top w:w="0" w:type="dxa"/>
            <w:left w:w="108" w:type="dxa"/>
            <w:bottom w:w="0" w:type="dxa"/>
            <w:right w:w="108" w:type="dxa"/>
          </w:tblCellMar>
        </w:tblPrEx>
        <w:trPr>
          <w:trHeight w:val="312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质量指标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按东华街道办2022年工作计划、《关于全面推行“党建引领、街道吹哨部门报到”工作的意见(试行)》要求完成</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按上级部门要求完成</w:t>
            </w:r>
          </w:p>
        </w:tc>
        <w:tc>
          <w:tcPr>
            <w:tcW w:w="620"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定性指标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按东华街道办2022年工作计划、《关于全面推行“党建引领、街道吹哨部门报到”工作的意见(试行)》要求</w:t>
            </w:r>
          </w:p>
        </w:tc>
      </w:tr>
      <w:tr>
        <w:tblPrEx>
          <w:tblLayout w:type="fixed"/>
          <w:tblCellMar>
            <w:top w:w="0" w:type="dxa"/>
            <w:left w:w="108" w:type="dxa"/>
            <w:bottom w:w="0" w:type="dxa"/>
            <w:right w:w="108" w:type="dxa"/>
          </w:tblCellMar>
        </w:tblPrEx>
        <w:trPr>
          <w:trHeight w:val="120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时效指标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完成及时率</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在目标责任书、考核依据时限范围内完成完成</w:t>
            </w:r>
          </w:p>
        </w:tc>
      </w:tr>
      <w:tr>
        <w:tblPrEx>
          <w:tblLayout w:type="fixed"/>
          <w:tblCellMar>
            <w:top w:w="0" w:type="dxa"/>
            <w:left w:w="108" w:type="dxa"/>
            <w:bottom w:w="0" w:type="dxa"/>
            <w:right w:w="108" w:type="dxa"/>
          </w:tblCellMar>
        </w:tblPrEx>
        <w:trPr>
          <w:trHeight w:val="192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开展党建引领基层治理推动实现“街道吹哨、部门报到”工作</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2000000</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开展党建引领基层治理推动实现“街道吹哨、部门报到”工作2000000元</w:t>
            </w:r>
          </w:p>
        </w:tc>
      </w:tr>
      <w:tr>
        <w:tblPrEx>
          <w:tblLayout w:type="fixed"/>
          <w:tblCellMar>
            <w:top w:w="0" w:type="dxa"/>
            <w:left w:w="108" w:type="dxa"/>
            <w:bottom w:w="0" w:type="dxa"/>
            <w:right w:w="108" w:type="dxa"/>
          </w:tblCellMar>
        </w:tblPrEx>
        <w:trPr>
          <w:trHeight w:val="144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市容环境提升和城市管理综合整治八项工作</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1000000</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市容环境提升和城市管理综合整治八项工作1000000元</w:t>
            </w:r>
          </w:p>
        </w:tc>
      </w:tr>
      <w:tr>
        <w:tblPrEx>
          <w:tblLayout w:type="fixed"/>
          <w:tblCellMar>
            <w:top w:w="0" w:type="dxa"/>
            <w:left w:w="108" w:type="dxa"/>
            <w:bottom w:w="0" w:type="dxa"/>
            <w:right w:w="108" w:type="dxa"/>
          </w:tblCellMar>
        </w:tblPrEx>
        <w:trPr>
          <w:trHeight w:val="168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对东华街道下辖7个社区实现社会治理工作全覆盖</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500000</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对东华街道下辖7个社区实现社会治理工作全覆盖500000元</w:t>
            </w:r>
          </w:p>
        </w:tc>
      </w:tr>
      <w:tr>
        <w:tblPrEx>
          <w:tblLayout w:type="fixed"/>
          <w:tblCellMar>
            <w:top w:w="0" w:type="dxa"/>
            <w:left w:w="108" w:type="dxa"/>
            <w:bottom w:w="0" w:type="dxa"/>
            <w:right w:w="108" w:type="dxa"/>
          </w:tblCellMar>
        </w:tblPrEx>
        <w:trPr>
          <w:trHeight w:val="144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产出指标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成本指标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四级“吹哨报到”综合指挥系统建设工作</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&lt;=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300000</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元</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四级“吹哨报到”综合指挥系统建设工作300000元</w:t>
            </w:r>
          </w:p>
        </w:tc>
      </w:tr>
      <w:tr>
        <w:tblPrEx>
          <w:tblLayout w:type="fixed"/>
          <w:tblCellMar>
            <w:top w:w="0" w:type="dxa"/>
            <w:left w:w="108" w:type="dxa"/>
            <w:bottom w:w="0" w:type="dxa"/>
            <w:right w:w="108" w:type="dxa"/>
          </w:tblCellMar>
        </w:tblPrEx>
        <w:trPr>
          <w:trHeight w:val="240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效益指标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社会效益指标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围绕群众关心的操心事、烦心事，解决关系群众切身利益的问题，办好群众家门口的事</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解决群众问题</w:t>
            </w:r>
          </w:p>
        </w:tc>
        <w:tc>
          <w:tcPr>
            <w:tcW w:w="620"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定性指标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解决群众问题，办好群众事务</w:t>
            </w:r>
          </w:p>
        </w:tc>
      </w:tr>
      <w:tr>
        <w:tblPrEx>
          <w:tblLayout w:type="fixed"/>
          <w:tblCellMar>
            <w:top w:w="0" w:type="dxa"/>
            <w:left w:w="108" w:type="dxa"/>
            <w:bottom w:w="0" w:type="dxa"/>
            <w:right w:w="108" w:type="dxa"/>
          </w:tblCellMar>
        </w:tblPrEx>
        <w:trPr>
          <w:trHeight w:val="120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效益指标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生态效益指标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营造干净、整洁、卫生的城市人居环境</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营造干净、整洁、卫生的城市人居环境</w:t>
            </w:r>
          </w:p>
        </w:tc>
        <w:tc>
          <w:tcPr>
            <w:tcW w:w="620"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定性指标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营造干净、整洁、卫生的城市人居环境</w:t>
            </w:r>
          </w:p>
        </w:tc>
      </w:tr>
      <w:tr>
        <w:tblPrEx>
          <w:tblLayout w:type="fixed"/>
          <w:tblCellMar>
            <w:top w:w="0" w:type="dxa"/>
            <w:left w:w="108" w:type="dxa"/>
            <w:bottom w:w="0" w:type="dxa"/>
            <w:right w:w="108" w:type="dxa"/>
          </w:tblCellMar>
        </w:tblPrEx>
        <w:trPr>
          <w:trHeight w:val="240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效益指标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可持续影响指标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引导各级党组织积极参与社会治理，形成党政群共同协商、共同参与、共同治理的良好格局</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引导各级党组织积极参与社会治理</w:t>
            </w:r>
          </w:p>
        </w:tc>
        <w:tc>
          <w:tcPr>
            <w:tcW w:w="620" w:type="dxa"/>
            <w:tcBorders>
              <w:top w:val="nil"/>
              <w:left w:val="nil"/>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定性指标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引导各级党组织积极参与社会治理，形成党政群共同协商、共同参与、共同治理的良好格局</w:t>
            </w:r>
          </w:p>
        </w:tc>
      </w:tr>
      <w:tr>
        <w:tblPrEx>
          <w:tblLayout w:type="fixed"/>
          <w:tblCellMar>
            <w:top w:w="0" w:type="dxa"/>
            <w:left w:w="108" w:type="dxa"/>
            <w:bottom w:w="0" w:type="dxa"/>
            <w:right w:w="108" w:type="dxa"/>
          </w:tblCellMar>
        </w:tblPrEx>
        <w:trPr>
          <w:trHeight w:val="720" w:hRule="atLeast"/>
        </w:trPr>
        <w:tc>
          <w:tcPr>
            <w:tcW w:w="706"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cs="宋体"/>
                <w:color w:val="000000"/>
                <w:sz w:val="18"/>
                <w:szCs w:val="18"/>
              </w:rPr>
            </w:pPr>
          </w:p>
        </w:tc>
        <w:tc>
          <w:tcPr>
            <w:tcW w:w="107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cs="宋体"/>
                <w:color w:val="000000"/>
                <w:sz w:val="18"/>
                <w:szCs w:val="18"/>
              </w:rPr>
            </w:pPr>
          </w:p>
        </w:tc>
        <w:tc>
          <w:tcPr>
            <w:tcW w:w="85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满意度指标</w:t>
            </w:r>
          </w:p>
        </w:tc>
        <w:tc>
          <w:tcPr>
            <w:tcW w:w="68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服务对象满意度指标</w:t>
            </w:r>
          </w:p>
        </w:tc>
        <w:tc>
          <w:tcPr>
            <w:tcW w:w="87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群众满意度测评达80%以上</w:t>
            </w:r>
          </w:p>
        </w:tc>
        <w:tc>
          <w:tcPr>
            <w:tcW w:w="71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&gt;=</w:t>
            </w:r>
          </w:p>
        </w:tc>
        <w:tc>
          <w:tcPr>
            <w:tcW w:w="70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0.8</w:t>
            </w:r>
          </w:p>
        </w:tc>
        <w:tc>
          <w:tcPr>
            <w:tcW w:w="62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t>
            </w:r>
          </w:p>
        </w:tc>
        <w:tc>
          <w:tcPr>
            <w:tcW w:w="870" w:type="dxa"/>
            <w:tcBorders>
              <w:top w:val="nil"/>
              <w:left w:val="nil"/>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定量指标</w:t>
            </w:r>
          </w:p>
        </w:tc>
        <w:tc>
          <w:tcPr>
            <w:tcW w:w="1220" w:type="dxa"/>
            <w:tcBorders>
              <w:top w:val="nil"/>
              <w:left w:val="nil"/>
              <w:bottom w:val="single" w:color="000000" w:sz="4" w:space="0"/>
              <w:right w:val="single" w:color="000000" w:sz="4" w:space="0"/>
            </w:tcBorders>
            <w:noWrap w:val="0"/>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群众满意度达到80% 以上</w:t>
            </w:r>
          </w:p>
        </w:tc>
      </w:tr>
    </w:tbl>
    <w:p>
      <w:pPr>
        <w:widowControl/>
        <w:jc w:val="left"/>
        <w:rPr>
          <w:rFonts w:hint="eastAsia" w:ascii="黑体" w:hAnsi="黑体" w:eastAsia="黑体" w:cs="黑体"/>
          <w:kern w:val="0"/>
          <w:sz w:val="30"/>
          <w:szCs w:val="30"/>
        </w:rPr>
      </w:pPr>
    </w:p>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980889"/>
    <w:rsid w:val="0B980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5">
    <w:name w:val="font2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2022-02-11T02:38:00Z</dcterms:created>
  <dc:creator>Administrator</dc:creator>
  <cp:lastModifiedBy>Administrator</cp:lastModifiedBy>
  <dcterms:modified xsi:type="dcterms:W3CDTF">2022-02-11T02:40:48Z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