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630" w:hanging="840" w:hangingChars="300"/>
        <w:jc w:val="left"/>
        <w:rPr>
          <w:rFonts w:ascii="方正小标宋_GBK" w:eastAsia="方正小标宋_GBK"/>
          <w:sz w:val="28"/>
          <w:szCs w:val="28"/>
        </w:rPr>
      </w:pPr>
      <w:r>
        <w:rPr>
          <w:rFonts w:hint="eastAsia" w:ascii="方正小标宋_GBK" w:eastAsia="方正小标宋_GBK"/>
          <w:sz w:val="28"/>
          <w:szCs w:val="28"/>
        </w:rPr>
        <w:t>附件5：项目支出绩效评价报告</w:t>
      </w:r>
    </w:p>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lang w:eastAsia="zh-CN"/>
        </w:rPr>
        <w:t>北京路北端连接西北绕城高速立交工程</w:t>
      </w:r>
      <w:r>
        <w:rPr>
          <w:rFonts w:hint="eastAsia" w:ascii="黑体" w:hAnsi="黑体" w:eastAsia="黑体" w:cs="黑体"/>
          <w:bCs/>
          <w:sz w:val="52"/>
          <w:szCs w:val="52"/>
        </w:rPr>
        <w:t>项目支出绩效自评报告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default" w:ascii="黑体" w:hAnsi="黑体" w:eastAsia="黑体" w:cs="黑体"/>
          <w:bCs/>
          <w:sz w:val="52"/>
          <w:szCs w:val="52"/>
          <w:lang w:val="en-US"/>
        </w:rPr>
        <w:t>202</w:t>
      </w:r>
      <w:r>
        <w:rPr>
          <w:rFonts w:hint="eastAsia" w:ascii="黑体" w:hAnsi="黑体" w:eastAsia="黑体" w:cs="黑体"/>
          <w:bCs/>
          <w:sz w:val="52"/>
          <w:szCs w:val="52"/>
          <w:lang w:val="en-US" w:eastAsia="zh-CN"/>
        </w:rPr>
        <w:t>1</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hint="eastAsia"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2305050</wp:posOffset>
                </wp:positionH>
                <wp:positionV relativeFrom="paragraph">
                  <wp:posOffset>224790</wp:posOffset>
                </wp:positionV>
                <wp:extent cx="2495550" cy="0"/>
                <wp:effectExtent l="0" t="0" r="0" b="0"/>
                <wp:wrapNone/>
                <wp:docPr id="1" name="自选图形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 o:spid="_x0000_s1026" o:spt="32" type="#_x0000_t32" style="position:absolute;left:0pt;margin-left:181.5pt;margin-top:17.7pt;height:0pt;width:196.5pt;z-index:251659264;mso-width-relative:page;mso-height-relative:page;" filled="f" stroked="t" coordsize="21600,21600" o:gfxdata="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BiPWtjXAAAACQEAAA8AAAAAAAAAAQAgAAAAIgAAAGRycy9kb3ducmV2LnhtbFBLAQIU&#10;ABQAAAAIAIdO4kB88W7O9AEAAOMDAAAOAAAAAAAAAAEAIAAAACY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昆明市</w:t>
      </w:r>
      <w:r>
        <w:rPr>
          <w:rFonts w:hint="eastAsia" w:ascii="Times New Roman" w:hAnsi="Times New Roman" w:eastAsia="黑体" w:cs="黑体"/>
          <w:b/>
          <w:bCs/>
          <w:sz w:val="28"/>
          <w:szCs w:val="28"/>
        </w:rPr>
        <w:t>盘龙区住房和城乡建设局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215265</wp:posOffset>
                </wp:positionV>
                <wp:extent cx="3147060" cy="6350"/>
                <wp:effectExtent l="0" t="0" r="0" b="0"/>
                <wp:wrapNone/>
                <wp:docPr id="2" name="自选图形 3"/>
                <wp:cNvGraphicFramePr/>
                <a:graphic xmlns:a="http://schemas.openxmlformats.org/drawingml/2006/main">
                  <a:graphicData uri="http://schemas.microsoft.com/office/word/2010/wordprocessingShape">
                    <wps:wsp>
                      <wps:cNvCnPr/>
                      <wps:spPr>
                        <a:xfrm flipV="1">
                          <a:off x="0" y="0"/>
                          <a:ext cx="3147060" cy="63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 o:spid="_x0000_s1026" o:spt="32" type="#_x0000_t32" style="position:absolute;left:0pt;flip:y;margin-left:135pt;margin-top:16.95pt;height:0.5pt;width:247.8pt;z-index:251660288;mso-width-relative:page;mso-height-relative:page;" filled="f" stroked="t" coordsize="21600,21600" o:gfxdata="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TxoR7YAAAACQEAAA8AAAAAAAAAAQAgAAAAIgAAAGRycy9kb3du&#10;cmV2LnhtbFBLAQIUABQAAAAIAIdO4kCZY7g3/wEAAPADAAAOAAAAAAAAAAEAIAAAACcBAABkcnMv&#10;ZTJvRG9jLnhtbFBLBQYAAAAABgAGAFkBAACY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hint="eastAsia" w:ascii="Times New Roman" w:hAnsi="Times New Roman" w:eastAsia="黑体" w:cs="黑体"/>
          <w:b/>
          <w:bCs/>
          <w:sz w:val="28"/>
          <w:szCs w:val="28"/>
          <w:lang w:val="en-US" w:eastAsia="zh-CN"/>
        </w:rPr>
        <w:t xml:space="preserve">  </w:t>
      </w:r>
      <w:r>
        <w:rPr>
          <w:rFonts w:hint="eastAsia" w:ascii="Times New Roman" w:hAnsi="Times New Roman" w:eastAsia="黑体" w:cs="黑体"/>
          <w:b/>
          <w:bCs/>
          <w:sz w:val="28"/>
          <w:szCs w:val="28"/>
        </w:rPr>
        <w:t>昆明北延立交开发建设有限公司</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3147060" cy="2540"/>
                <wp:effectExtent l="0" t="0" r="0" b="0"/>
                <wp:wrapNone/>
                <wp:docPr id="3" name="自选图形 4"/>
                <wp:cNvGraphicFramePr/>
                <a:graphic xmlns:a="http://schemas.openxmlformats.org/drawingml/2006/main">
                  <a:graphicData uri="http://schemas.microsoft.com/office/word/2010/wordprocessingShape">
                    <wps:wsp>
                      <wps:cNvCnPr/>
                      <wps:spPr>
                        <a:xfrm>
                          <a:off x="0" y="0"/>
                          <a:ext cx="3147060" cy="254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 o:spid="_x0000_s1026" o:spt="32" type="#_x0000_t32" style="position:absolute;left:0pt;margin-left:135pt;margin-top:14.25pt;height:0.2pt;width:247.8pt;z-index:251661312;mso-width-relative:page;mso-height-relative:page;" filled="f" stroked="t" coordsize="21600,21600" o:gfxdata="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SgPPe2AAAAAkBAAAPAAAAAAAAAAEAIAAAACIAAABkcnMvZG93bnJldi54&#10;bWxQSwECFAAUAAAACACHTuJAJ0llgPoBAADmAwAADgAAAAAAAAABACAAAAAnAQAAZHJzL2Uyb0Rv&#10;Yy54bWxQSwUGAAAAAAYABgBZAQAAkw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hint="eastAsia" w:ascii="Times New Roman" w:hAnsi="Times New Roman" w:eastAsia="黑体" w:cs="黑体"/>
          <w:b/>
          <w:bCs/>
          <w:sz w:val="28"/>
          <w:szCs w:val="28"/>
          <w:lang w:val="en-US" w:eastAsia="zh-CN"/>
        </w:rPr>
        <w:t xml:space="preserve">  </w:t>
      </w:r>
      <w:r>
        <w:rPr>
          <w:rFonts w:hint="eastAsia" w:ascii="Times New Roman" w:hAnsi="Times New Roman" w:eastAsia="黑体" w:cs="黑体"/>
          <w:b/>
          <w:bCs/>
          <w:sz w:val="28"/>
          <w:szCs w:val="28"/>
          <w:lang w:eastAsia="zh-CN"/>
        </w:rPr>
        <w:t>昆明市</w:t>
      </w:r>
      <w:r>
        <w:rPr>
          <w:rFonts w:hint="eastAsia" w:ascii="Times New Roman" w:hAnsi="Times New Roman" w:eastAsia="黑体" w:cs="黑体"/>
          <w:b/>
          <w:bCs/>
          <w:sz w:val="28"/>
          <w:szCs w:val="28"/>
        </w:rPr>
        <w:t>盘龙区住房和城乡建设局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218440</wp:posOffset>
                </wp:positionV>
                <wp:extent cx="3213735" cy="10160"/>
                <wp:effectExtent l="0" t="4445" r="5715" b="13970"/>
                <wp:wrapNone/>
                <wp:docPr id="4" name="自选图形 5"/>
                <wp:cNvGraphicFramePr/>
                <a:graphic xmlns:a="http://schemas.openxmlformats.org/drawingml/2006/main">
                  <a:graphicData uri="http://schemas.microsoft.com/office/word/2010/wordprocessingShape">
                    <wps:wsp>
                      <wps:cNvCnPr/>
                      <wps:spPr>
                        <a:xfrm flipV="1">
                          <a:off x="0" y="0"/>
                          <a:ext cx="3213735" cy="1016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5" o:spid="_x0000_s1026" o:spt="32" type="#_x0000_t32" style="position:absolute;left:0pt;flip:y;margin-left:135pt;margin-top:17.2pt;height:0.8pt;width:253.05pt;z-index:251662336;mso-width-relative:page;mso-height-relative:page;" filled="f" stroked="t" coordsize="21600,21600" o:gfxdata="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PWklDXAAAACQEAAA8AAAAAAAAAAQAgAAAAIgAAAGRycy9kb3du&#10;cmV2LnhtbFBLAQIUABQAAAAIAIdO4kCWj3caAAIAAPEDAAAOAAAAAAAAAAEAIAAAACYBAABkcnMv&#10;ZTJvRG9jLnhtbFBLBQYAAAAABgAGAFkBAACY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hint="eastAsia" w:ascii="Times New Roman" w:hAnsi="Times New Roman" w:eastAsia="黑体"/>
          <w:b/>
          <w:bCs/>
          <w:sz w:val="28"/>
          <w:szCs w:val="28"/>
        </w:rPr>
        <w:t xml:space="preserve">北京路北端连接西北绕城高速立交工程         </w:t>
      </w:r>
    </w:p>
    <w:p>
      <w:pPr>
        <w:adjustRightInd w:val="0"/>
        <w:snapToGrid w:val="0"/>
        <w:spacing w:line="360" w:lineRule="auto"/>
        <w:ind w:left="1260" w:leftChars="600"/>
        <w:rPr>
          <w:rFonts w:hint="default" w:ascii="Times New Roman" w:hAnsi="Times New Roman" w:eastAsia="黑体"/>
          <w:b/>
          <w:bCs/>
          <w:sz w:val="28"/>
          <w:szCs w:val="28"/>
          <w:lang w:val="en-US" w:eastAsia="zh-CN"/>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1943100</wp:posOffset>
                </wp:positionH>
                <wp:positionV relativeFrom="paragraph">
                  <wp:posOffset>215900</wp:posOffset>
                </wp:positionV>
                <wp:extent cx="2975610" cy="12700"/>
                <wp:effectExtent l="0" t="4445" r="15240" b="11430"/>
                <wp:wrapNone/>
                <wp:docPr id="5" name="自选图形 6"/>
                <wp:cNvGraphicFramePr/>
                <a:graphic xmlns:a="http://schemas.openxmlformats.org/drawingml/2006/main">
                  <a:graphicData uri="http://schemas.microsoft.com/office/word/2010/wordprocessingShape">
                    <wps:wsp>
                      <wps:cNvCnPr/>
                      <wps:spPr>
                        <a:xfrm flipV="1">
                          <a:off x="0" y="0"/>
                          <a:ext cx="2975610" cy="1270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6" o:spid="_x0000_s1026" o:spt="32" type="#_x0000_t32" style="position:absolute;left:0pt;flip:y;margin-left:153pt;margin-top:17pt;height:1pt;width:234.3pt;z-index:251663360;mso-width-relative:page;mso-height-relative:page;" filled="f" stroked="t" coordsize="21600,21600" o:gfxdata="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P8AngvUAAAACQEAAA8AAAAAAAAAAQAgAAAAIgAAAGRycy9kb3ducmV2&#10;LnhtbFBLAQIUABQAAAAIAIdO4kC/G+wlAAIAAPEDAAAOAAAAAAAAAAEAIAAAACM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r>
        <w:rPr>
          <w:rFonts w:hint="eastAsia" w:ascii="Times New Roman" w:hAnsi="Times New Roman" w:eastAsia="黑体"/>
          <w:b/>
          <w:bCs/>
          <w:sz w:val="28"/>
          <w:szCs w:val="28"/>
          <w:lang w:val="en-US" w:eastAsia="zh-CN"/>
        </w:rPr>
        <w:t xml:space="preserve">   2022年4月</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22</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widowControl/>
        <w:jc w:val="left"/>
        <w:rPr>
          <w:rFonts w:hint="eastAsia" w:ascii="Times New Roman" w:hAnsi="Times New Roman" w:eastAsia="仿宋_GB2312"/>
          <w:b/>
          <w:bCs/>
          <w:sz w:val="28"/>
          <w:szCs w:val="28"/>
          <w:lang w:val="en-US" w:eastAsia="zh-CN"/>
        </w:rPr>
        <w:sectPr>
          <w:pgSz w:w="11906" w:h="16838"/>
          <w:pgMar w:top="1440" w:right="1800" w:bottom="1440" w:left="1800" w:header="851" w:footer="992" w:gutter="0"/>
          <w:cols w:space="425" w:num="1"/>
          <w:titlePg/>
          <w:docGrid w:type="lines" w:linePitch="312" w:charSpace="0"/>
        </w:sectPr>
      </w:pPr>
    </w:p>
    <w:p>
      <w:pPr>
        <w:pStyle w:val="6"/>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3"/>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531"/>
        <w:gridCol w:w="1905"/>
        <w:gridCol w:w="1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20" w:type="dxa"/>
            <w:vAlign w:val="center"/>
          </w:tcPr>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531" w:type="dxa"/>
            <w:vAlign w:val="center"/>
          </w:tcPr>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1905" w:type="dxa"/>
            <w:vAlign w:val="center"/>
          </w:tcPr>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426" w:type="dxa"/>
            <w:vAlign w:val="center"/>
          </w:tcPr>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620" w:type="dxa"/>
            <w:vAlign w:val="center"/>
          </w:tcPr>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620" w:type="dxa"/>
            <w:vAlign w:val="center"/>
          </w:tcPr>
          <w:p>
            <w:pPr>
              <w:pStyle w:val="6"/>
              <w:widowControl w:val="0"/>
              <w:spacing w:after="0" w:line="240" w:lineRule="auto"/>
              <w:jc w:val="center"/>
              <w:rPr>
                <w:rFonts w:hint="default"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李艳秋</w:t>
            </w:r>
          </w:p>
        </w:tc>
        <w:tc>
          <w:tcPr>
            <w:tcW w:w="1531" w:type="dxa"/>
            <w:vAlign w:val="center"/>
          </w:tcPr>
          <w:p>
            <w:pPr>
              <w:pStyle w:val="6"/>
              <w:widowControl w:val="0"/>
              <w:spacing w:after="0" w:line="240" w:lineRule="auto"/>
              <w:jc w:val="center"/>
              <w:rPr>
                <w:rFonts w:hint="eastAsia" w:ascii="Times New Roman" w:hAnsi="Times New Roman" w:eastAsia="黑体" w:cs="黑体"/>
                <w:kern w:val="2"/>
                <w:sz w:val="24"/>
                <w:szCs w:val="24"/>
                <w:lang w:val="zh-TW" w:eastAsia="zh-CN"/>
              </w:rPr>
            </w:pPr>
          </w:p>
        </w:tc>
        <w:tc>
          <w:tcPr>
            <w:tcW w:w="1905" w:type="dxa"/>
            <w:vAlign w:val="center"/>
          </w:tcPr>
          <w:p>
            <w:pPr>
              <w:pStyle w:val="6"/>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盘龙区住建局</w:t>
            </w:r>
          </w:p>
        </w:tc>
        <w:tc>
          <w:tcPr>
            <w:tcW w:w="1426" w:type="dxa"/>
            <w:vAlign w:val="top"/>
          </w:tcPr>
          <w:p>
            <w:pPr>
              <w:pStyle w:val="6"/>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20" w:type="dxa"/>
            <w:vAlign w:val="center"/>
          </w:tcPr>
          <w:p>
            <w:pPr>
              <w:pStyle w:val="6"/>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en-US" w:eastAsia="zh-CN"/>
              </w:rPr>
              <w:t>陶宏伟</w:t>
            </w:r>
          </w:p>
        </w:tc>
        <w:tc>
          <w:tcPr>
            <w:tcW w:w="1531" w:type="dxa"/>
            <w:vAlign w:val="center"/>
          </w:tcPr>
          <w:p>
            <w:pPr>
              <w:pStyle w:val="6"/>
              <w:widowControl w:val="0"/>
              <w:spacing w:after="0" w:line="360" w:lineRule="auto"/>
              <w:jc w:val="center"/>
              <w:rPr>
                <w:rFonts w:ascii="Times New Roman" w:hAnsi="Times New Roman" w:eastAsia="黑体" w:cs="黑体"/>
                <w:kern w:val="2"/>
                <w:sz w:val="24"/>
                <w:szCs w:val="24"/>
                <w:lang w:val="zh-TW" w:eastAsia="zh-TW"/>
              </w:rPr>
            </w:pPr>
            <w:bookmarkStart w:id="0" w:name="_GoBack"/>
            <w:bookmarkEnd w:id="0"/>
          </w:p>
        </w:tc>
        <w:tc>
          <w:tcPr>
            <w:tcW w:w="1905" w:type="dxa"/>
            <w:vAlign w:val="center"/>
          </w:tcPr>
          <w:p>
            <w:pPr>
              <w:pStyle w:val="6"/>
              <w:widowControl w:val="0"/>
              <w:spacing w:after="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盘龙区住建局</w:t>
            </w: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en-US" w:eastAsia="zh-CN"/>
              </w:rPr>
              <w:t>王欣悦</w:t>
            </w:r>
          </w:p>
        </w:tc>
        <w:tc>
          <w:tcPr>
            <w:tcW w:w="1531" w:type="dxa"/>
            <w:vAlign w:val="center"/>
          </w:tcPr>
          <w:p>
            <w:pPr>
              <w:pStyle w:val="6"/>
              <w:widowControl w:val="0"/>
              <w:spacing w:after="0" w:line="360" w:lineRule="auto"/>
              <w:jc w:val="center"/>
              <w:rPr>
                <w:rFonts w:ascii="Times New Roman" w:hAnsi="Times New Roman" w:eastAsia="黑体" w:cs="黑体"/>
                <w:kern w:val="2"/>
                <w:sz w:val="24"/>
                <w:szCs w:val="24"/>
                <w:lang w:val="zh-TW" w:eastAsia="zh-TW"/>
              </w:rPr>
            </w:pPr>
          </w:p>
        </w:tc>
        <w:tc>
          <w:tcPr>
            <w:tcW w:w="1905"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盘龙区</w:t>
            </w:r>
            <w:r>
              <w:rPr>
                <w:rFonts w:hint="eastAsia" w:ascii="Times New Roman" w:hAnsi="Times New Roman" w:eastAsia="黑体" w:cs="黑体"/>
                <w:kern w:val="2"/>
                <w:sz w:val="24"/>
                <w:szCs w:val="24"/>
                <w:lang w:val="en-US" w:eastAsia="zh-CN"/>
              </w:rPr>
              <w:t>住建局</w:t>
            </w: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rPr>
            </w:pPr>
          </w:p>
        </w:tc>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张</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丽</w:t>
            </w:r>
          </w:p>
        </w:tc>
        <w:tc>
          <w:tcPr>
            <w:tcW w:w="1531" w:type="dxa"/>
            <w:vAlign w:val="center"/>
          </w:tcPr>
          <w:p>
            <w:pPr>
              <w:pStyle w:val="6"/>
              <w:widowControl w:val="0"/>
              <w:spacing w:after="0" w:line="360" w:lineRule="auto"/>
              <w:jc w:val="center"/>
              <w:rPr>
                <w:rFonts w:ascii="Times New Roman" w:hAnsi="Times New Roman" w:eastAsia="黑体" w:cs="黑体"/>
                <w:kern w:val="2"/>
                <w:sz w:val="24"/>
                <w:szCs w:val="24"/>
                <w:lang w:val="zh-TW" w:eastAsia="zh-TW"/>
              </w:rPr>
            </w:pPr>
          </w:p>
        </w:tc>
        <w:tc>
          <w:tcPr>
            <w:tcW w:w="1905"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盘龙区财政局</w:t>
            </w: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rPr>
            </w:pPr>
          </w:p>
        </w:tc>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邢显军</w:t>
            </w:r>
          </w:p>
        </w:tc>
        <w:tc>
          <w:tcPr>
            <w:tcW w:w="1531" w:type="dxa"/>
            <w:vAlign w:val="center"/>
          </w:tcPr>
          <w:p>
            <w:pPr>
              <w:pStyle w:val="6"/>
              <w:widowControl w:val="0"/>
              <w:spacing w:after="0" w:line="360" w:lineRule="auto"/>
              <w:jc w:val="center"/>
              <w:rPr>
                <w:rFonts w:ascii="Times New Roman" w:hAnsi="Times New Roman" w:eastAsia="黑体" w:cs="黑体"/>
                <w:kern w:val="2"/>
                <w:sz w:val="24"/>
                <w:szCs w:val="24"/>
                <w:lang w:val="zh-TW" w:eastAsia="zh-TW"/>
              </w:rPr>
            </w:pPr>
          </w:p>
        </w:tc>
        <w:tc>
          <w:tcPr>
            <w:tcW w:w="1905"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昆明鸿润工程造价咨询有限公司</w:t>
            </w: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rPr>
            </w:pPr>
          </w:p>
        </w:tc>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谭山</w:t>
            </w:r>
          </w:p>
        </w:tc>
        <w:tc>
          <w:tcPr>
            <w:tcW w:w="1531" w:type="dxa"/>
            <w:vAlign w:val="center"/>
          </w:tcPr>
          <w:p>
            <w:pPr>
              <w:pStyle w:val="6"/>
              <w:widowControl w:val="0"/>
              <w:spacing w:after="0" w:line="360" w:lineRule="auto"/>
              <w:jc w:val="center"/>
              <w:rPr>
                <w:rFonts w:ascii="Times New Roman" w:hAnsi="Times New Roman" w:eastAsia="黑体" w:cs="黑体"/>
                <w:kern w:val="2"/>
                <w:sz w:val="24"/>
                <w:szCs w:val="24"/>
                <w:lang w:val="zh-TW" w:eastAsia="zh-TW"/>
              </w:rPr>
            </w:pPr>
          </w:p>
        </w:tc>
        <w:tc>
          <w:tcPr>
            <w:tcW w:w="1905"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昆明市市政工程设计科学研究院有限公司</w:t>
            </w: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rPr>
            </w:pPr>
          </w:p>
        </w:tc>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朱永平</w:t>
            </w:r>
          </w:p>
        </w:tc>
        <w:tc>
          <w:tcPr>
            <w:tcW w:w="1531" w:type="dxa"/>
            <w:vAlign w:val="center"/>
          </w:tcPr>
          <w:p>
            <w:pPr>
              <w:pStyle w:val="6"/>
              <w:widowControl w:val="0"/>
              <w:spacing w:after="0" w:line="360" w:lineRule="auto"/>
              <w:jc w:val="center"/>
              <w:rPr>
                <w:rFonts w:ascii="Times New Roman" w:hAnsi="Times New Roman" w:eastAsia="黑体" w:cs="黑体"/>
                <w:kern w:val="2"/>
                <w:sz w:val="24"/>
                <w:szCs w:val="24"/>
                <w:lang w:val="zh-TW" w:eastAsia="zh-TW"/>
              </w:rPr>
            </w:pPr>
          </w:p>
        </w:tc>
        <w:tc>
          <w:tcPr>
            <w:tcW w:w="1905"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四川康立项目管理有限责任公司</w:t>
            </w: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6"/>
              <w:widowControl w:val="0"/>
              <w:spacing w:after="0" w:line="360" w:lineRule="auto"/>
              <w:jc w:val="center"/>
              <w:rPr>
                <w:rFonts w:ascii="Times New Roman" w:hAnsi="Times New Roman" w:eastAsia="黑体" w:cs="黑体"/>
                <w:kern w:val="2"/>
                <w:sz w:val="24"/>
                <w:szCs w:val="24"/>
                <w:lang w:val="zh-TW"/>
              </w:rPr>
            </w:pPr>
          </w:p>
        </w:tc>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杨祖旺</w:t>
            </w:r>
          </w:p>
        </w:tc>
        <w:tc>
          <w:tcPr>
            <w:tcW w:w="1531" w:type="dxa"/>
            <w:vAlign w:val="center"/>
          </w:tcPr>
          <w:p>
            <w:pPr>
              <w:pStyle w:val="6"/>
              <w:widowControl w:val="0"/>
              <w:spacing w:after="0" w:line="360" w:lineRule="auto"/>
              <w:jc w:val="center"/>
              <w:rPr>
                <w:rFonts w:ascii="Times New Roman" w:hAnsi="Times New Roman" w:eastAsia="黑体" w:cs="黑体"/>
                <w:kern w:val="2"/>
                <w:sz w:val="24"/>
                <w:szCs w:val="24"/>
                <w:lang w:val="zh-TW" w:eastAsia="zh-TW"/>
              </w:rPr>
            </w:pPr>
          </w:p>
        </w:tc>
        <w:tc>
          <w:tcPr>
            <w:tcW w:w="1905"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昆明北延立交开发建设有限公司</w:t>
            </w: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vAlign w:val="top"/>
          </w:tcPr>
          <w:p>
            <w:pPr>
              <w:pStyle w:val="6"/>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6"/>
              <w:widowControl w:val="0"/>
              <w:spacing w:after="0" w:line="360" w:lineRule="auto"/>
              <w:jc w:val="both"/>
              <w:rPr>
                <w:rFonts w:ascii="Times New Roman" w:hAnsi="Times New Roman" w:eastAsia="黑体" w:cs="黑体"/>
                <w:kern w:val="2"/>
                <w:sz w:val="24"/>
                <w:szCs w:val="24"/>
                <w:lang w:val="zh-TW"/>
              </w:rPr>
            </w:pPr>
          </w:p>
          <w:p>
            <w:pPr>
              <w:pStyle w:val="6"/>
              <w:widowControl w:val="0"/>
              <w:spacing w:after="0" w:line="360" w:lineRule="auto"/>
              <w:jc w:val="both"/>
              <w:rPr>
                <w:rFonts w:ascii="Times New Roman" w:hAnsi="Times New Roman" w:eastAsia="黑体" w:cs="黑体"/>
                <w:kern w:val="2"/>
                <w:sz w:val="24"/>
                <w:szCs w:val="24"/>
                <w:lang w:val="zh-TW"/>
              </w:rPr>
            </w:pPr>
          </w:p>
          <w:p>
            <w:pPr>
              <w:pStyle w:val="6"/>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 xml:space="preserve">年 </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 xml:space="preserve"> 月  </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vAlign w:val="top"/>
          </w:tcPr>
          <w:p>
            <w:pPr>
              <w:pStyle w:val="6"/>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6"/>
              <w:widowControl w:val="0"/>
              <w:spacing w:after="0" w:line="360" w:lineRule="auto"/>
              <w:jc w:val="both"/>
              <w:rPr>
                <w:rFonts w:ascii="Times New Roman" w:hAnsi="Times New Roman" w:eastAsia="黑体" w:cs="黑体"/>
                <w:kern w:val="2"/>
                <w:sz w:val="24"/>
                <w:szCs w:val="24"/>
                <w:lang w:val="zh-TW"/>
              </w:rPr>
            </w:pPr>
          </w:p>
          <w:p>
            <w:pPr>
              <w:pStyle w:val="6"/>
              <w:widowControl w:val="0"/>
              <w:spacing w:after="0" w:line="360" w:lineRule="auto"/>
              <w:jc w:val="both"/>
              <w:rPr>
                <w:rFonts w:ascii="Times New Roman" w:hAnsi="Times New Roman" w:eastAsia="黑体" w:cs="黑体"/>
                <w:kern w:val="2"/>
                <w:sz w:val="24"/>
                <w:szCs w:val="24"/>
                <w:lang w:val="zh-TW"/>
              </w:rPr>
            </w:pPr>
          </w:p>
          <w:p>
            <w:pPr>
              <w:pStyle w:val="6"/>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 xml:space="preserve">年 </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 xml:space="preserve"> 月 </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 xml:space="preserve"> 日</w:t>
            </w:r>
          </w:p>
        </w:tc>
      </w:tr>
    </w:tbl>
    <w:p>
      <w:pPr>
        <w:pStyle w:val="6"/>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6"/>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7"/>
        <w:jc w:val="center"/>
        <w:rPr>
          <w:rFonts w:ascii="Times New Roman" w:hAnsi="Times New Roman" w:cs="Times New Roman"/>
          <w:color w:val="auto"/>
          <w:sz w:val="36"/>
          <w:szCs w:val="36"/>
        </w:rPr>
      </w:pPr>
      <w:r>
        <w:rPr>
          <w:rFonts w:hint="eastAsia" w:ascii="Times New Roman" w:hAnsi="Times New Roman" w:cs="宋体"/>
          <w:color w:val="auto"/>
          <w:sz w:val="36"/>
          <w:szCs w:val="36"/>
          <w:lang w:val="zh-CN"/>
        </w:rPr>
        <w:t>目录</w:t>
      </w:r>
    </w:p>
    <w:p>
      <w:pPr>
        <w:spacing w:line="360" w:lineRule="auto"/>
        <w:ind w:firstLine="480" w:firstLineChars="200"/>
        <w:jc w:val="left"/>
        <w:rPr>
          <w:rFonts w:ascii="黑体" w:hAnsi="黑体" w:eastAsia="黑体"/>
          <w:sz w:val="24"/>
          <w:szCs w:val="40"/>
        </w:rPr>
      </w:pPr>
      <w:r>
        <w:rPr>
          <w:rFonts w:hint="eastAsia" w:ascii="黑体" w:hAnsi="黑体" w:eastAsia="黑体"/>
          <w:sz w:val="24"/>
          <w:szCs w:val="40"/>
        </w:rPr>
        <w:t>摘要</w:t>
      </w:r>
      <w:r>
        <w:rPr>
          <w:rFonts w:hint="eastAsia" w:ascii="黑体" w:hAnsi="黑体" w:eastAsia="黑体"/>
          <w:sz w:val="24"/>
          <w:szCs w:val="40"/>
        </w:rPr>
        <w:tab/>
      </w:r>
      <w:r>
        <w:rPr>
          <w:rFonts w:hint="eastAsia" w:ascii="黑体" w:hAnsi="黑体" w:eastAsia="黑体"/>
          <w:sz w:val="24"/>
          <w:szCs w:val="40"/>
        </w:rPr>
        <w:t xml:space="preserve"> </w:t>
      </w:r>
    </w:p>
    <w:p>
      <w:pPr>
        <w:spacing w:line="360" w:lineRule="auto"/>
        <w:ind w:firstLine="480" w:firstLineChars="200"/>
        <w:jc w:val="left"/>
        <w:rPr>
          <w:rFonts w:ascii="黑体" w:hAnsi="黑体" w:eastAsia="黑体"/>
          <w:sz w:val="24"/>
          <w:szCs w:val="40"/>
        </w:rPr>
      </w:pPr>
      <w:r>
        <w:rPr>
          <w:rFonts w:hint="eastAsia" w:ascii="黑体" w:hAnsi="黑体" w:eastAsia="黑体"/>
          <w:sz w:val="24"/>
          <w:szCs w:val="40"/>
        </w:rPr>
        <w:t>一、 项目基本情况</w:t>
      </w:r>
      <w:r>
        <w:rPr>
          <w:rFonts w:hint="eastAsia" w:ascii="黑体" w:hAnsi="黑体" w:eastAsia="黑体"/>
          <w:sz w:val="24"/>
          <w:szCs w:val="40"/>
        </w:rPr>
        <w:tab/>
      </w:r>
      <w:r>
        <w:rPr>
          <w:rFonts w:hint="eastAsia" w:ascii="黑体" w:hAnsi="黑体" w:eastAsia="黑体"/>
          <w:sz w:val="24"/>
          <w:szCs w:val="40"/>
        </w:rPr>
        <w:t xml:space="preserve"> </w:t>
      </w:r>
    </w:p>
    <w:p>
      <w:pPr>
        <w:spacing w:line="360" w:lineRule="auto"/>
        <w:ind w:firstLine="720" w:firstLineChars="300"/>
        <w:jc w:val="left"/>
        <w:rPr>
          <w:rFonts w:hint="eastAsia" w:ascii="黑体" w:hAnsi="黑体" w:eastAsia="黑体"/>
          <w:sz w:val="24"/>
          <w:szCs w:val="40"/>
          <w:lang w:val="en-US" w:eastAsia="zh-CN"/>
        </w:rPr>
      </w:pPr>
      <w:r>
        <w:rPr>
          <w:rFonts w:hint="eastAsia" w:ascii="黑体" w:hAnsi="黑体" w:eastAsia="黑体"/>
          <w:sz w:val="24"/>
          <w:szCs w:val="40"/>
        </w:rPr>
        <w:t>（一）</w:t>
      </w:r>
      <w:r>
        <w:rPr>
          <w:rFonts w:hint="eastAsia" w:ascii="黑体" w:hAnsi="黑体" w:eastAsia="黑体"/>
          <w:sz w:val="24"/>
          <w:szCs w:val="40"/>
          <w:lang w:eastAsia="zh-CN"/>
        </w:rPr>
        <w:t>项目概况</w:t>
      </w:r>
    </w:p>
    <w:p>
      <w:pPr>
        <w:numPr>
          <w:ilvl w:val="0"/>
          <w:numId w:val="1"/>
        </w:numPr>
        <w:spacing w:line="360" w:lineRule="auto"/>
        <w:ind w:left="1685" w:leftChars="0" w:hanging="425" w:firstLineChars="0"/>
        <w:jc w:val="left"/>
        <w:rPr>
          <w:rFonts w:ascii="黑体" w:hAnsi="黑体" w:eastAsia="黑体"/>
          <w:sz w:val="24"/>
          <w:szCs w:val="40"/>
        </w:rPr>
      </w:pPr>
      <w:r>
        <w:rPr>
          <w:rFonts w:hint="eastAsia" w:ascii="黑体" w:hAnsi="黑体" w:eastAsia="黑体"/>
          <w:sz w:val="24"/>
          <w:szCs w:val="40"/>
        </w:rPr>
        <w:t>项目立项背景</w:t>
      </w:r>
      <w:r>
        <w:rPr>
          <w:rFonts w:hint="eastAsia" w:ascii="黑体" w:hAnsi="黑体" w:eastAsia="黑体"/>
          <w:sz w:val="24"/>
          <w:szCs w:val="40"/>
        </w:rPr>
        <w:tab/>
      </w:r>
      <w:r>
        <w:rPr>
          <w:rFonts w:hint="eastAsia" w:ascii="黑体" w:hAnsi="黑体" w:eastAsia="黑体"/>
          <w:sz w:val="24"/>
          <w:szCs w:val="40"/>
        </w:rPr>
        <w:t xml:space="preserve"> </w:t>
      </w:r>
    </w:p>
    <w:p>
      <w:pPr>
        <w:numPr>
          <w:ilvl w:val="0"/>
          <w:numId w:val="1"/>
        </w:numPr>
        <w:spacing w:line="360" w:lineRule="auto"/>
        <w:ind w:left="1685" w:leftChars="0" w:hanging="425" w:firstLineChars="0"/>
        <w:jc w:val="left"/>
        <w:rPr>
          <w:rFonts w:ascii="黑体" w:hAnsi="黑体" w:eastAsia="黑体"/>
          <w:sz w:val="24"/>
          <w:szCs w:val="40"/>
        </w:rPr>
      </w:pPr>
      <w:r>
        <w:rPr>
          <w:rFonts w:hint="eastAsia" w:ascii="黑体" w:hAnsi="黑体" w:eastAsia="黑体"/>
          <w:sz w:val="24"/>
          <w:szCs w:val="40"/>
        </w:rPr>
        <w:t>项目实施</w:t>
      </w:r>
      <w:r>
        <w:rPr>
          <w:rFonts w:hint="eastAsia" w:ascii="黑体" w:hAnsi="黑体" w:eastAsia="黑体"/>
          <w:sz w:val="24"/>
          <w:szCs w:val="40"/>
          <w:lang w:eastAsia="zh-CN"/>
        </w:rPr>
        <w:t>情况</w:t>
      </w:r>
      <w:r>
        <w:rPr>
          <w:rFonts w:hint="eastAsia" w:ascii="黑体" w:hAnsi="黑体" w:eastAsia="黑体"/>
          <w:sz w:val="24"/>
          <w:szCs w:val="40"/>
        </w:rPr>
        <w:tab/>
      </w:r>
      <w:r>
        <w:rPr>
          <w:rFonts w:hint="eastAsia" w:ascii="黑体" w:hAnsi="黑体" w:eastAsia="黑体"/>
          <w:sz w:val="24"/>
          <w:szCs w:val="40"/>
        </w:rPr>
        <w:t xml:space="preserve"> </w:t>
      </w:r>
    </w:p>
    <w:p>
      <w:pPr>
        <w:numPr>
          <w:ilvl w:val="0"/>
          <w:numId w:val="1"/>
        </w:numPr>
        <w:spacing w:line="360" w:lineRule="auto"/>
        <w:ind w:left="1685" w:leftChars="0" w:hanging="425" w:firstLineChars="0"/>
        <w:jc w:val="left"/>
        <w:rPr>
          <w:rFonts w:ascii="黑体" w:hAnsi="黑体" w:eastAsia="黑体"/>
          <w:sz w:val="24"/>
          <w:szCs w:val="40"/>
        </w:rPr>
      </w:pPr>
      <w:r>
        <w:rPr>
          <w:rFonts w:hint="eastAsia" w:ascii="黑体" w:hAnsi="黑体" w:eastAsia="黑体"/>
          <w:sz w:val="24"/>
          <w:szCs w:val="40"/>
          <w:lang w:eastAsia="zh-CN"/>
        </w:rPr>
        <w:t>资金来源及使用情况</w:t>
      </w:r>
      <w:r>
        <w:rPr>
          <w:rFonts w:hint="eastAsia" w:ascii="黑体" w:hAnsi="黑体" w:eastAsia="黑体"/>
          <w:sz w:val="24"/>
          <w:szCs w:val="40"/>
        </w:rPr>
        <w:tab/>
      </w:r>
      <w:r>
        <w:rPr>
          <w:rFonts w:hint="eastAsia" w:ascii="黑体" w:hAnsi="黑体" w:eastAsia="黑体"/>
          <w:sz w:val="24"/>
          <w:szCs w:val="40"/>
        </w:rPr>
        <w:t xml:space="preserve"> </w:t>
      </w:r>
    </w:p>
    <w:p>
      <w:pPr>
        <w:numPr>
          <w:ilvl w:val="0"/>
          <w:numId w:val="1"/>
        </w:numPr>
        <w:spacing w:line="360" w:lineRule="auto"/>
        <w:ind w:left="1685" w:leftChars="0" w:hanging="425" w:firstLineChars="0"/>
        <w:jc w:val="left"/>
        <w:rPr>
          <w:rFonts w:ascii="黑体" w:hAnsi="黑体" w:eastAsia="黑体"/>
          <w:sz w:val="24"/>
          <w:szCs w:val="40"/>
        </w:rPr>
      </w:pPr>
      <w:r>
        <w:rPr>
          <w:rFonts w:hint="eastAsia" w:ascii="黑体" w:hAnsi="黑体" w:eastAsia="黑体"/>
          <w:sz w:val="24"/>
          <w:szCs w:val="40"/>
        </w:rPr>
        <w:t>项目的组织及管理</w:t>
      </w:r>
      <w:r>
        <w:rPr>
          <w:rFonts w:hint="eastAsia" w:ascii="黑体" w:hAnsi="黑体" w:eastAsia="黑体"/>
          <w:sz w:val="24"/>
          <w:szCs w:val="40"/>
        </w:rPr>
        <w:tab/>
      </w:r>
      <w:r>
        <w:rPr>
          <w:rFonts w:hint="eastAsia" w:ascii="黑体" w:hAnsi="黑体" w:eastAsia="黑体"/>
          <w:sz w:val="24"/>
          <w:szCs w:val="40"/>
        </w:rPr>
        <w:t xml:space="preserve"> </w:t>
      </w:r>
    </w:p>
    <w:p>
      <w:pPr>
        <w:numPr>
          <w:ilvl w:val="0"/>
          <w:numId w:val="2"/>
        </w:numPr>
        <w:spacing w:line="360" w:lineRule="auto"/>
        <w:ind w:firstLine="720" w:firstLineChars="300"/>
        <w:jc w:val="left"/>
        <w:rPr>
          <w:rFonts w:hint="eastAsia" w:ascii="黑体" w:hAnsi="黑体" w:eastAsia="黑体"/>
          <w:sz w:val="24"/>
          <w:szCs w:val="40"/>
        </w:rPr>
      </w:pPr>
      <w:r>
        <w:rPr>
          <w:rFonts w:hint="eastAsia" w:ascii="黑体" w:hAnsi="黑体" w:eastAsia="黑体"/>
          <w:sz w:val="24"/>
          <w:szCs w:val="40"/>
        </w:rPr>
        <w:t xml:space="preserve">项目绩效目标 </w:t>
      </w:r>
    </w:p>
    <w:p>
      <w:pPr>
        <w:numPr>
          <w:ilvl w:val="0"/>
          <w:numId w:val="3"/>
        </w:numPr>
        <w:spacing w:line="360" w:lineRule="auto"/>
        <w:ind w:left="1260" w:leftChars="0"/>
        <w:jc w:val="left"/>
        <w:rPr>
          <w:rFonts w:hint="eastAsia" w:ascii="黑体" w:hAnsi="黑体" w:eastAsia="黑体"/>
          <w:sz w:val="24"/>
          <w:szCs w:val="40"/>
          <w:lang w:val="en-US" w:eastAsia="zh-CN"/>
        </w:rPr>
      </w:pPr>
      <w:r>
        <w:rPr>
          <w:rFonts w:hint="eastAsia" w:ascii="黑体" w:hAnsi="黑体" w:eastAsia="黑体"/>
          <w:sz w:val="24"/>
          <w:szCs w:val="40"/>
          <w:lang w:val="en-US" w:eastAsia="zh-CN"/>
        </w:rPr>
        <w:t>总目标</w:t>
      </w:r>
    </w:p>
    <w:p>
      <w:pPr>
        <w:numPr>
          <w:ilvl w:val="0"/>
          <w:numId w:val="3"/>
        </w:numPr>
        <w:spacing w:line="360" w:lineRule="auto"/>
        <w:ind w:left="1260" w:leftChars="0"/>
        <w:jc w:val="left"/>
        <w:rPr>
          <w:rFonts w:hint="default" w:ascii="黑体" w:hAnsi="黑体" w:eastAsia="黑体"/>
          <w:sz w:val="24"/>
          <w:szCs w:val="40"/>
          <w:lang w:val="en-US" w:eastAsia="zh-CN"/>
        </w:rPr>
      </w:pPr>
      <w:r>
        <w:rPr>
          <w:rFonts w:hint="eastAsia" w:ascii="黑体" w:hAnsi="黑体" w:eastAsia="黑体"/>
          <w:sz w:val="24"/>
          <w:szCs w:val="40"/>
          <w:lang w:val="en-US" w:eastAsia="zh-CN"/>
        </w:rPr>
        <w:t>年度目标</w:t>
      </w:r>
    </w:p>
    <w:p>
      <w:pPr>
        <w:spacing w:line="360" w:lineRule="auto"/>
        <w:ind w:firstLine="480" w:firstLineChars="200"/>
        <w:jc w:val="left"/>
        <w:rPr>
          <w:rFonts w:ascii="黑体" w:hAnsi="黑体" w:eastAsia="黑体"/>
          <w:sz w:val="24"/>
          <w:szCs w:val="40"/>
        </w:rPr>
      </w:pPr>
      <w:r>
        <w:rPr>
          <w:rFonts w:hint="eastAsia" w:ascii="黑体" w:hAnsi="黑体" w:eastAsia="黑体"/>
          <w:sz w:val="24"/>
          <w:szCs w:val="40"/>
        </w:rPr>
        <w:t>二、绩效评价工作情况</w:t>
      </w:r>
      <w:r>
        <w:rPr>
          <w:rFonts w:hint="eastAsia" w:ascii="黑体" w:hAnsi="黑体" w:eastAsia="黑体"/>
          <w:sz w:val="24"/>
          <w:szCs w:val="40"/>
        </w:rPr>
        <w:tab/>
      </w:r>
      <w:r>
        <w:rPr>
          <w:rFonts w:hint="eastAsia" w:ascii="黑体" w:hAnsi="黑体" w:eastAsia="黑体"/>
          <w:sz w:val="24"/>
          <w:szCs w:val="40"/>
        </w:rPr>
        <w:t xml:space="preserve"> </w:t>
      </w:r>
    </w:p>
    <w:p>
      <w:pPr>
        <w:spacing w:line="360" w:lineRule="auto"/>
        <w:ind w:firstLine="720" w:firstLineChars="300"/>
        <w:jc w:val="left"/>
        <w:rPr>
          <w:rFonts w:ascii="黑体" w:hAnsi="黑体" w:eastAsia="黑体"/>
          <w:sz w:val="24"/>
          <w:szCs w:val="40"/>
        </w:rPr>
      </w:pPr>
      <w:r>
        <w:rPr>
          <w:rFonts w:hint="eastAsia" w:ascii="黑体" w:hAnsi="黑体" w:eastAsia="黑体"/>
          <w:sz w:val="24"/>
          <w:szCs w:val="40"/>
        </w:rPr>
        <w:t>(一)评价的目的和依据</w:t>
      </w:r>
      <w:r>
        <w:rPr>
          <w:rFonts w:hint="eastAsia" w:ascii="黑体" w:hAnsi="黑体" w:eastAsia="黑体"/>
          <w:sz w:val="24"/>
          <w:szCs w:val="40"/>
        </w:rPr>
        <w:tab/>
      </w:r>
      <w:r>
        <w:rPr>
          <w:rFonts w:hint="eastAsia" w:ascii="黑体" w:hAnsi="黑体" w:eastAsia="黑体"/>
          <w:sz w:val="24"/>
          <w:szCs w:val="40"/>
        </w:rPr>
        <w:t xml:space="preserve"> </w:t>
      </w:r>
    </w:p>
    <w:p>
      <w:pPr>
        <w:spacing w:line="360" w:lineRule="auto"/>
        <w:ind w:firstLine="720" w:firstLineChars="300"/>
        <w:jc w:val="left"/>
        <w:rPr>
          <w:rFonts w:ascii="黑体" w:hAnsi="黑体" w:eastAsia="黑体"/>
          <w:sz w:val="24"/>
          <w:szCs w:val="40"/>
        </w:rPr>
      </w:pPr>
      <w:r>
        <w:rPr>
          <w:rFonts w:hint="eastAsia" w:ascii="黑体" w:hAnsi="黑体" w:eastAsia="黑体"/>
          <w:sz w:val="24"/>
          <w:szCs w:val="40"/>
        </w:rPr>
        <w:t>(二)绩效评价</w:t>
      </w:r>
      <w:r>
        <w:rPr>
          <w:rFonts w:hint="eastAsia" w:ascii="黑体" w:hAnsi="黑体" w:eastAsia="黑体"/>
          <w:sz w:val="24"/>
          <w:szCs w:val="40"/>
          <w:lang w:eastAsia="zh-CN"/>
        </w:rPr>
        <w:t>机制和指标体系</w:t>
      </w:r>
      <w:r>
        <w:rPr>
          <w:rFonts w:hint="eastAsia" w:ascii="黑体" w:hAnsi="黑体" w:eastAsia="黑体"/>
          <w:sz w:val="24"/>
          <w:szCs w:val="40"/>
        </w:rPr>
        <w:tab/>
      </w:r>
      <w:r>
        <w:rPr>
          <w:rFonts w:hint="eastAsia" w:ascii="黑体" w:hAnsi="黑体" w:eastAsia="黑体"/>
          <w:sz w:val="24"/>
          <w:szCs w:val="40"/>
        </w:rPr>
        <w:t xml:space="preserve"> </w:t>
      </w:r>
    </w:p>
    <w:p>
      <w:pPr>
        <w:spacing w:line="360" w:lineRule="auto"/>
        <w:ind w:firstLine="720" w:firstLineChars="300"/>
        <w:jc w:val="left"/>
        <w:rPr>
          <w:rFonts w:ascii="黑体" w:hAnsi="黑体" w:eastAsia="黑体"/>
          <w:sz w:val="24"/>
          <w:szCs w:val="40"/>
        </w:rPr>
      </w:pPr>
      <w:r>
        <w:rPr>
          <w:rFonts w:hint="eastAsia" w:ascii="黑体" w:hAnsi="黑体" w:eastAsia="黑体"/>
          <w:sz w:val="24"/>
          <w:szCs w:val="40"/>
        </w:rPr>
        <w:t>(三)绩效评价原则、评价方法等</w:t>
      </w:r>
      <w:r>
        <w:rPr>
          <w:rFonts w:hint="eastAsia" w:ascii="黑体" w:hAnsi="黑体" w:eastAsia="黑体"/>
          <w:sz w:val="24"/>
          <w:szCs w:val="40"/>
        </w:rPr>
        <w:tab/>
      </w:r>
    </w:p>
    <w:p>
      <w:pPr>
        <w:spacing w:line="360" w:lineRule="auto"/>
        <w:ind w:firstLine="720" w:firstLineChars="300"/>
        <w:jc w:val="left"/>
        <w:rPr>
          <w:rFonts w:ascii="黑体" w:hAnsi="黑体" w:eastAsia="黑体"/>
          <w:sz w:val="24"/>
          <w:szCs w:val="40"/>
        </w:rPr>
      </w:pPr>
      <w:r>
        <w:rPr>
          <w:rFonts w:hint="eastAsia" w:ascii="黑体" w:hAnsi="黑体" w:eastAsia="黑体"/>
          <w:sz w:val="24"/>
          <w:szCs w:val="40"/>
        </w:rPr>
        <w:t>(四)绩效评价实施过程</w:t>
      </w:r>
      <w:r>
        <w:rPr>
          <w:rFonts w:hint="eastAsia" w:ascii="黑体" w:hAnsi="黑体" w:eastAsia="黑体"/>
          <w:sz w:val="24"/>
          <w:szCs w:val="40"/>
        </w:rPr>
        <w:tab/>
      </w:r>
      <w:r>
        <w:rPr>
          <w:rFonts w:hint="eastAsia" w:ascii="黑体" w:hAnsi="黑体" w:eastAsia="黑体"/>
          <w:sz w:val="24"/>
          <w:szCs w:val="40"/>
        </w:rPr>
        <w:t xml:space="preserve">  </w:t>
      </w:r>
    </w:p>
    <w:p>
      <w:pPr>
        <w:spacing w:line="360" w:lineRule="auto"/>
        <w:ind w:firstLine="480" w:firstLineChars="200"/>
        <w:jc w:val="left"/>
        <w:rPr>
          <w:rFonts w:ascii="黑体" w:hAnsi="黑体" w:eastAsia="黑体"/>
          <w:sz w:val="24"/>
          <w:szCs w:val="40"/>
        </w:rPr>
      </w:pPr>
      <w:r>
        <w:rPr>
          <w:rFonts w:hint="eastAsia" w:ascii="黑体" w:hAnsi="黑体" w:eastAsia="黑体"/>
          <w:sz w:val="24"/>
          <w:szCs w:val="40"/>
        </w:rPr>
        <w:t xml:space="preserve">三、评价结论及绩效分析 </w:t>
      </w:r>
    </w:p>
    <w:p>
      <w:pPr>
        <w:spacing w:line="360" w:lineRule="auto"/>
        <w:ind w:firstLine="720" w:firstLineChars="300"/>
        <w:jc w:val="left"/>
        <w:rPr>
          <w:rFonts w:ascii="黑体" w:hAnsi="黑体" w:eastAsia="黑体"/>
          <w:sz w:val="24"/>
          <w:szCs w:val="40"/>
        </w:rPr>
      </w:pPr>
      <w:r>
        <w:rPr>
          <w:rFonts w:hint="eastAsia" w:ascii="黑体" w:hAnsi="黑体" w:eastAsia="黑体"/>
          <w:sz w:val="24"/>
          <w:szCs w:val="40"/>
        </w:rPr>
        <w:t>(一)评价结论</w:t>
      </w:r>
      <w:r>
        <w:rPr>
          <w:rFonts w:hint="eastAsia" w:ascii="黑体" w:hAnsi="黑体" w:eastAsia="黑体"/>
          <w:sz w:val="24"/>
          <w:szCs w:val="40"/>
        </w:rPr>
        <w:tab/>
      </w:r>
      <w:r>
        <w:rPr>
          <w:rFonts w:hint="eastAsia" w:ascii="黑体" w:hAnsi="黑体" w:eastAsia="黑体"/>
          <w:sz w:val="24"/>
          <w:szCs w:val="40"/>
        </w:rPr>
        <w:t xml:space="preserve"> </w:t>
      </w:r>
    </w:p>
    <w:p>
      <w:pPr>
        <w:spacing w:line="360" w:lineRule="auto"/>
        <w:ind w:firstLine="720" w:firstLineChars="300"/>
        <w:jc w:val="left"/>
        <w:rPr>
          <w:rFonts w:ascii="黑体" w:hAnsi="黑体" w:eastAsia="黑体"/>
          <w:sz w:val="24"/>
          <w:szCs w:val="40"/>
        </w:rPr>
      </w:pPr>
      <w:r>
        <w:rPr>
          <w:rFonts w:hint="eastAsia" w:ascii="黑体" w:hAnsi="黑体" w:eastAsia="黑体"/>
          <w:sz w:val="24"/>
          <w:szCs w:val="40"/>
        </w:rPr>
        <w:t>(二)绩效分析</w:t>
      </w:r>
      <w:r>
        <w:rPr>
          <w:rFonts w:hint="eastAsia" w:ascii="黑体" w:hAnsi="黑体" w:eastAsia="黑体"/>
          <w:sz w:val="24"/>
          <w:szCs w:val="40"/>
        </w:rPr>
        <w:tab/>
      </w:r>
      <w:r>
        <w:rPr>
          <w:rFonts w:hint="eastAsia" w:ascii="黑体" w:hAnsi="黑体" w:eastAsia="黑体"/>
          <w:sz w:val="24"/>
          <w:szCs w:val="40"/>
        </w:rPr>
        <w:t xml:space="preserve"> </w:t>
      </w:r>
    </w:p>
    <w:p>
      <w:pPr>
        <w:spacing w:line="360" w:lineRule="auto"/>
        <w:ind w:firstLine="480" w:firstLineChars="200"/>
        <w:jc w:val="left"/>
        <w:rPr>
          <w:rFonts w:ascii="黑体" w:hAnsi="黑体" w:eastAsia="黑体"/>
          <w:sz w:val="24"/>
          <w:szCs w:val="40"/>
        </w:rPr>
      </w:pPr>
      <w:r>
        <w:rPr>
          <w:rFonts w:hint="eastAsia" w:ascii="黑体" w:hAnsi="黑体" w:eastAsia="黑体"/>
          <w:sz w:val="24"/>
          <w:szCs w:val="40"/>
        </w:rPr>
        <w:t xml:space="preserve">四、项目主要经验及做法、存在的问题和建议 </w:t>
      </w:r>
    </w:p>
    <w:p>
      <w:pPr>
        <w:spacing w:line="360" w:lineRule="auto"/>
        <w:ind w:firstLine="480" w:firstLineChars="200"/>
        <w:jc w:val="left"/>
        <w:rPr>
          <w:rFonts w:ascii="黑体" w:hAnsi="黑体" w:eastAsia="黑体"/>
          <w:sz w:val="24"/>
          <w:szCs w:val="40"/>
        </w:rPr>
      </w:pPr>
      <w:r>
        <w:rPr>
          <w:rFonts w:hint="eastAsia" w:ascii="黑体" w:hAnsi="黑体" w:eastAsia="黑体"/>
          <w:sz w:val="24"/>
          <w:szCs w:val="40"/>
        </w:rPr>
        <w:t>五、附件</w:t>
      </w:r>
      <w:r>
        <w:rPr>
          <w:rFonts w:hint="eastAsia" w:ascii="黑体" w:hAnsi="黑体" w:eastAsia="黑体"/>
          <w:sz w:val="24"/>
          <w:szCs w:val="40"/>
        </w:rPr>
        <w:tab/>
      </w:r>
      <w:r>
        <w:rPr>
          <w:rFonts w:hint="eastAsia" w:ascii="黑体" w:hAnsi="黑体" w:eastAsia="黑体"/>
          <w:sz w:val="24"/>
          <w:szCs w:val="40"/>
        </w:rPr>
        <w:t xml:space="preserve"> </w:t>
      </w:r>
    </w:p>
    <w:p>
      <w:pPr>
        <w:spacing w:line="540" w:lineRule="exact"/>
        <w:rPr>
          <w:rFonts w:ascii="方正小标宋_GBK" w:hAnsi="黑体" w:eastAsia="方正小标宋_GBK"/>
          <w:sz w:val="28"/>
          <w:szCs w:val="44"/>
        </w:rPr>
      </w:pPr>
    </w:p>
    <w:p>
      <w:pPr>
        <w:spacing w:line="540" w:lineRule="exact"/>
        <w:rPr>
          <w:rFonts w:ascii="方正小标宋_GBK" w:hAnsi="黑体" w:eastAsia="方正小标宋_GBK"/>
          <w:sz w:val="28"/>
          <w:szCs w:val="44"/>
        </w:rPr>
      </w:pPr>
    </w:p>
    <w:p>
      <w:pPr>
        <w:spacing w:line="540" w:lineRule="exact"/>
        <w:rPr>
          <w:rFonts w:ascii="方正小标宋_GBK" w:hAnsi="黑体" w:eastAsia="方正小标宋_GBK"/>
          <w:sz w:val="28"/>
          <w:szCs w:val="44"/>
        </w:rPr>
      </w:pPr>
    </w:p>
    <w:p>
      <w:pPr>
        <w:spacing w:line="540" w:lineRule="exact"/>
        <w:rPr>
          <w:rFonts w:ascii="方正小标宋_GBK" w:hAnsi="黑体" w:eastAsia="方正小标宋_GBK"/>
          <w:sz w:val="28"/>
          <w:szCs w:val="44"/>
        </w:rPr>
      </w:pPr>
    </w:p>
    <w:p>
      <w:pPr>
        <w:rPr>
          <w:rFonts w:ascii="方正小标宋_GBK" w:hAnsi="黑体" w:eastAsia="方正小标宋_GBK"/>
          <w:sz w:val="28"/>
          <w:szCs w:val="44"/>
        </w:rPr>
      </w:pPr>
      <w:r>
        <w:rPr>
          <w:rFonts w:ascii="方正小标宋_GBK" w:hAnsi="黑体" w:eastAsia="方正小标宋_GBK"/>
          <w:sz w:val="28"/>
          <w:szCs w:val="44"/>
        </w:rPr>
        <w:br w:type="page"/>
      </w:r>
    </w:p>
    <w:p>
      <w:pPr>
        <w:spacing w:line="440" w:lineRule="exact"/>
        <w:jc w:val="center"/>
        <w:rPr>
          <w:rFonts w:ascii="方正小标宋_GBK" w:eastAsia="方正小标宋_GBK"/>
          <w:color w:val="auto"/>
          <w:sz w:val="36"/>
          <w:szCs w:val="36"/>
          <w:shd w:val="clear" w:color="auto" w:fill="auto"/>
        </w:rPr>
      </w:pPr>
      <w:r>
        <w:rPr>
          <w:rFonts w:hint="eastAsia" w:ascii="方正小标宋_GBK" w:eastAsia="方正小标宋_GBK"/>
          <w:color w:val="auto"/>
          <w:sz w:val="36"/>
          <w:szCs w:val="36"/>
          <w:shd w:val="clear" w:color="auto" w:fill="auto"/>
        </w:rPr>
        <w:t>北京路北端连接西北绕城高速立交工程项目支出绩效自评报告</w:t>
      </w:r>
    </w:p>
    <w:p>
      <w:pPr>
        <w:spacing w:line="440" w:lineRule="exact"/>
        <w:ind w:firstLine="420" w:firstLineChars="200"/>
        <w:jc w:val="left"/>
        <w:rPr>
          <w:rFonts w:ascii="黑体" w:hAnsi="黑体" w:eastAsia="黑体"/>
          <w:color w:val="auto"/>
          <w:szCs w:val="32"/>
          <w:shd w:val="clear" w:color="FFFFFF" w:fill="D9D9D9"/>
        </w:rPr>
      </w:pPr>
    </w:p>
    <w:p>
      <w:pPr>
        <w:spacing w:line="440" w:lineRule="exact"/>
        <w:ind w:firstLine="560" w:firstLineChars="200"/>
        <w:jc w:val="center"/>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摘要</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一、项目概况：</w:t>
      </w:r>
      <w:r>
        <w:rPr>
          <w:rFonts w:hint="eastAsia" w:ascii="仿宋_GB2312" w:hAnsi="仿宋_GB2312" w:eastAsia="仿宋_GB2312" w:cs="仿宋_GB2312"/>
          <w:sz w:val="28"/>
          <w:szCs w:val="44"/>
          <w:lang w:val="en-US" w:eastAsia="zh-CN"/>
        </w:rPr>
        <w:t>根据《昆明市盘龙区发展和改革局关于对北京路北端连接西北绕城高速立交工程可行性研究报告的批复》（盘发改投资[2016]55号）同意项目建设，2020年北京路北端连接西北绕城高速立交工程预算收入</w:t>
      </w:r>
      <w:r>
        <w:rPr>
          <w:rFonts w:hint="eastAsia" w:ascii="仿宋_GB2312" w:hAnsi="仿宋_GB2312" w:eastAsia="仿宋_GB2312" w:cs="仿宋_GB2312"/>
          <w:color w:val="auto"/>
          <w:sz w:val="28"/>
          <w:szCs w:val="44"/>
          <w:lang w:val="en-US" w:eastAsia="zh-CN"/>
        </w:rPr>
        <w:t>为</w:t>
      </w:r>
      <w:r>
        <w:rPr>
          <w:rFonts w:hint="eastAsia" w:ascii="仿宋_GB2312" w:hAnsi="仿宋_GB2312" w:eastAsia="仿宋_GB2312" w:cs="仿宋_GB2312"/>
          <w:sz w:val="28"/>
          <w:szCs w:val="44"/>
          <w:lang w:val="en-US" w:eastAsia="zh-CN"/>
        </w:rPr>
        <w:t>5769.02万元；实际支出为</w:t>
      </w:r>
      <w:r>
        <w:rPr>
          <w:rFonts w:hint="default" w:ascii="仿宋_GB2312" w:hAnsi="仿宋_GB2312" w:eastAsia="仿宋_GB2312" w:cs="仿宋_GB2312"/>
          <w:sz w:val="28"/>
          <w:szCs w:val="44"/>
          <w:lang w:val="en-US" w:eastAsia="zh-CN"/>
        </w:rPr>
        <w:t>4</w:t>
      </w:r>
      <w:r>
        <w:rPr>
          <w:rFonts w:hint="eastAsia" w:ascii="仿宋_GB2312" w:hAnsi="仿宋_GB2312" w:eastAsia="仿宋_GB2312" w:cs="仿宋_GB2312"/>
          <w:sz w:val="28"/>
          <w:szCs w:val="44"/>
          <w:lang w:val="en-US" w:eastAsia="zh-CN"/>
        </w:rPr>
        <w:t>760.63</w:t>
      </w:r>
      <w:r>
        <w:rPr>
          <w:rFonts w:hint="eastAsia" w:ascii="仿宋_GB2312" w:hAnsi="仿宋_GB2312" w:eastAsia="仿宋_GB2312" w:cs="仿宋_GB2312"/>
          <w:color w:val="auto"/>
          <w:sz w:val="28"/>
          <w:szCs w:val="44"/>
          <w:lang w:val="en-US" w:eastAsia="zh-CN"/>
        </w:rPr>
        <w:t>万元。</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二、评价结论</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2021年 3 月12日、2021年9月8日分别对北京路北端连接西北绕城高速立交工程项目进行了两次绩效考核，经考核小组对项目具体实施情况进行实地查勘及资料查阅， 查勘后，按照运营管理、 服务质量及内部管理进行绩效考核评分。综合各家单位意见及绩效评分，最终绩效考核平均分分别为第一次97.6分、第二次96分。</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rPr>
        <w:t>三、经验、问题和建议</w:t>
      </w:r>
      <w:r>
        <w:rPr>
          <w:rFonts w:hint="eastAsia" w:ascii="仿宋_GB2312" w:hAnsi="仿宋_GB2312" w:eastAsia="仿宋_GB2312" w:cs="仿宋_GB2312"/>
          <w:sz w:val="28"/>
          <w:szCs w:val="44"/>
          <w:lang w:val="en-US" w:eastAsia="zh-CN"/>
        </w:rPr>
        <w:t xml:space="preserve"> </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北京路北端连接西北绕城高速立交工程项目是盘龙区重要的市政道路。采用 PPP 模式是我区对政府和社会资本的合作方式重要探索，对于促进我区转变政府职能、促进投资体制改革、加快基础设施建设影响深远。采用PPP模式也提高整体社会效益和经济效益，促成公共利益最大化。</w:t>
      </w:r>
    </w:p>
    <w:p>
      <w:pPr>
        <w:topLinePunct/>
        <w:spacing w:line="440" w:lineRule="exact"/>
        <w:ind w:firstLine="700" w:firstLineChars="250"/>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盘龙区住房和城乡建设局是作为项目责任方，按照国家基本建设程序和国家发布的PPP系列指导文件的相关规定，本着公开、公平、公正的原则，依法、依规选择本项目社会投资人。规范实施本项目，确保项目按期推进，对项目全过程进行管理和监督。</w:t>
      </w:r>
    </w:p>
    <w:p>
      <w:pPr>
        <w:spacing w:line="440" w:lineRule="exact"/>
        <w:ind w:firstLine="420" w:firstLineChars="200"/>
        <w:jc w:val="left"/>
        <w:rPr>
          <w:rFonts w:ascii="楷体" w:hAnsi="楷体" w:eastAsia="楷体"/>
          <w:szCs w:val="32"/>
        </w:rPr>
      </w:pPr>
    </w:p>
    <w:p>
      <w:pPr>
        <w:spacing w:line="440" w:lineRule="exact"/>
        <w:ind w:firstLine="602" w:firstLineChars="200"/>
        <w:jc w:val="center"/>
        <w:rPr>
          <w:rFonts w:hint="eastAsia" w:ascii="黑体" w:hAnsi="黑体" w:eastAsia="黑体"/>
          <w:b/>
          <w:bCs/>
          <w:sz w:val="30"/>
          <w:szCs w:val="30"/>
        </w:rPr>
      </w:pPr>
    </w:p>
    <w:p>
      <w:pPr>
        <w:spacing w:line="440" w:lineRule="exact"/>
        <w:ind w:firstLine="602" w:firstLineChars="200"/>
        <w:jc w:val="center"/>
        <w:rPr>
          <w:rFonts w:hint="eastAsia" w:ascii="黑体" w:hAnsi="黑体" w:eastAsia="黑体"/>
          <w:b/>
          <w:bCs/>
          <w:sz w:val="30"/>
          <w:szCs w:val="30"/>
        </w:rPr>
      </w:pPr>
    </w:p>
    <w:p>
      <w:pPr>
        <w:spacing w:line="440" w:lineRule="exact"/>
        <w:ind w:firstLine="602" w:firstLineChars="200"/>
        <w:jc w:val="center"/>
        <w:rPr>
          <w:rFonts w:hint="eastAsia" w:ascii="黑体" w:hAnsi="黑体" w:eastAsia="黑体"/>
          <w:b/>
          <w:bCs/>
          <w:sz w:val="30"/>
          <w:szCs w:val="30"/>
        </w:rPr>
      </w:pPr>
    </w:p>
    <w:p>
      <w:pPr>
        <w:spacing w:line="440" w:lineRule="exact"/>
        <w:ind w:firstLine="602" w:firstLineChars="200"/>
        <w:jc w:val="center"/>
        <w:rPr>
          <w:rFonts w:hint="eastAsia" w:ascii="黑体" w:hAnsi="黑体" w:eastAsia="黑体"/>
          <w:b/>
          <w:bCs/>
          <w:sz w:val="30"/>
          <w:szCs w:val="30"/>
        </w:rPr>
      </w:pPr>
    </w:p>
    <w:p>
      <w:pPr>
        <w:spacing w:line="440" w:lineRule="exact"/>
        <w:ind w:firstLine="602" w:firstLineChars="200"/>
        <w:jc w:val="center"/>
        <w:rPr>
          <w:rFonts w:hint="eastAsia" w:ascii="黑体" w:hAnsi="黑体" w:eastAsia="黑体"/>
          <w:b/>
          <w:bCs/>
          <w:sz w:val="30"/>
          <w:szCs w:val="30"/>
        </w:rPr>
      </w:pPr>
    </w:p>
    <w:p>
      <w:pPr>
        <w:spacing w:line="440" w:lineRule="exact"/>
        <w:ind w:firstLine="602" w:firstLineChars="200"/>
        <w:jc w:val="center"/>
        <w:rPr>
          <w:rFonts w:hint="eastAsia" w:ascii="黑体" w:hAnsi="黑体" w:eastAsia="黑体"/>
          <w:b/>
          <w:bCs/>
          <w:sz w:val="30"/>
          <w:szCs w:val="30"/>
        </w:rPr>
      </w:pPr>
    </w:p>
    <w:p>
      <w:pPr>
        <w:spacing w:line="440" w:lineRule="exact"/>
        <w:ind w:firstLine="602" w:firstLineChars="200"/>
        <w:jc w:val="center"/>
        <w:rPr>
          <w:rFonts w:ascii="黑体" w:hAnsi="黑体" w:eastAsia="黑体"/>
          <w:b/>
          <w:bCs/>
          <w:sz w:val="30"/>
          <w:szCs w:val="30"/>
        </w:rPr>
      </w:pPr>
      <w:r>
        <w:rPr>
          <w:rFonts w:hint="eastAsia" w:ascii="黑体" w:hAnsi="黑体" w:eastAsia="黑体"/>
          <w:b/>
          <w:bCs/>
          <w:sz w:val="30"/>
          <w:szCs w:val="30"/>
        </w:rPr>
        <w:t>正文：北京路北端连接西北绕城高速立交工程项目支出绩效自评报告</w:t>
      </w:r>
    </w:p>
    <w:p>
      <w:pPr>
        <w:topLinePunct/>
        <w:spacing w:line="440" w:lineRule="exact"/>
        <w:ind w:firstLine="525" w:firstLineChars="250"/>
        <w:rPr>
          <w:rFonts w:ascii="黑体" w:eastAsia="黑体"/>
          <w:szCs w:val="32"/>
        </w:rPr>
      </w:pP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一、项目基本情况</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（一）项目概况。</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1.立项背景及目的。</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根据《昆明市盘龙区发展和改革局关于对北京路北端连接西北绕城高速立交工程可行性研究报告的批复》</w:t>
      </w:r>
      <w:r>
        <w:rPr>
          <w:rFonts w:hint="default" w:ascii="仿宋_GB2312" w:hAnsi="仿宋_GB2312" w:eastAsia="仿宋_GB2312" w:cs="仿宋_GB2312"/>
          <w:sz w:val="28"/>
          <w:szCs w:val="44"/>
          <w:lang w:val="en-US" w:eastAsia="zh-CN"/>
        </w:rPr>
        <w:t>（盘发改投资[201</w:t>
      </w:r>
      <w:r>
        <w:rPr>
          <w:rFonts w:hint="eastAsia" w:ascii="仿宋_GB2312" w:hAnsi="仿宋_GB2312" w:eastAsia="仿宋_GB2312" w:cs="仿宋_GB2312"/>
          <w:sz w:val="28"/>
          <w:szCs w:val="44"/>
          <w:lang w:val="en-US" w:eastAsia="zh-CN"/>
        </w:rPr>
        <w:t>6</w:t>
      </w:r>
      <w:r>
        <w:rPr>
          <w:rFonts w:hint="default" w:ascii="仿宋_GB2312" w:hAnsi="仿宋_GB2312" w:eastAsia="仿宋_GB2312" w:cs="仿宋_GB2312"/>
          <w:sz w:val="28"/>
          <w:szCs w:val="44"/>
          <w:lang w:val="en-US" w:eastAsia="zh-CN"/>
        </w:rPr>
        <w:t>]</w:t>
      </w:r>
      <w:r>
        <w:rPr>
          <w:rFonts w:hint="eastAsia" w:ascii="仿宋_GB2312" w:hAnsi="仿宋_GB2312" w:eastAsia="仿宋_GB2312" w:cs="仿宋_GB2312"/>
          <w:sz w:val="28"/>
          <w:szCs w:val="44"/>
          <w:lang w:val="en-US" w:eastAsia="zh-CN"/>
        </w:rPr>
        <w:t>55</w:t>
      </w:r>
      <w:r>
        <w:rPr>
          <w:rFonts w:hint="default" w:ascii="仿宋_GB2312" w:hAnsi="仿宋_GB2312" w:eastAsia="仿宋_GB2312" w:cs="仿宋_GB2312"/>
          <w:sz w:val="28"/>
          <w:szCs w:val="44"/>
          <w:lang w:val="en-US" w:eastAsia="zh-CN"/>
        </w:rPr>
        <w:t>号）</w:t>
      </w:r>
      <w:r>
        <w:rPr>
          <w:rFonts w:hint="eastAsia" w:ascii="仿宋_GB2312" w:hAnsi="仿宋_GB2312" w:eastAsia="仿宋_GB2312" w:cs="仿宋_GB2312"/>
          <w:sz w:val="28"/>
          <w:szCs w:val="44"/>
          <w:lang w:val="en-US" w:eastAsia="zh-CN"/>
        </w:rPr>
        <w:t>同意项目建设，北京路北端连接西北绕城高速立交工程位处于龙泉街道办事处辖区内，项目通过对北京路端头向北进行延伸，新建T型交叉口与拟建立交收费主匝道相交，同时新建四条匝道实现北京路与西北绕城高速的完全互通（匝道总长约2968米）；工程设置一处收费站，对过往车辆进行集中收费管理；此外，工程实施还将对东大沟部分河道进行改造。</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项目的建设能有效消除盘龙区北部山水新城片区交通滞后、对外交通联系不便的状况，改善盘龙区及昆明市交通循环及通达性，使城市出行者出行路径选择更加灵活，有效提升城市路网的服务水平,促进城市道路运输的发展，为盘龙区山水新城片区现代化城市示范新城的建设提供有力支撑。作为城市交通中连接北京路和西北绕城高速两条重要道路的关键节点，项目的建设极大的完善了该片区的骨架路网结构，显著改善盘龙区以及整个昆明市的社会环境、投资环境，提高城市功能，并带动周边经济的发展，提高城市环境和人民的生活水平。项目具有较高的社会效益、经济效益和环境效益。</w:t>
      </w:r>
    </w:p>
    <w:p>
      <w:pPr>
        <w:spacing w:line="440" w:lineRule="exact"/>
        <w:ind w:firstLine="560" w:firstLineChars="200"/>
        <w:jc w:val="left"/>
        <w:rPr>
          <w:rFonts w:hint="eastAsia" w:ascii="仿宋_GB2312" w:hAnsi="仿宋_GB2312" w:eastAsia="仿宋_GB2312" w:cs="仿宋_GB2312"/>
          <w:sz w:val="28"/>
          <w:szCs w:val="44"/>
        </w:rPr>
      </w:pPr>
      <w:r>
        <w:rPr>
          <w:rFonts w:hint="default" w:ascii="仿宋_GB2312" w:hAnsi="仿宋_GB2312" w:eastAsia="仿宋_GB2312" w:cs="仿宋_GB2312"/>
          <w:sz w:val="28"/>
          <w:szCs w:val="44"/>
          <w:lang w:val="en-US"/>
        </w:rPr>
        <w:t>2.</w:t>
      </w:r>
      <w:r>
        <w:rPr>
          <w:rFonts w:hint="eastAsia" w:ascii="仿宋_GB2312" w:hAnsi="仿宋_GB2312" w:eastAsia="仿宋_GB2312" w:cs="仿宋_GB2312"/>
          <w:sz w:val="28"/>
          <w:szCs w:val="44"/>
        </w:rPr>
        <w:t>项目实施情况。</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项目责任单位为盘龙区住房和城乡建设局，负责项目的具体实施工作。于2017年3月项目开工建设，现已完工，已完成工程进度100%。已于2020年6月10日完成终验投入使用，进入运营期。</w:t>
      </w:r>
    </w:p>
    <w:p>
      <w:pPr>
        <w:spacing w:line="440" w:lineRule="exact"/>
        <w:ind w:firstLine="560" w:firstLineChars="200"/>
        <w:jc w:val="left"/>
        <w:rPr>
          <w:rFonts w:hint="eastAsia" w:ascii="仿宋_GB2312" w:hAnsi="仿宋_GB2312" w:eastAsia="仿宋_GB2312" w:cs="仿宋_GB2312"/>
          <w:sz w:val="28"/>
          <w:szCs w:val="44"/>
        </w:rPr>
      </w:pPr>
      <w:r>
        <w:rPr>
          <w:rFonts w:hint="default" w:ascii="仿宋_GB2312" w:hAnsi="仿宋_GB2312" w:eastAsia="仿宋_GB2312" w:cs="仿宋_GB2312"/>
          <w:sz w:val="28"/>
          <w:szCs w:val="44"/>
          <w:lang w:val="en-US"/>
        </w:rPr>
        <w:t>3.</w:t>
      </w:r>
      <w:r>
        <w:rPr>
          <w:rFonts w:hint="eastAsia" w:ascii="仿宋_GB2312" w:hAnsi="仿宋_GB2312" w:eastAsia="仿宋_GB2312" w:cs="仿宋_GB2312"/>
          <w:sz w:val="28"/>
          <w:szCs w:val="44"/>
        </w:rPr>
        <w:t>资金来源及使用情况。</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项目拟投资方案为盘龙区人民政府与社会投资人共同筹集。项目资本金为1亿，其中：地方政府出资10%，为1000万元，由社会资本出资90%，为9000万元。双方筹集项目资本金满足金融机构放款前提下，在建设期内分批按股权比例到位。</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default" w:ascii="仿宋_GB2312" w:hAnsi="仿宋_GB2312" w:eastAsia="仿宋_GB2312" w:cs="仿宋_GB2312"/>
          <w:sz w:val="28"/>
          <w:szCs w:val="44"/>
          <w:lang w:val="en-US" w:eastAsia="zh-CN"/>
        </w:rPr>
        <w:t>202</w:t>
      </w:r>
      <w:r>
        <w:rPr>
          <w:rFonts w:hint="eastAsia" w:ascii="仿宋_GB2312" w:hAnsi="仿宋_GB2312" w:eastAsia="仿宋_GB2312" w:cs="仿宋_GB2312"/>
          <w:sz w:val="28"/>
          <w:szCs w:val="44"/>
          <w:lang w:val="en-US" w:eastAsia="zh-CN"/>
        </w:rPr>
        <w:t>1年北京路北端连接西北绕城高速立交工程预算收入为5769.02万元；实际支出为</w:t>
      </w:r>
      <w:r>
        <w:rPr>
          <w:rFonts w:hint="default" w:ascii="仿宋_GB2312" w:hAnsi="仿宋_GB2312" w:eastAsia="仿宋_GB2312" w:cs="仿宋_GB2312"/>
          <w:sz w:val="28"/>
          <w:szCs w:val="44"/>
          <w:lang w:val="en-US" w:eastAsia="zh-CN"/>
        </w:rPr>
        <w:t>4</w:t>
      </w:r>
      <w:r>
        <w:rPr>
          <w:rFonts w:hint="eastAsia" w:ascii="仿宋_GB2312" w:hAnsi="仿宋_GB2312" w:eastAsia="仿宋_GB2312" w:cs="仿宋_GB2312"/>
          <w:sz w:val="28"/>
          <w:szCs w:val="44"/>
          <w:lang w:val="en-US" w:eastAsia="zh-CN"/>
        </w:rPr>
        <w:t>760.63万元；结余为1008.39万元。</w:t>
      </w:r>
    </w:p>
    <w:p>
      <w:pPr>
        <w:spacing w:line="440" w:lineRule="exact"/>
        <w:ind w:firstLine="560" w:firstLineChars="200"/>
        <w:jc w:val="left"/>
        <w:rPr>
          <w:rFonts w:hint="eastAsia" w:ascii="仿宋_GB2312" w:hAnsi="仿宋_GB2312" w:eastAsia="仿宋_GB2312" w:cs="仿宋_GB2312"/>
          <w:sz w:val="28"/>
          <w:szCs w:val="44"/>
        </w:rPr>
      </w:pPr>
      <w:r>
        <w:rPr>
          <w:rFonts w:hint="default" w:ascii="仿宋_GB2312" w:hAnsi="仿宋_GB2312" w:eastAsia="仿宋_GB2312" w:cs="仿宋_GB2312"/>
          <w:sz w:val="28"/>
          <w:szCs w:val="44"/>
          <w:lang w:val="en-US"/>
        </w:rPr>
        <w:t>4.</w:t>
      </w:r>
      <w:r>
        <w:rPr>
          <w:rFonts w:hint="eastAsia" w:ascii="仿宋_GB2312" w:hAnsi="仿宋_GB2312" w:eastAsia="仿宋_GB2312" w:cs="仿宋_GB2312"/>
          <w:sz w:val="28"/>
          <w:szCs w:val="44"/>
        </w:rPr>
        <w:t>组织及管理情况。</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项目组织情况：为充分推动项目进程，盘龙区区委、区人民政府组建了北京路北端连接西北绕城高速立交工程建设领导小组。领导小组由区政府领导、区财政局、规划盘龙分局、区国土资源分局、区环保局、区水务局、区发改局、区法制办、区纪委、区城改局、区安监局、区城管局、龙泉街道办事处、盘龙区建设投资有限公司等相关领导组成。主要负责项目的组织领导、统筹协调和督促检查等工作，为统筹调度、指导、协调推进项目的进展，解决项目困难和问题，提供保障。</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lang w:eastAsia="zh-CN"/>
        </w:rPr>
        <w:t>资金拨付流程：</w:t>
      </w:r>
      <w:r>
        <w:rPr>
          <w:rFonts w:hint="eastAsia" w:ascii="仿宋_GB2312" w:hAnsi="仿宋_GB2312" w:eastAsia="仿宋_GB2312" w:cs="仿宋_GB2312"/>
          <w:sz w:val="28"/>
          <w:szCs w:val="44"/>
        </w:rPr>
        <w:t>由审计部门进行竣工决算审计，按照中标单位与政府签订的 PPP 合同中约定的付费机制，报财政部门审定后，纳入政府年度财政预算，并根据实施机构绩效考核结果拨付。</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（二）绩效目标。</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1.总目标。北京路北端连接西北绕城高速立交的建设将北京路与西北绕城高速连接起来，将支撑和引导沿线开发。</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2.年度目标。</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数量、时效指标</w:t>
      </w:r>
      <w:r>
        <w:rPr>
          <w:rFonts w:hint="eastAsia" w:ascii="仿宋_GB2312" w:hAnsi="仿宋_GB2312" w:eastAsia="仿宋_GB2312" w:cs="仿宋_GB2312"/>
          <w:sz w:val="28"/>
          <w:szCs w:val="44"/>
          <w:lang w:eastAsia="zh-CN"/>
        </w:rPr>
        <w:t>：</w:t>
      </w:r>
      <w:r>
        <w:rPr>
          <w:rFonts w:hint="eastAsia" w:ascii="仿宋_GB2312" w:hAnsi="仿宋_GB2312" w:eastAsia="仿宋_GB2312" w:cs="仿宋_GB2312"/>
          <w:sz w:val="28"/>
          <w:szCs w:val="44"/>
        </w:rPr>
        <w:t>项目于2017年3月开工建设，现项目已完工，已完成工程进度100%。已于2020年6月10日完成终验投入使用，2022年3月18日正式开通运营。</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质量指标：符合国家标准和技术规范，按照《北京路北端连接西北绕城高速立交工程PPP实施方案》明确的技术标准进行建设，按照明确的技术标准建设并验收合格。</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效益指标：方便昆明与西北方向交通出行，为片区及昆明经济快速发展提供便利。</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满意度指标：周边市民满意度达80%以上。</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二、绩效评价工作情况</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一）绩效评价目的。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（二）绩效评价</w:t>
      </w:r>
      <w:r>
        <w:rPr>
          <w:rFonts w:hint="eastAsia" w:ascii="仿宋_GB2312" w:hAnsi="仿宋_GB2312" w:eastAsia="仿宋_GB2312" w:cs="仿宋_GB2312"/>
          <w:sz w:val="28"/>
          <w:szCs w:val="44"/>
          <w:lang w:eastAsia="zh-CN"/>
        </w:rPr>
        <w:t>机制和指标体系</w:t>
      </w:r>
      <w:r>
        <w:rPr>
          <w:rFonts w:hint="eastAsia" w:ascii="仿宋_GB2312" w:hAnsi="仿宋_GB2312" w:eastAsia="仿宋_GB2312" w:cs="仿宋_GB2312"/>
          <w:sz w:val="28"/>
          <w:szCs w:val="44"/>
        </w:rPr>
        <w:t>。</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1.</w:t>
      </w:r>
      <w:r>
        <w:rPr>
          <w:rFonts w:hint="eastAsia" w:ascii="仿宋_GB2312" w:hAnsi="仿宋_GB2312" w:eastAsia="仿宋_GB2312" w:cs="仿宋_GB2312"/>
          <w:sz w:val="28"/>
          <w:szCs w:val="44"/>
          <w:lang w:eastAsia="zh-CN"/>
        </w:rPr>
        <w:t>绩效机制</w:t>
      </w:r>
      <w:r>
        <w:rPr>
          <w:rFonts w:hint="eastAsia" w:ascii="仿宋_GB2312" w:hAnsi="仿宋_GB2312" w:eastAsia="仿宋_GB2312" w:cs="仿宋_GB2312"/>
          <w:sz w:val="28"/>
          <w:szCs w:val="44"/>
        </w:rPr>
        <w:t>。</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《国务院办公厅转发财政部发展改革委人民银行&lt;关于在公共服务领域推广政府和社会资本合作模式的指导意见&gt;的通知》（国办发〔2015〕42 号）规定：行业主管部门应制定不同领域的行业技术标准、公共产品或服务技术规范，加强对公共服务质量和价格的监管。建立政府、公众共同参与的综合性评价体系，建立事前设定绩效目标、事中进行绩效跟踪、事后进行绩效评价的全生命周期绩效管理机制，将政府补助、使用者付费与绩效评价挂钩，并将绩效评价结果作为调价的重要依据，确保实现公共利益最大化。</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根据《财政支出绩效评价管理暂行办法》（财预〔2011〕285 号）、《关于推进预算绩效管理的指导意见》（财预〔2011〕416 号）等相关文件，制定符合本项目特点的绩效考核体系，作为 PPP 项目合同的组成部分（下表内容包括但不限于，以 PPP 项目合同约定为准），便于政府主管部门对项目全生命周期进行绩效监控和量化考核，为政府补贴额度提供依据。</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lang w:val="en-US" w:eastAsia="zh-CN"/>
        </w:rPr>
        <w:t>2</w:t>
      </w:r>
      <w:r>
        <w:rPr>
          <w:rFonts w:hint="eastAsia" w:ascii="仿宋_GB2312" w:hAnsi="仿宋_GB2312" w:eastAsia="仿宋_GB2312" w:cs="仿宋_GB2312"/>
          <w:sz w:val="28"/>
          <w:szCs w:val="44"/>
        </w:rPr>
        <w:t>.绩效评价指标体系。根据财政部《财政支出绩效评价管理暂行办法》（财预〔2011〕285 号）、《关于推进预算绩效管理的指导意见》（财预〔2011〕416 号）等相关文件，结合《公路技术状况评定标准》（JTG H20-2007）制定符合本项目特点的绩效考核体系，本体系分为可用性服务绩效考核指标和运维服务绩效考核指标，分别针对项目的不同时期进行绩效评价。绩效考核体系作为 PPP 项目合同的组成部分，便于政府主管部门对项目全生命周期进行绩效监控和量化考核。</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（三）绩效评价原则、评价方法</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1.绩效评价原则。包括科学规范、公开公正、绩效相关等原则。</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一是科学规范原则；二是公开公正原则；三是分级分类原则；四是绩效相关原则。科学规范原则，要求绩效评价严格遵循既定程序，科学可行；分级分类则要求根据评价对象特点分类组织实施；绩效相关则要求支出与其产出之间有紧密相关关系；然后，评价结果应客观公正，并接受社会公开监督。</w:t>
      </w:r>
    </w:p>
    <w:p>
      <w:pPr>
        <w:spacing w:line="440" w:lineRule="exact"/>
        <w:ind w:firstLine="560" w:firstLineChars="200"/>
        <w:jc w:val="left"/>
        <w:rPr>
          <w:rFonts w:hint="eastAsia" w:ascii="仿宋_GB2312" w:hAnsi="仿宋_GB2312" w:eastAsia="仿宋_GB2312" w:cs="仿宋_GB2312"/>
          <w:sz w:val="28"/>
          <w:szCs w:val="44"/>
        </w:rPr>
      </w:pPr>
      <w:r>
        <w:rPr>
          <w:rFonts w:hint="default" w:ascii="仿宋_GB2312" w:hAnsi="仿宋_GB2312" w:eastAsia="仿宋_GB2312" w:cs="仿宋_GB2312"/>
          <w:sz w:val="28"/>
          <w:szCs w:val="44"/>
          <w:lang w:val="en-US"/>
        </w:rPr>
        <w:t>2.</w:t>
      </w:r>
      <w:r>
        <w:rPr>
          <w:rFonts w:hint="eastAsia" w:ascii="仿宋_GB2312" w:hAnsi="仿宋_GB2312" w:eastAsia="仿宋_GB2312" w:cs="仿宋_GB2312"/>
          <w:sz w:val="28"/>
          <w:szCs w:val="44"/>
        </w:rPr>
        <w:t>绩效评价方法。项目绩效考核实施细则由区住建局于项目合同签订前确定，并报区财政局备案，政府除有权根据约定绩效考核分数支付相应的服务费外，如社会投资人未在规定的时间内改正或改正的效果未能达到绩效考核标准的，则政府有权自行或者委托第三方介入项目建设和运营管理工作，并提取建设期履约保函和运营维护保函项下的相应金额。项目实际绩效优于约定标准的，项目实施机构应执行项目合同约定的奖励条款，并可将其作为项目期满合同能否展期的依据；未达到约定标准的，项目实施机构应执行项目合同约定的惩处条款。</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（四）绩效评价实施过程</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北京路北端连接西北绕城高速立交工程根据《北京路北端连接西北绕城高速立交工程政府和社会资本合作(PPP)项目合同》约定达到建设期绩效考核条件，经昆明北延立交开发建设有限公司申请，由昆明市盘龙区住房和城乡建设局牵头、组织相关单位于 202</w:t>
      </w:r>
      <w:r>
        <w:rPr>
          <w:rFonts w:hint="eastAsia" w:ascii="仿宋_GB2312" w:hAnsi="仿宋_GB2312" w:eastAsia="仿宋_GB2312" w:cs="仿宋_GB2312"/>
          <w:sz w:val="28"/>
          <w:szCs w:val="44"/>
          <w:lang w:val="en-US" w:eastAsia="zh-CN"/>
        </w:rPr>
        <w:t>1</w:t>
      </w:r>
      <w:r>
        <w:rPr>
          <w:rFonts w:hint="eastAsia" w:ascii="仿宋_GB2312" w:hAnsi="仿宋_GB2312" w:eastAsia="仿宋_GB2312" w:cs="仿宋_GB2312"/>
          <w:sz w:val="28"/>
          <w:szCs w:val="44"/>
        </w:rPr>
        <w:t xml:space="preserve"> 年 </w:t>
      </w:r>
      <w:r>
        <w:rPr>
          <w:rFonts w:hint="eastAsia" w:ascii="仿宋_GB2312" w:hAnsi="仿宋_GB2312" w:eastAsia="仿宋_GB2312" w:cs="仿宋_GB2312"/>
          <w:sz w:val="28"/>
          <w:szCs w:val="44"/>
          <w:lang w:val="en-US" w:eastAsia="zh-CN"/>
        </w:rPr>
        <w:t>3</w:t>
      </w:r>
      <w:r>
        <w:rPr>
          <w:rFonts w:hint="eastAsia" w:ascii="仿宋_GB2312" w:hAnsi="仿宋_GB2312" w:eastAsia="仿宋_GB2312" w:cs="仿宋_GB2312"/>
          <w:sz w:val="28"/>
          <w:szCs w:val="44"/>
        </w:rPr>
        <w:t>月1</w:t>
      </w:r>
      <w:r>
        <w:rPr>
          <w:rFonts w:hint="eastAsia" w:ascii="仿宋_GB2312" w:hAnsi="仿宋_GB2312" w:eastAsia="仿宋_GB2312" w:cs="仿宋_GB2312"/>
          <w:sz w:val="28"/>
          <w:szCs w:val="44"/>
          <w:lang w:val="en-US" w:eastAsia="zh-CN"/>
        </w:rPr>
        <w:t>2</w:t>
      </w:r>
      <w:r>
        <w:rPr>
          <w:rFonts w:hint="eastAsia" w:ascii="仿宋_GB2312" w:hAnsi="仿宋_GB2312" w:eastAsia="仿宋_GB2312" w:cs="仿宋_GB2312"/>
          <w:sz w:val="28"/>
          <w:szCs w:val="44"/>
        </w:rPr>
        <w:t>日</w:t>
      </w:r>
      <w:r>
        <w:rPr>
          <w:rFonts w:hint="eastAsia" w:ascii="仿宋_GB2312" w:hAnsi="仿宋_GB2312" w:eastAsia="仿宋_GB2312" w:cs="仿宋_GB2312"/>
          <w:sz w:val="28"/>
          <w:szCs w:val="44"/>
          <w:lang w:eastAsia="zh-CN"/>
        </w:rPr>
        <w:t>、</w:t>
      </w:r>
      <w:r>
        <w:rPr>
          <w:rFonts w:hint="eastAsia" w:ascii="仿宋_GB2312" w:hAnsi="仿宋_GB2312" w:eastAsia="仿宋_GB2312" w:cs="仿宋_GB2312"/>
          <w:sz w:val="28"/>
          <w:szCs w:val="44"/>
          <w:lang w:val="en-US" w:eastAsia="zh-CN"/>
        </w:rPr>
        <w:t>2021年9月8日分别对</w:t>
      </w:r>
      <w:r>
        <w:rPr>
          <w:rFonts w:hint="eastAsia" w:ascii="仿宋_GB2312" w:hAnsi="仿宋_GB2312" w:eastAsia="仿宋_GB2312" w:cs="仿宋_GB2312"/>
          <w:sz w:val="28"/>
          <w:szCs w:val="44"/>
        </w:rPr>
        <w:t>对北京路北端连接西北绕城高速立交工程项目进行</w:t>
      </w:r>
      <w:r>
        <w:rPr>
          <w:rFonts w:hint="eastAsia" w:ascii="仿宋_GB2312" w:hAnsi="仿宋_GB2312" w:eastAsia="仿宋_GB2312" w:cs="仿宋_GB2312"/>
          <w:sz w:val="28"/>
          <w:szCs w:val="44"/>
          <w:lang w:val="en-US" w:eastAsia="zh-CN"/>
        </w:rPr>
        <w:t>了两次</w:t>
      </w:r>
      <w:r>
        <w:rPr>
          <w:rFonts w:hint="eastAsia" w:ascii="仿宋_GB2312" w:hAnsi="仿宋_GB2312" w:eastAsia="仿宋_GB2312" w:cs="仿宋_GB2312"/>
          <w:sz w:val="28"/>
          <w:szCs w:val="44"/>
        </w:rPr>
        <w:t>绩效考核，经考核小组对项目具体实施情况进行实地查勘及资料查阅， 查勘后，按照运营管理、 服务质量及内部管理进行绩效考核评分。</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昆明市盘龙区住房和城乡建设局对整个考核的评分的标准及流程进行梳理及明确后，分别由各家单位对本次绩效考核的内容提出结论并进行绩效考核评分。</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三、评价结论和绩效分析</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（一）评价结论。</w:t>
      </w:r>
    </w:p>
    <w:p>
      <w:pPr>
        <w:spacing w:line="440" w:lineRule="exact"/>
        <w:ind w:firstLine="560" w:firstLineChars="200"/>
        <w:jc w:val="left"/>
        <w:rPr>
          <w:rFonts w:hint="default"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对北京路北端连接西北绕城高速立交工程项目进行绩效考核，经考核小组对项目具体实施情况进行实地查勘及资料查阅，查勘后，按照运营管理、服务质量及内部管理进行绩效考核评分。</w:t>
      </w:r>
      <w:r>
        <w:rPr>
          <w:rFonts w:hint="eastAsia" w:ascii="仿宋_GB2312" w:hAnsi="仿宋_GB2312" w:eastAsia="仿宋_GB2312" w:cs="仿宋_GB2312"/>
          <w:sz w:val="28"/>
          <w:szCs w:val="44"/>
        </w:rPr>
        <w:t>202</w:t>
      </w:r>
      <w:r>
        <w:rPr>
          <w:rFonts w:hint="eastAsia" w:ascii="仿宋_GB2312" w:hAnsi="仿宋_GB2312" w:eastAsia="仿宋_GB2312" w:cs="仿宋_GB2312"/>
          <w:sz w:val="28"/>
          <w:szCs w:val="44"/>
          <w:lang w:val="en-US" w:eastAsia="zh-CN"/>
        </w:rPr>
        <w:t>1</w:t>
      </w:r>
      <w:r>
        <w:rPr>
          <w:rFonts w:hint="eastAsia" w:ascii="仿宋_GB2312" w:hAnsi="仿宋_GB2312" w:eastAsia="仿宋_GB2312" w:cs="仿宋_GB2312"/>
          <w:sz w:val="28"/>
          <w:szCs w:val="44"/>
        </w:rPr>
        <w:t xml:space="preserve"> 年 </w:t>
      </w:r>
      <w:r>
        <w:rPr>
          <w:rFonts w:hint="eastAsia" w:ascii="仿宋_GB2312" w:hAnsi="仿宋_GB2312" w:eastAsia="仿宋_GB2312" w:cs="仿宋_GB2312"/>
          <w:sz w:val="28"/>
          <w:szCs w:val="44"/>
          <w:lang w:val="en-US" w:eastAsia="zh-CN"/>
        </w:rPr>
        <w:t>3</w:t>
      </w:r>
      <w:r>
        <w:rPr>
          <w:rFonts w:hint="eastAsia" w:ascii="仿宋_GB2312" w:hAnsi="仿宋_GB2312" w:eastAsia="仿宋_GB2312" w:cs="仿宋_GB2312"/>
          <w:sz w:val="28"/>
          <w:szCs w:val="44"/>
        </w:rPr>
        <w:t>月1</w:t>
      </w:r>
      <w:r>
        <w:rPr>
          <w:rFonts w:hint="eastAsia" w:ascii="仿宋_GB2312" w:hAnsi="仿宋_GB2312" w:eastAsia="仿宋_GB2312" w:cs="仿宋_GB2312"/>
          <w:sz w:val="28"/>
          <w:szCs w:val="44"/>
          <w:lang w:val="en-US" w:eastAsia="zh-CN"/>
        </w:rPr>
        <w:t>2</w:t>
      </w:r>
      <w:r>
        <w:rPr>
          <w:rFonts w:hint="eastAsia" w:ascii="仿宋_GB2312" w:hAnsi="仿宋_GB2312" w:eastAsia="仿宋_GB2312" w:cs="仿宋_GB2312"/>
          <w:sz w:val="28"/>
          <w:szCs w:val="44"/>
        </w:rPr>
        <w:t>日</w:t>
      </w:r>
      <w:r>
        <w:rPr>
          <w:rFonts w:hint="eastAsia" w:ascii="仿宋_GB2312" w:hAnsi="仿宋_GB2312" w:eastAsia="仿宋_GB2312" w:cs="仿宋_GB2312"/>
          <w:sz w:val="28"/>
          <w:szCs w:val="44"/>
          <w:lang w:val="en-US" w:eastAsia="zh-CN"/>
        </w:rPr>
        <w:t>第一次综合各家单位意见及绩效评分，最终绩效考核平均分为97.6分。2021年9月8日第二次综合各家单位意见及绩效评分，最终绩效考核平均分为96分。</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w:t>
      </w:r>
      <w:r>
        <w:rPr>
          <w:rFonts w:hint="eastAsia" w:ascii="仿宋_GB2312" w:hAnsi="仿宋_GB2312" w:eastAsia="仿宋_GB2312" w:cs="仿宋_GB2312"/>
          <w:sz w:val="28"/>
          <w:szCs w:val="44"/>
          <w:lang w:eastAsia="zh-CN"/>
        </w:rPr>
        <w:t>二</w:t>
      </w:r>
      <w:r>
        <w:rPr>
          <w:rFonts w:hint="eastAsia" w:ascii="仿宋_GB2312" w:hAnsi="仿宋_GB2312" w:eastAsia="仿宋_GB2312" w:cs="仿宋_GB2312"/>
          <w:sz w:val="28"/>
          <w:szCs w:val="44"/>
        </w:rPr>
        <w:t>）具体绩效分析。</w:t>
      </w:r>
    </w:p>
    <w:p>
      <w:pPr>
        <w:spacing w:line="440" w:lineRule="exact"/>
        <w:ind w:firstLine="560" w:firstLineChars="200"/>
        <w:jc w:val="left"/>
        <w:rPr>
          <w:rFonts w:hint="default"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昆明北延立交开发建设有限公司对整个项目的运营管理、服务质量及内部管理均满足相关考核办法及规范要求，运营期间，道路、桥梁及各项工程养护完好，现场无破损、无缺失， 突发事件及时查清、督办检查，处置到位。整个项目的运营管理、服务质量及内部管理均满足相关考核办法及规范要求。</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四川康立项目管理有限责任公司：运营期内，现场管养维护完好，无破损情况，现场未发生安全事故，无公众投诉，内部管理到位。</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昆明市政工程设计科学研究院有限公司：现场满足运营管理、服务质量及内部管理要求。</w:t>
      </w:r>
    </w:p>
    <w:p>
      <w:pPr>
        <w:spacing w:line="440" w:lineRule="exact"/>
        <w:ind w:firstLine="560" w:firstLineChars="200"/>
        <w:jc w:val="left"/>
        <w:rPr>
          <w:rFonts w:hint="default"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昆明鸿润工程造价咨询有限公司：现场满足运营管理、服务质量及内部管理要求。</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昆明市盘龙区财政局：现场满足运营管理、服务质量及内部要求，财务管理规章制度齐全。</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昆明市盘龙区住房和城乡建设局： 满现场养护管理效果好，无破损等不良情况，各项规章制度齐全，满足运营管理、服务质量及内部管理要求。</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lang w:eastAsia="zh-CN"/>
        </w:rPr>
        <w:t>四</w:t>
      </w:r>
      <w:r>
        <w:rPr>
          <w:rFonts w:hint="eastAsia" w:ascii="仿宋_GB2312" w:hAnsi="仿宋_GB2312" w:eastAsia="仿宋_GB2312" w:cs="仿宋_GB2312"/>
          <w:sz w:val="28"/>
          <w:szCs w:val="44"/>
        </w:rPr>
        <w:t>、主要经验及做法、存在的问题和建议</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北京路北端连接西北绕城高速立交工程项目是盘龙区重要的市政道路。采用 PPP 模式是我区对政府和社会资本的合作方式重要探索，对于促进我区转变政府职能、促进投资体制改革、加快基础设施建设影响深远。采用PPP模式也提高整体社会效益和经济效益，促成公共利益最大化。</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盘龙区住房和城乡建设局是作为项目责任方，按照国家基本建设程序和国家发布的PPP系列指导文件的相关规定，本着公开、公平、公正的原则，依法、依规选择本项目社会投资人。规范实施本项目，确保项目按期推进，对项目全过程进行管理和监督。</w:t>
      </w:r>
    </w:p>
    <w:p>
      <w:pPr>
        <w:spacing w:line="440" w:lineRule="exact"/>
        <w:ind w:firstLine="560" w:firstLineChars="200"/>
        <w:jc w:val="left"/>
        <w:rPr>
          <w:rFonts w:hint="eastAsia" w:ascii="仿宋_GB2312" w:hAnsi="仿宋_GB2312" w:eastAsia="仿宋_GB2312" w:cs="仿宋_GB2312"/>
          <w:sz w:val="28"/>
          <w:szCs w:val="44"/>
          <w:lang w:val="en-US" w:eastAsia="zh-CN"/>
        </w:rPr>
      </w:pP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绩效评价报告正文后附以下佐证材料</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1.绩效评价指标体系；</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lang w:val="en-US" w:eastAsia="zh-CN"/>
        </w:rPr>
        <w:t>2</w:t>
      </w:r>
      <w:r>
        <w:rPr>
          <w:rFonts w:hint="eastAsia" w:ascii="仿宋_GB2312" w:hAnsi="仿宋_GB2312" w:eastAsia="仿宋_GB2312" w:cs="仿宋_GB2312"/>
          <w:sz w:val="28"/>
          <w:szCs w:val="44"/>
        </w:rPr>
        <w:t>.</w:t>
      </w:r>
      <w:r>
        <w:rPr>
          <w:rFonts w:hint="eastAsia" w:ascii="仿宋_GB2312" w:hAnsi="仿宋_GB2312" w:eastAsia="仿宋_GB2312" w:cs="仿宋_GB2312"/>
          <w:sz w:val="28"/>
          <w:szCs w:val="44"/>
          <w:lang w:eastAsia="zh-CN"/>
        </w:rPr>
        <w:t>财政可承受能力评估</w:t>
      </w:r>
      <w:r>
        <w:rPr>
          <w:rFonts w:hint="eastAsia" w:ascii="仿宋_GB2312" w:hAnsi="仿宋_GB2312" w:eastAsia="仿宋_GB2312" w:cs="仿宋_GB2312"/>
          <w:sz w:val="28"/>
          <w:szCs w:val="44"/>
        </w:rPr>
        <w:t>报告；</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3</w:t>
      </w:r>
      <w:r>
        <w:rPr>
          <w:rFonts w:hint="eastAsia" w:ascii="仿宋_GB2312" w:hAnsi="仿宋_GB2312" w:eastAsia="仿宋_GB2312" w:cs="仿宋_GB2312"/>
          <w:sz w:val="28"/>
          <w:szCs w:val="44"/>
        </w:rPr>
        <w:t>.</w:t>
      </w:r>
      <w:r>
        <w:rPr>
          <w:rFonts w:hint="eastAsia" w:ascii="仿宋_GB2312" w:hAnsi="仿宋_GB2312" w:eastAsia="仿宋_GB2312" w:cs="仿宋_GB2312"/>
          <w:sz w:val="28"/>
          <w:szCs w:val="44"/>
          <w:lang w:eastAsia="zh-CN"/>
        </w:rPr>
        <w:t>绩效考核报考（运营期）</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lang w:val="en-US" w:eastAsia="zh-CN"/>
        </w:rPr>
        <w:t>4</w:t>
      </w:r>
      <w:r>
        <w:rPr>
          <w:rFonts w:hint="eastAsia" w:ascii="仿宋_GB2312" w:hAnsi="仿宋_GB2312" w:eastAsia="仿宋_GB2312" w:cs="仿宋_GB2312"/>
          <w:sz w:val="28"/>
          <w:szCs w:val="44"/>
        </w:rPr>
        <w:t>.①市政府相关规划、决策、批复；②立项申请、批复文件；③绩效目标申报表。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8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4E9E27"/>
    <w:multiLevelType w:val="singleLevel"/>
    <w:tmpl w:val="C34E9E27"/>
    <w:lvl w:ilvl="0" w:tentative="0">
      <w:start w:val="1"/>
      <w:numFmt w:val="decimal"/>
      <w:lvlText w:val="%1."/>
      <w:lvlJc w:val="left"/>
      <w:pPr>
        <w:tabs>
          <w:tab w:val="left" w:pos="1572"/>
        </w:tabs>
        <w:ind w:left="1260"/>
      </w:pPr>
    </w:lvl>
  </w:abstractNum>
  <w:abstractNum w:abstractNumId="1">
    <w:nsid w:val="E79CABEF"/>
    <w:multiLevelType w:val="singleLevel"/>
    <w:tmpl w:val="E79CABEF"/>
    <w:lvl w:ilvl="0" w:tentative="0">
      <w:start w:val="2"/>
      <w:numFmt w:val="chineseCounting"/>
      <w:suff w:val="nothing"/>
      <w:lvlText w:val="（%1）"/>
      <w:lvlJc w:val="left"/>
      <w:rPr>
        <w:rFonts w:hint="eastAsia"/>
      </w:rPr>
    </w:lvl>
  </w:abstractNum>
  <w:abstractNum w:abstractNumId="2">
    <w:nsid w:val="14FF9EC6"/>
    <w:multiLevelType w:val="singleLevel"/>
    <w:tmpl w:val="14FF9EC6"/>
    <w:lvl w:ilvl="0" w:tentative="0">
      <w:start w:val="1"/>
      <w:numFmt w:val="decimal"/>
      <w:lvlText w:val="%1."/>
      <w:lvlJc w:val="left"/>
      <w:pPr>
        <w:tabs>
          <w:tab w:val="left" w:pos="1260"/>
        </w:tabs>
        <w:ind w:left="168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50345A"/>
    <w:rsid w:val="03D430C9"/>
    <w:rsid w:val="07263296"/>
    <w:rsid w:val="073F35BE"/>
    <w:rsid w:val="08231630"/>
    <w:rsid w:val="09492CCA"/>
    <w:rsid w:val="0A831F8F"/>
    <w:rsid w:val="0B5D399A"/>
    <w:rsid w:val="14EF3F6B"/>
    <w:rsid w:val="180B7B10"/>
    <w:rsid w:val="1BA74A36"/>
    <w:rsid w:val="1BAE1427"/>
    <w:rsid w:val="24E335EF"/>
    <w:rsid w:val="2E4660B9"/>
    <w:rsid w:val="30060F4F"/>
    <w:rsid w:val="33230EB5"/>
    <w:rsid w:val="3BEA2EF4"/>
    <w:rsid w:val="3C4C025F"/>
    <w:rsid w:val="3D8E18F7"/>
    <w:rsid w:val="3F5E7C0F"/>
    <w:rsid w:val="43E932C3"/>
    <w:rsid w:val="4E5B0E48"/>
    <w:rsid w:val="4F3A52D7"/>
    <w:rsid w:val="5E7C5484"/>
    <w:rsid w:val="63530B54"/>
    <w:rsid w:val="64146223"/>
    <w:rsid w:val="6FDF0460"/>
    <w:rsid w:val="75EC604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次标题"/>
    <w:basedOn w:val="1"/>
    <w:qFormat/>
    <w:uiPriority w:val="0"/>
    <w:pPr>
      <w:jc w:val="center"/>
    </w:pPr>
    <w:rPr>
      <w:rFonts w:eastAsia="新宋体" w:asciiTheme="minorAscii" w:hAnsiTheme="minorAscii"/>
      <w:b/>
      <w:sz w:val="32"/>
    </w:rPr>
  </w:style>
  <w:style w:type="paragraph" w:customStyle="1" w:styleId="6">
    <w:name w:val="正文 A"/>
    <w:qFormat/>
    <w:uiPriority w:val="99"/>
    <w:pPr>
      <w:spacing w:after="200" w:line="276" w:lineRule="auto"/>
    </w:pPr>
    <w:rPr>
      <w:rFonts w:cs="Calibri" w:asciiTheme="minorHAnsi" w:hAnsiTheme="minorHAnsi" w:eastAsiaTheme="minorEastAsia"/>
      <w:color w:val="000000"/>
      <w:sz w:val="22"/>
      <w:szCs w:val="22"/>
      <w:u w:val="none" w:color="000000"/>
      <w:lang w:val="en-US" w:eastAsia="zh-CN" w:bidi="ar-SA"/>
    </w:rPr>
  </w:style>
  <w:style w:type="paragraph" w:customStyle="1" w:styleId="7">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附件5  绩效自评报告（西北绕）.dotx</Template>
  <Company>昆明市盘龙区党政机关单位</Company>
  <Pages>10</Pages>
  <Words>4688</Words>
  <Characters>4888</Characters>
  <Lines>0</Lines>
  <Paragraphs>0</Paragraphs>
  <TotalTime>1</TotalTime>
  <ScaleCrop>false</ScaleCrop>
  <LinksUpToDate>false</LinksUpToDate>
  <CharactersWithSpaces>5011</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2021-05-24T02:54:00Z</dcterms:created>
  <dc:creator>HakunaMatata hl</dc:creator>
  <cp:lastModifiedBy>HakunaMatata hl</cp:lastModifiedBy>
  <cp:lastPrinted>2021-05-26T02:23:00Z</cp:lastPrinted>
  <dcterms:modified xsi:type="dcterms:W3CDTF">2022-04-24T09:01:46Z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99EF4DEBFBDA43BFAC5E7D4F14935BD0</vt:lpwstr>
  </property>
</Properties>
</file>