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48"/>
          <w:szCs w:val="48"/>
        </w:rPr>
      </w:pPr>
      <w:r>
        <w:rPr>
          <w:rFonts w:hint="eastAsia" w:ascii="黑体" w:hAnsi="黑体" w:eastAsia="黑体" w:cs="黑体"/>
          <w:bCs/>
          <w:sz w:val="48"/>
          <w:szCs w:val="48"/>
          <w:lang w:val="en-US" w:eastAsia="zh-CN"/>
        </w:rPr>
        <w:t>桥梁安全检测</w:t>
      </w:r>
      <w:r>
        <w:rPr>
          <w:rFonts w:hint="eastAsia" w:ascii="黑体" w:hAnsi="黑体" w:eastAsia="黑体" w:cs="黑体"/>
          <w:bCs/>
          <w:sz w:val="48"/>
          <w:szCs w:val="48"/>
        </w:rPr>
        <w:t>项目支出绩效自评报告</w:t>
      </w:r>
    </w:p>
    <w:p>
      <w:pPr>
        <w:jc w:val="center"/>
        <w:rPr>
          <w:rFonts w:ascii="黑体" w:hAnsi="黑体" w:eastAsia="黑体"/>
          <w:bCs/>
          <w:sz w:val="52"/>
          <w:szCs w:val="52"/>
        </w:rPr>
      </w:pPr>
      <w:r>
        <w:rPr>
          <w:rFonts w:hint="eastAsia" w:ascii="黑体" w:hAnsi="黑体" w:eastAsia="黑体" w:cs="黑体"/>
          <w:bCs/>
          <w:sz w:val="52"/>
          <w:szCs w:val="52"/>
        </w:rPr>
        <w:t xml:space="preserve">（ </w:t>
      </w:r>
      <w:r>
        <w:rPr>
          <w:rFonts w:hint="eastAsia" w:ascii="黑体" w:hAnsi="黑体" w:eastAsia="黑体" w:cs="黑体"/>
          <w:bCs/>
          <w:sz w:val="52"/>
          <w:szCs w:val="52"/>
          <w:lang w:val="en-US" w:eastAsia="zh-CN"/>
        </w:rPr>
        <w:t>2021</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320" w:leftChars="600"/>
        <w:rPr>
          <w:rFonts w:hint="default" w:ascii="Times New Roman" w:hAnsi="Times New Roman" w:eastAsia="黑体" w:cs="黑体"/>
          <w:b/>
          <w:bCs/>
          <w:sz w:val="24"/>
          <w:szCs w:val="24"/>
          <w:lang w:val="en-US" w:eastAsia="zh-CN"/>
        </w:rPr>
      </w:pPr>
      <w:r>
        <w:rPr>
          <w:rFonts w:ascii="Times New Roman" w:hAnsi="Times New Roman" w:eastAsia="黑体" w:cs="黑体"/>
          <w:b/>
          <w:bCs/>
          <w:sz w:val="28"/>
          <w:szCs w:val="28"/>
        </w:rPr>
        <w:pict>
          <v:shape id="_x0000_s2050" o:spid="_x0000_s2050" o:spt="32" type="#_x0000_t32" style="position:absolute;left:0pt;margin-left:186.75pt;margin-top:15.45pt;height:0pt;width:196.5pt;z-index:251658240;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4"/>
          <w:szCs w:val="24"/>
          <w:lang w:val="en-US" w:eastAsia="zh-CN"/>
        </w:rPr>
        <w:t>昆明市盘龙区市政基础设施建设管理</w:t>
      </w:r>
      <w:r>
        <w:rPr>
          <w:rFonts w:hint="eastAsia" w:ascii="Times New Roman" w:hAnsi="Times New Roman" w:eastAsia="黑体" w:cs="黑体"/>
          <w:b/>
          <w:bCs/>
          <w:sz w:val="24"/>
          <w:szCs w:val="24"/>
          <w:u w:val="single"/>
          <w:lang w:val="en-US" w:eastAsia="zh-CN"/>
        </w:rPr>
        <w:t>处</w:t>
      </w:r>
    </w:p>
    <w:p>
      <w:pPr>
        <w:adjustRightInd w:val="0"/>
        <w:snapToGrid w:val="0"/>
        <w:spacing w:line="360" w:lineRule="auto"/>
        <w:ind w:left="1320" w:leftChars="600"/>
        <w:rPr>
          <w:rFonts w:hint="default" w:ascii="Times New Roman" w:hAnsi="Times New Roman" w:eastAsia="黑体" w:cs="黑体"/>
          <w:b/>
          <w:bCs/>
          <w:sz w:val="28"/>
          <w:szCs w:val="28"/>
          <w:lang w:val="en-US" w:eastAsia="zh-CN"/>
        </w:rPr>
      </w:pPr>
      <w:r>
        <w:rPr>
          <w:rFonts w:ascii="Times New Roman" w:hAnsi="Times New Roman" w:eastAsia="黑体" w:cs="黑体"/>
          <w:b/>
          <w:bCs/>
          <w:sz w:val="28"/>
          <w:szCs w:val="28"/>
        </w:rPr>
        <w:pict>
          <v:shape id="_x0000_s2051" o:spid="_x0000_s2051" o:spt="32" type="#_x0000_t32" style="position:absolute;left:0pt;margin-left:135pt;margin-top:17.45pt;height:0pt;width:196.5pt;z-index:251659264;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val="en-US" w:eastAsia="zh-CN"/>
        </w:rPr>
        <w:t>昆明市盘龙区市政基础设施管理处</w:t>
      </w:r>
    </w:p>
    <w:p>
      <w:pPr>
        <w:adjustRightInd w:val="0"/>
        <w:snapToGrid w:val="0"/>
        <w:spacing w:line="360" w:lineRule="auto"/>
        <w:ind w:left="1320" w:leftChars="600"/>
        <w:rPr>
          <w:rFonts w:hint="default" w:ascii="Times New Roman" w:hAnsi="Times New Roman" w:eastAsia="黑体"/>
          <w:b/>
          <w:bCs/>
          <w:sz w:val="28"/>
          <w:szCs w:val="28"/>
          <w:lang w:val="en-US" w:eastAsia="zh-CN"/>
        </w:rPr>
      </w:pPr>
      <w:r>
        <w:rPr>
          <w:rFonts w:ascii="Times New Roman" w:hAnsi="Times New Roman" w:eastAsia="黑体" w:cs="黑体"/>
          <w:b/>
          <w:bCs/>
          <w:sz w:val="28"/>
          <w:szCs w:val="28"/>
        </w:rPr>
        <w:pict>
          <v:shape id="_x0000_s2052" o:spid="_x0000_s2052" o:spt="32" type="#_x0000_t32" style="position:absolute;left:0pt;margin-left:135pt;margin-top:14.25pt;height:0pt;width:196.5pt;z-index:251660288;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bookmarkStart w:id="0" w:name="_GoBack"/>
      <w:r>
        <w:rPr>
          <w:rFonts w:hint="eastAsia" w:ascii="Times New Roman" w:hAnsi="Times New Roman" w:eastAsia="黑体"/>
          <w:b/>
          <w:bCs/>
          <w:sz w:val="28"/>
          <w:szCs w:val="28"/>
          <w:lang w:val="en-US" w:eastAsia="zh-CN"/>
        </w:rPr>
        <w:t>盘龙区住房和城乡建设局</w:t>
      </w:r>
    </w:p>
    <w:bookmarkEnd w:id="0"/>
    <w:p>
      <w:pPr>
        <w:adjustRightInd w:val="0"/>
        <w:snapToGrid w:val="0"/>
        <w:spacing w:line="360" w:lineRule="auto"/>
        <w:ind w:left="1320" w:leftChars="600"/>
        <w:rPr>
          <w:rFonts w:hint="default" w:ascii="Times New Roman" w:hAnsi="Times New Roman" w:eastAsia="黑体"/>
          <w:b/>
          <w:bCs/>
          <w:sz w:val="28"/>
          <w:szCs w:val="28"/>
          <w:lang w:val="en-US" w:eastAsia="zh-CN"/>
        </w:rPr>
      </w:pPr>
      <w:r>
        <w:rPr>
          <w:rFonts w:ascii="Times New Roman" w:hAnsi="Times New Roman" w:eastAsia="黑体" w:cs="黑体"/>
          <w:b/>
          <w:bCs/>
          <w:sz w:val="28"/>
          <w:szCs w:val="28"/>
        </w:rPr>
        <w:pict>
          <v:shape id="_x0000_s2053" o:spid="_x0000_s2053" o:spt="32" type="#_x0000_t32" style="position:absolute;left:0pt;margin-left:135pt;margin-top:14.25pt;height:0pt;width:196.5pt;z-index:251661312;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lang w:val="en-US" w:eastAsia="zh-CN"/>
        </w:rPr>
        <w:t>桥梁安全检测</w:t>
      </w:r>
    </w:p>
    <w:p>
      <w:pPr>
        <w:adjustRightInd w:val="0"/>
        <w:snapToGrid w:val="0"/>
        <w:spacing w:line="360" w:lineRule="auto"/>
        <w:ind w:left="1320" w:leftChars="600"/>
        <w:rPr>
          <w:rFonts w:hint="default" w:ascii="Times New Roman" w:hAnsi="Times New Roman" w:eastAsia="黑体"/>
          <w:b/>
          <w:bCs/>
          <w:sz w:val="28"/>
          <w:szCs w:val="28"/>
          <w:lang w:val="en-US" w:eastAsia="zh-CN"/>
        </w:rPr>
      </w:pPr>
      <w:r>
        <w:rPr>
          <w:rFonts w:ascii="Times New Roman" w:hAnsi="Times New Roman" w:eastAsia="黑体" w:cs="黑体"/>
          <w:b/>
          <w:bCs/>
          <w:sz w:val="28"/>
          <w:szCs w:val="28"/>
        </w:rPr>
        <w:pict>
          <v:shape id="_x0000_s2054" o:spid="_x0000_s2054" o:spt="32" type="#_x0000_t32" style="position:absolute;left:0pt;margin-left:135pt;margin-top:14.25pt;height:0pt;width:196.5pt;z-index:251662336;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r>
        <w:rPr>
          <w:rFonts w:hint="eastAsia" w:ascii="Times New Roman" w:hAnsi="Times New Roman" w:eastAsia="黑体"/>
          <w:b/>
          <w:bCs/>
          <w:sz w:val="28"/>
          <w:szCs w:val="28"/>
          <w:lang w:val="en-US" w:eastAsia="zh-CN"/>
        </w:rPr>
        <w:t>2022年4月</w:t>
      </w:r>
    </w:p>
    <w:p>
      <w:pPr>
        <w:spacing w:line="360" w:lineRule="auto"/>
        <w:ind w:left="1276"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22</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pStyle w:val="7"/>
        <w:widowControl w:val="0"/>
        <w:spacing w:after="0" w:line="360" w:lineRule="auto"/>
        <w:ind w:left="440" w:leftChars="200"/>
        <w:jc w:val="left"/>
        <w:rPr>
          <w:rFonts w:hint="eastAsia" w:ascii="仿宋_GB2312" w:hAnsi="仿宋_GB2312" w:eastAsia="仿宋_GB2312" w:cs="仿宋_GB2312"/>
          <w:b w:val="0"/>
          <w:bCs w:val="0"/>
          <w:kern w:val="2"/>
          <w:sz w:val="30"/>
          <w:szCs w:val="30"/>
          <w:lang w:val="zh-TW" w:eastAsia="zh-TW"/>
        </w:rPr>
      </w:pPr>
      <w:r>
        <w:rPr>
          <w:rFonts w:hint="eastAsia" w:ascii="仿宋_GB2312" w:hAnsi="仿宋_GB2312" w:eastAsia="仿宋_GB2312" w:cs="仿宋_GB2312"/>
          <w:b w:val="0"/>
          <w:bCs w:val="0"/>
          <w:kern w:val="2"/>
          <w:sz w:val="30"/>
          <w:szCs w:val="30"/>
          <w:lang w:val="zh-TW" w:eastAsia="zh-TW"/>
        </w:rPr>
        <w:t>评价小组成员：</w:t>
      </w:r>
    </w:p>
    <w:tbl>
      <w:tblPr>
        <w:tblStyle w:val="6"/>
        <w:tblpPr w:leftFromText="180" w:rightFromText="180" w:vertAnchor="text" w:horzAnchor="margin" w:tblpXSpec="center" w:tblpY="72"/>
        <w:tblW w:w="81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2200"/>
        <w:gridCol w:w="1401"/>
        <w:gridCol w:w="1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rPr>
            </w:pPr>
            <w:r>
              <w:rPr>
                <w:rFonts w:hint="eastAsia" w:ascii="仿宋_GB2312" w:hAnsi="仿宋_GB2312" w:eastAsia="仿宋_GB2312" w:cs="仿宋_GB2312"/>
                <w:b w:val="0"/>
                <w:bCs w:val="0"/>
                <w:kern w:val="2"/>
                <w:sz w:val="30"/>
                <w:szCs w:val="30"/>
                <w:lang w:val="zh-TW"/>
              </w:rPr>
              <w:t>评价小组</w:t>
            </w:r>
          </w:p>
          <w:p>
            <w:pPr>
              <w:pStyle w:val="7"/>
              <w:widowControl w:val="0"/>
              <w:spacing w:after="0" w:line="360" w:lineRule="auto"/>
              <w:jc w:val="center"/>
              <w:rPr>
                <w:rFonts w:hint="eastAsia" w:ascii="仿宋_GB2312" w:hAnsi="仿宋_GB2312" w:eastAsia="仿宋_GB2312" w:cs="仿宋_GB2312"/>
                <w:b w:val="0"/>
                <w:bCs w:val="0"/>
                <w:kern w:val="2"/>
                <w:sz w:val="30"/>
                <w:szCs w:val="30"/>
                <w:lang w:val="zh-TW"/>
              </w:rPr>
            </w:pPr>
            <w:r>
              <w:rPr>
                <w:rFonts w:hint="eastAsia" w:ascii="仿宋_GB2312" w:hAnsi="仿宋_GB2312" w:eastAsia="仿宋_GB2312" w:cs="仿宋_GB2312"/>
                <w:b w:val="0"/>
                <w:bCs w:val="0"/>
                <w:kern w:val="2"/>
                <w:sz w:val="30"/>
                <w:szCs w:val="30"/>
                <w:lang w:val="zh-TW"/>
              </w:rPr>
              <w:t>机构职位</w:t>
            </w:r>
          </w:p>
        </w:tc>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rPr>
            </w:pPr>
            <w:r>
              <w:rPr>
                <w:rFonts w:hint="eastAsia" w:ascii="仿宋_GB2312" w:hAnsi="仿宋_GB2312" w:eastAsia="仿宋_GB2312" w:cs="仿宋_GB2312"/>
                <w:b w:val="0"/>
                <w:bCs w:val="0"/>
                <w:kern w:val="2"/>
                <w:sz w:val="30"/>
                <w:szCs w:val="30"/>
                <w:lang w:val="zh-TW"/>
              </w:rPr>
              <w:t>姓名</w:t>
            </w:r>
          </w:p>
        </w:tc>
        <w:tc>
          <w:tcPr>
            <w:tcW w:w="220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rPr>
            </w:pPr>
            <w:r>
              <w:rPr>
                <w:rFonts w:hint="eastAsia" w:ascii="仿宋_GB2312" w:hAnsi="仿宋_GB2312" w:eastAsia="仿宋_GB2312" w:cs="仿宋_GB2312"/>
                <w:b w:val="0"/>
                <w:bCs w:val="0"/>
                <w:kern w:val="2"/>
                <w:sz w:val="30"/>
                <w:szCs w:val="30"/>
                <w:lang w:val="zh-TW"/>
              </w:rPr>
              <w:t>职务/职称</w:t>
            </w:r>
          </w:p>
        </w:tc>
        <w:tc>
          <w:tcPr>
            <w:tcW w:w="140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21"/>
                <w:szCs w:val="21"/>
                <w:lang w:val="zh-TW"/>
              </w:rPr>
            </w:pPr>
            <w:r>
              <w:rPr>
                <w:rFonts w:hint="eastAsia" w:ascii="仿宋_GB2312" w:hAnsi="仿宋_GB2312" w:eastAsia="仿宋_GB2312" w:cs="仿宋_GB2312"/>
                <w:b w:val="0"/>
                <w:bCs w:val="0"/>
                <w:kern w:val="2"/>
                <w:sz w:val="21"/>
                <w:szCs w:val="21"/>
                <w:lang w:val="zh-TW"/>
              </w:rPr>
              <w:t>所属</w:t>
            </w:r>
          </w:p>
          <w:p>
            <w:pPr>
              <w:pStyle w:val="7"/>
              <w:widowControl w:val="0"/>
              <w:spacing w:after="0" w:line="360" w:lineRule="auto"/>
              <w:jc w:val="center"/>
              <w:rPr>
                <w:rFonts w:hint="eastAsia" w:ascii="仿宋_GB2312" w:hAnsi="仿宋_GB2312" w:eastAsia="仿宋_GB2312" w:cs="仿宋_GB2312"/>
                <w:b w:val="0"/>
                <w:bCs w:val="0"/>
                <w:kern w:val="2"/>
                <w:sz w:val="30"/>
                <w:szCs w:val="30"/>
                <w:lang w:val="zh-TW"/>
              </w:rPr>
            </w:pPr>
            <w:r>
              <w:rPr>
                <w:rFonts w:hint="eastAsia" w:ascii="仿宋_GB2312" w:hAnsi="仿宋_GB2312" w:eastAsia="仿宋_GB2312" w:cs="仿宋_GB2312"/>
                <w:b w:val="0"/>
                <w:bCs w:val="0"/>
                <w:kern w:val="2"/>
                <w:sz w:val="21"/>
                <w:szCs w:val="21"/>
                <w:lang w:val="zh-TW"/>
              </w:rPr>
              <w:t>单位/处室</w:t>
            </w:r>
          </w:p>
        </w:tc>
        <w:tc>
          <w:tcPr>
            <w:tcW w:w="126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rPr>
            </w:pPr>
            <w:r>
              <w:rPr>
                <w:rFonts w:hint="eastAsia" w:ascii="仿宋_GB2312" w:hAnsi="仿宋_GB2312" w:eastAsia="仿宋_GB2312" w:cs="仿宋_GB2312"/>
                <w:b w:val="0"/>
                <w:bCs w:val="0"/>
                <w:kern w:val="2"/>
                <w:sz w:val="30"/>
                <w:szCs w:val="30"/>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rPr>
            </w:pPr>
            <w:r>
              <w:rPr>
                <w:rFonts w:hint="eastAsia" w:ascii="仿宋_GB2312" w:hAnsi="仿宋_GB2312" w:eastAsia="仿宋_GB2312" w:cs="仿宋_GB2312"/>
                <w:b w:val="0"/>
                <w:bCs w:val="0"/>
                <w:kern w:val="2"/>
                <w:sz w:val="30"/>
                <w:szCs w:val="30"/>
                <w:lang w:val="zh-TW"/>
              </w:rPr>
              <w:t>组长</w:t>
            </w:r>
          </w:p>
        </w:tc>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r>
              <w:rPr>
                <w:rFonts w:hint="eastAsia" w:ascii="仿宋_GB2312" w:hAnsi="仿宋_GB2312" w:eastAsia="仿宋_GB2312" w:cs="仿宋_GB2312"/>
                <w:b w:val="0"/>
                <w:bCs w:val="0"/>
                <w:kern w:val="2"/>
                <w:sz w:val="30"/>
                <w:szCs w:val="30"/>
                <w:lang w:val="zh-TW" w:eastAsia="zh-TW"/>
              </w:rPr>
              <w:t>高中献</w:t>
            </w:r>
          </w:p>
        </w:tc>
        <w:tc>
          <w:tcPr>
            <w:tcW w:w="220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18"/>
                <w:szCs w:val="18"/>
                <w:lang w:val="zh-TW" w:eastAsia="zh-TW"/>
              </w:rPr>
            </w:pPr>
            <w:r>
              <w:rPr>
                <w:rFonts w:hint="eastAsia" w:ascii="仿宋_GB2312" w:hAnsi="仿宋_GB2312" w:eastAsia="仿宋_GB2312" w:cs="仿宋_GB2312"/>
                <w:b w:val="0"/>
                <w:bCs w:val="0"/>
                <w:kern w:val="2"/>
                <w:sz w:val="18"/>
                <w:szCs w:val="18"/>
                <w:lang w:val="zh-TW" w:eastAsia="zh-TW"/>
              </w:rPr>
              <w:t>处长</w:t>
            </w:r>
          </w:p>
        </w:tc>
        <w:tc>
          <w:tcPr>
            <w:tcW w:w="140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r>
              <w:rPr>
                <w:rFonts w:hint="eastAsia" w:ascii="仿宋_GB2312" w:hAnsi="仿宋_GB2312" w:eastAsia="仿宋_GB2312" w:cs="仿宋_GB2312"/>
                <w:b w:val="0"/>
                <w:bCs w:val="0"/>
                <w:kern w:val="2"/>
                <w:sz w:val="30"/>
                <w:szCs w:val="30"/>
                <w:lang w:val="zh-TW" w:eastAsia="zh-TW"/>
              </w:rPr>
              <w:t>市政处</w:t>
            </w:r>
          </w:p>
        </w:tc>
        <w:tc>
          <w:tcPr>
            <w:tcW w:w="126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rPr>
            </w:pPr>
            <w:r>
              <w:rPr>
                <w:rFonts w:hint="eastAsia" w:ascii="仿宋_GB2312" w:hAnsi="仿宋_GB2312" w:eastAsia="仿宋_GB2312" w:cs="仿宋_GB2312"/>
                <w:b w:val="0"/>
                <w:bCs w:val="0"/>
                <w:kern w:val="2"/>
                <w:sz w:val="30"/>
                <w:szCs w:val="30"/>
                <w:lang w:val="zh-TW"/>
              </w:rPr>
              <w:t>副组长</w:t>
            </w:r>
          </w:p>
        </w:tc>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r>
              <w:rPr>
                <w:rFonts w:hint="eastAsia" w:ascii="仿宋_GB2312" w:hAnsi="仿宋_GB2312" w:eastAsia="仿宋_GB2312" w:cs="仿宋_GB2312"/>
                <w:b w:val="0"/>
                <w:bCs w:val="0"/>
                <w:kern w:val="2"/>
                <w:sz w:val="30"/>
                <w:szCs w:val="30"/>
                <w:lang w:val="zh-TW" w:eastAsia="zh-TW"/>
              </w:rPr>
              <w:t>张有明</w:t>
            </w:r>
          </w:p>
        </w:tc>
        <w:tc>
          <w:tcPr>
            <w:tcW w:w="220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18"/>
                <w:szCs w:val="18"/>
                <w:lang w:val="zh-TW" w:eastAsia="zh-TW"/>
              </w:rPr>
            </w:pPr>
            <w:r>
              <w:rPr>
                <w:rFonts w:hint="eastAsia" w:ascii="仿宋_GB2312" w:hAnsi="仿宋_GB2312" w:eastAsia="仿宋_GB2312" w:cs="仿宋_GB2312"/>
                <w:b w:val="0"/>
                <w:bCs w:val="0"/>
                <w:kern w:val="2"/>
                <w:sz w:val="18"/>
                <w:szCs w:val="18"/>
                <w:lang w:val="en-US" w:eastAsia="zh-CN"/>
              </w:rPr>
              <w:t>处党总支书记、</w:t>
            </w:r>
            <w:r>
              <w:rPr>
                <w:rFonts w:hint="eastAsia" w:ascii="仿宋_GB2312" w:hAnsi="仿宋_GB2312" w:eastAsia="仿宋_GB2312" w:cs="仿宋_GB2312"/>
                <w:b w:val="0"/>
                <w:bCs w:val="0"/>
                <w:kern w:val="2"/>
                <w:sz w:val="18"/>
                <w:szCs w:val="18"/>
                <w:lang w:val="zh-TW" w:eastAsia="zh-TW"/>
              </w:rPr>
              <w:t>副处长</w:t>
            </w:r>
          </w:p>
        </w:tc>
        <w:tc>
          <w:tcPr>
            <w:tcW w:w="140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r>
              <w:rPr>
                <w:rFonts w:hint="eastAsia" w:ascii="仿宋_GB2312" w:hAnsi="仿宋_GB2312" w:eastAsia="仿宋_GB2312" w:cs="仿宋_GB2312"/>
                <w:b w:val="0"/>
                <w:bCs w:val="0"/>
                <w:kern w:val="2"/>
                <w:sz w:val="30"/>
                <w:szCs w:val="30"/>
                <w:lang w:val="zh-TW" w:eastAsia="zh-TW"/>
              </w:rPr>
              <w:t>市政处</w:t>
            </w:r>
          </w:p>
        </w:tc>
        <w:tc>
          <w:tcPr>
            <w:tcW w:w="126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rPr>
            </w:pPr>
            <w:r>
              <w:rPr>
                <w:rFonts w:hint="eastAsia" w:ascii="仿宋_GB2312" w:hAnsi="仿宋_GB2312" w:eastAsia="仿宋_GB2312" w:cs="仿宋_GB2312"/>
                <w:b w:val="0"/>
                <w:bCs w:val="0"/>
                <w:kern w:val="2"/>
                <w:sz w:val="30"/>
                <w:szCs w:val="30"/>
                <w:lang w:val="zh-TW"/>
              </w:rPr>
              <w:t>成员</w:t>
            </w:r>
          </w:p>
        </w:tc>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en-US" w:eastAsia="zh-CN"/>
              </w:rPr>
            </w:pPr>
            <w:r>
              <w:rPr>
                <w:rFonts w:hint="eastAsia" w:ascii="仿宋_GB2312" w:hAnsi="仿宋_GB2312" w:eastAsia="仿宋_GB2312" w:cs="仿宋_GB2312"/>
                <w:b w:val="0"/>
                <w:bCs w:val="0"/>
                <w:kern w:val="2"/>
                <w:sz w:val="30"/>
                <w:szCs w:val="30"/>
                <w:lang w:val="en-US" w:eastAsia="zh-CN"/>
              </w:rPr>
              <w:t>吕建新</w:t>
            </w:r>
          </w:p>
        </w:tc>
        <w:tc>
          <w:tcPr>
            <w:tcW w:w="220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18"/>
                <w:szCs w:val="18"/>
                <w:lang w:val="en-US" w:eastAsia="zh-CN"/>
              </w:rPr>
            </w:pPr>
            <w:r>
              <w:rPr>
                <w:rFonts w:hint="eastAsia" w:ascii="仿宋_GB2312" w:hAnsi="仿宋_GB2312" w:eastAsia="仿宋_GB2312" w:cs="仿宋_GB2312"/>
                <w:b w:val="0"/>
                <w:bCs w:val="0"/>
                <w:kern w:val="2"/>
                <w:sz w:val="18"/>
                <w:szCs w:val="18"/>
                <w:lang w:val="en-US" w:eastAsia="zh-CN"/>
              </w:rPr>
              <w:t>综合办公室主任</w:t>
            </w:r>
          </w:p>
        </w:tc>
        <w:tc>
          <w:tcPr>
            <w:tcW w:w="140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r>
              <w:rPr>
                <w:rFonts w:hint="eastAsia" w:ascii="仿宋_GB2312" w:hAnsi="仿宋_GB2312" w:eastAsia="仿宋_GB2312" w:cs="仿宋_GB2312"/>
                <w:b w:val="0"/>
                <w:bCs w:val="0"/>
                <w:kern w:val="2"/>
                <w:sz w:val="30"/>
                <w:szCs w:val="30"/>
                <w:lang w:val="zh-TW" w:eastAsia="zh-TW"/>
              </w:rPr>
              <w:t>市政处</w:t>
            </w:r>
          </w:p>
        </w:tc>
        <w:tc>
          <w:tcPr>
            <w:tcW w:w="126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rPr>
            </w:pPr>
          </w:p>
        </w:tc>
        <w:tc>
          <w:tcPr>
            <w:tcW w:w="1620" w:type="dxa"/>
            <w:vAlign w:val="center"/>
          </w:tcPr>
          <w:p>
            <w:pPr>
              <w:pStyle w:val="7"/>
              <w:widowControl w:val="0"/>
              <w:spacing w:after="0" w:line="360" w:lineRule="auto"/>
              <w:jc w:val="center"/>
              <w:rPr>
                <w:rFonts w:hint="default" w:ascii="仿宋_GB2312" w:hAnsi="仿宋_GB2312" w:eastAsia="仿宋_GB2312" w:cs="仿宋_GB2312"/>
                <w:b w:val="0"/>
                <w:bCs w:val="0"/>
                <w:kern w:val="2"/>
                <w:sz w:val="30"/>
                <w:szCs w:val="30"/>
                <w:lang w:val="en-US" w:eastAsia="zh-CN"/>
              </w:rPr>
            </w:pPr>
            <w:r>
              <w:rPr>
                <w:rFonts w:hint="eastAsia" w:ascii="仿宋_GB2312" w:hAnsi="仿宋_GB2312" w:eastAsia="仿宋_GB2312" w:cs="仿宋_GB2312"/>
                <w:b w:val="0"/>
                <w:bCs w:val="0"/>
                <w:kern w:val="2"/>
                <w:sz w:val="30"/>
                <w:szCs w:val="30"/>
                <w:lang w:val="en-US" w:eastAsia="zh-CN"/>
              </w:rPr>
              <w:t>张  际</w:t>
            </w:r>
          </w:p>
        </w:tc>
        <w:tc>
          <w:tcPr>
            <w:tcW w:w="2200" w:type="dxa"/>
            <w:vAlign w:val="center"/>
          </w:tcPr>
          <w:p>
            <w:pPr>
              <w:pStyle w:val="7"/>
              <w:widowControl w:val="0"/>
              <w:spacing w:after="0" w:line="360" w:lineRule="auto"/>
              <w:jc w:val="center"/>
              <w:rPr>
                <w:rFonts w:hint="default" w:ascii="仿宋_GB2312" w:hAnsi="仿宋_GB2312" w:eastAsia="仿宋_GB2312" w:cs="仿宋_GB2312"/>
                <w:b w:val="0"/>
                <w:bCs w:val="0"/>
                <w:kern w:val="2"/>
                <w:sz w:val="18"/>
                <w:szCs w:val="18"/>
                <w:lang w:val="en-US" w:eastAsia="zh-CN"/>
              </w:rPr>
            </w:pPr>
            <w:r>
              <w:rPr>
                <w:rFonts w:hint="eastAsia" w:ascii="仿宋_GB2312" w:hAnsi="仿宋_GB2312" w:eastAsia="仿宋_GB2312" w:cs="仿宋_GB2312"/>
                <w:b w:val="0"/>
                <w:bCs w:val="0"/>
                <w:kern w:val="2"/>
                <w:sz w:val="18"/>
                <w:szCs w:val="18"/>
                <w:lang w:val="en-US" w:eastAsia="zh-CN"/>
              </w:rPr>
              <w:t>人事财务科科长</w:t>
            </w:r>
          </w:p>
        </w:tc>
        <w:tc>
          <w:tcPr>
            <w:tcW w:w="140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en-US" w:eastAsia="zh-CN"/>
              </w:rPr>
            </w:pPr>
            <w:r>
              <w:rPr>
                <w:rFonts w:hint="eastAsia" w:ascii="仿宋_GB2312" w:hAnsi="仿宋_GB2312" w:eastAsia="仿宋_GB2312" w:cs="仿宋_GB2312"/>
                <w:b w:val="0"/>
                <w:bCs w:val="0"/>
                <w:kern w:val="2"/>
                <w:sz w:val="30"/>
                <w:szCs w:val="30"/>
                <w:lang w:val="en-US" w:eastAsia="zh-CN"/>
              </w:rPr>
              <w:t>市政处</w:t>
            </w:r>
          </w:p>
        </w:tc>
        <w:tc>
          <w:tcPr>
            <w:tcW w:w="126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rPr>
            </w:pPr>
          </w:p>
        </w:tc>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en-US" w:eastAsia="zh-CN"/>
              </w:rPr>
            </w:pPr>
            <w:r>
              <w:rPr>
                <w:rFonts w:hint="eastAsia" w:ascii="仿宋_GB2312" w:hAnsi="仿宋_GB2312" w:eastAsia="仿宋_GB2312" w:cs="仿宋_GB2312"/>
                <w:b w:val="0"/>
                <w:bCs w:val="0"/>
                <w:kern w:val="2"/>
                <w:sz w:val="30"/>
                <w:szCs w:val="30"/>
                <w:lang w:val="en-US" w:eastAsia="zh-CN"/>
              </w:rPr>
              <w:t>郭芸娟</w:t>
            </w:r>
          </w:p>
        </w:tc>
        <w:tc>
          <w:tcPr>
            <w:tcW w:w="220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18"/>
                <w:szCs w:val="18"/>
                <w:lang w:val="en-US" w:eastAsia="zh-CN"/>
              </w:rPr>
            </w:pPr>
            <w:r>
              <w:rPr>
                <w:rFonts w:hint="eastAsia" w:ascii="仿宋_GB2312" w:hAnsi="仿宋_GB2312" w:eastAsia="仿宋_GB2312" w:cs="仿宋_GB2312"/>
                <w:b w:val="0"/>
                <w:bCs w:val="0"/>
                <w:kern w:val="2"/>
                <w:sz w:val="18"/>
                <w:szCs w:val="18"/>
                <w:lang w:val="en-US" w:eastAsia="zh-CN"/>
              </w:rPr>
              <w:t>道桥维护科负责人</w:t>
            </w:r>
          </w:p>
        </w:tc>
        <w:tc>
          <w:tcPr>
            <w:tcW w:w="140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r>
              <w:rPr>
                <w:rFonts w:hint="eastAsia" w:ascii="仿宋_GB2312" w:hAnsi="仿宋_GB2312" w:eastAsia="仿宋_GB2312" w:cs="仿宋_GB2312"/>
                <w:b w:val="0"/>
                <w:bCs w:val="0"/>
                <w:kern w:val="2"/>
                <w:sz w:val="30"/>
                <w:szCs w:val="30"/>
                <w:lang w:val="zh-TW" w:eastAsia="zh-TW"/>
              </w:rPr>
              <w:t>市政处</w:t>
            </w:r>
          </w:p>
        </w:tc>
        <w:tc>
          <w:tcPr>
            <w:tcW w:w="126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rPr>
            </w:pPr>
          </w:p>
        </w:tc>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en-US" w:eastAsia="zh-CN"/>
              </w:rPr>
            </w:pPr>
            <w:r>
              <w:rPr>
                <w:rFonts w:hint="eastAsia" w:ascii="仿宋_GB2312" w:hAnsi="仿宋_GB2312" w:eastAsia="仿宋_GB2312" w:cs="仿宋_GB2312"/>
                <w:b w:val="0"/>
                <w:bCs w:val="0"/>
                <w:kern w:val="2"/>
                <w:sz w:val="30"/>
                <w:szCs w:val="30"/>
                <w:lang w:val="en-US" w:eastAsia="zh-CN"/>
              </w:rPr>
              <w:t>李俊轩</w:t>
            </w:r>
          </w:p>
        </w:tc>
        <w:tc>
          <w:tcPr>
            <w:tcW w:w="220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18"/>
                <w:szCs w:val="18"/>
                <w:lang w:val="en-US" w:eastAsia="zh-CN"/>
              </w:rPr>
            </w:pPr>
            <w:r>
              <w:rPr>
                <w:rFonts w:hint="eastAsia" w:ascii="仿宋_GB2312" w:hAnsi="仿宋_GB2312" w:eastAsia="仿宋_GB2312" w:cs="仿宋_GB2312"/>
                <w:b w:val="0"/>
                <w:bCs w:val="0"/>
                <w:kern w:val="2"/>
                <w:sz w:val="18"/>
                <w:szCs w:val="18"/>
                <w:lang w:val="en-US" w:eastAsia="zh-CN"/>
              </w:rPr>
              <w:t>工程建设科科长</w:t>
            </w:r>
          </w:p>
        </w:tc>
        <w:tc>
          <w:tcPr>
            <w:tcW w:w="140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r>
              <w:rPr>
                <w:rFonts w:hint="eastAsia" w:ascii="仿宋_GB2312" w:hAnsi="仿宋_GB2312" w:eastAsia="仿宋_GB2312" w:cs="仿宋_GB2312"/>
                <w:b w:val="0"/>
                <w:bCs w:val="0"/>
                <w:kern w:val="2"/>
                <w:sz w:val="30"/>
                <w:szCs w:val="30"/>
                <w:lang w:val="zh-TW" w:eastAsia="zh-TW"/>
              </w:rPr>
              <w:t>市政处</w:t>
            </w:r>
          </w:p>
        </w:tc>
        <w:tc>
          <w:tcPr>
            <w:tcW w:w="126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rPr>
            </w:pPr>
          </w:p>
        </w:tc>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en-US" w:eastAsia="zh-CN"/>
              </w:rPr>
            </w:pPr>
            <w:r>
              <w:rPr>
                <w:rFonts w:hint="eastAsia" w:ascii="仿宋_GB2312" w:hAnsi="仿宋_GB2312" w:eastAsia="仿宋_GB2312" w:cs="仿宋_GB2312"/>
                <w:b w:val="0"/>
                <w:bCs w:val="0"/>
                <w:kern w:val="2"/>
                <w:sz w:val="30"/>
                <w:szCs w:val="30"/>
                <w:lang w:val="en-US" w:eastAsia="zh-CN"/>
              </w:rPr>
              <w:t>张宏伟</w:t>
            </w:r>
          </w:p>
        </w:tc>
        <w:tc>
          <w:tcPr>
            <w:tcW w:w="220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18"/>
                <w:szCs w:val="18"/>
                <w:lang w:val="en-US" w:eastAsia="zh-CN"/>
              </w:rPr>
            </w:pPr>
            <w:r>
              <w:rPr>
                <w:rFonts w:hint="eastAsia" w:ascii="仿宋_GB2312" w:hAnsi="仿宋_GB2312" w:eastAsia="仿宋_GB2312" w:cs="仿宋_GB2312"/>
                <w:b w:val="0"/>
                <w:bCs w:val="0"/>
                <w:kern w:val="2"/>
                <w:sz w:val="18"/>
                <w:szCs w:val="18"/>
                <w:lang w:val="en-US" w:eastAsia="zh-CN"/>
              </w:rPr>
              <w:t>工程技术科科长</w:t>
            </w:r>
          </w:p>
        </w:tc>
        <w:tc>
          <w:tcPr>
            <w:tcW w:w="140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r>
              <w:rPr>
                <w:rFonts w:hint="eastAsia" w:ascii="仿宋_GB2312" w:hAnsi="仿宋_GB2312" w:eastAsia="仿宋_GB2312" w:cs="仿宋_GB2312"/>
                <w:b w:val="0"/>
                <w:bCs w:val="0"/>
                <w:kern w:val="2"/>
                <w:sz w:val="30"/>
                <w:szCs w:val="30"/>
                <w:lang w:val="zh-TW" w:eastAsia="zh-TW"/>
              </w:rPr>
              <w:t>市政处</w:t>
            </w:r>
          </w:p>
        </w:tc>
        <w:tc>
          <w:tcPr>
            <w:tcW w:w="126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rPr>
            </w:pPr>
          </w:p>
        </w:tc>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en-US" w:eastAsia="zh-CN"/>
              </w:rPr>
            </w:pPr>
            <w:r>
              <w:rPr>
                <w:rFonts w:hint="eastAsia" w:ascii="仿宋_GB2312" w:hAnsi="仿宋_GB2312" w:eastAsia="仿宋_GB2312" w:cs="仿宋_GB2312"/>
                <w:b w:val="0"/>
                <w:bCs w:val="0"/>
                <w:kern w:val="2"/>
                <w:sz w:val="30"/>
                <w:szCs w:val="30"/>
                <w:lang w:val="en-US" w:eastAsia="zh-CN"/>
              </w:rPr>
              <w:t>李晓珊</w:t>
            </w:r>
          </w:p>
        </w:tc>
        <w:tc>
          <w:tcPr>
            <w:tcW w:w="220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18"/>
                <w:szCs w:val="18"/>
                <w:lang w:val="en-US" w:eastAsia="zh-CN"/>
              </w:rPr>
            </w:pPr>
            <w:r>
              <w:rPr>
                <w:rFonts w:hint="eastAsia" w:ascii="仿宋_GB2312" w:hAnsi="仿宋_GB2312" w:eastAsia="仿宋_GB2312" w:cs="仿宋_GB2312"/>
                <w:b w:val="0"/>
                <w:bCs w:val="0"/>
                <w:kern w:val="2"/>
                <w:sz w:val="18"/>
                <w:szCs w:val="18"/>
                <w:lang w:val="en-US" w:eastAsia="zh-CN"/>
              </w:rPr>
              <w:t>项目规划科负责人</w:t>
            </w:r>
          </w:p>
        </w:tc>
        <w:tc>
          <w:tcPr>
            <w:tcW w:w="140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r>
              <w:rPr>
                <w:rFonts w:hint="eastAsia" w:ascii="仿宋_GB2312" w:hAnsi="仿宋_GB2312" w:eastAsia="仿宋_GB2312" w:cs="仿宋_GB2312"/>
                <w:b w:val="0"/>
                <w:bCs w:val="0"/>
                <w:kern w:val="2"/>
                <w:sz w:val="30"/>
                <w:szCs w:val="30"/>
                <w:lang w:val="zh-TW" w:eastAsia="zh-TW"/>
              </w:rPr>
              <w:t>市政处</w:t>
            </w:r>
          </w:p>
        </w:tc>
        <w:tc>
          <w:tcPr>
            <w:tcW w:w="126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rPr>
            </w:pPr>
          </w:p>
        </w:tc>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en-US" w:eastAsia="zh-CN"/>
              </w:rPr>
            </w:pPr>
            <w:r>
              <w:rPr>
                <w:rFonts w:hint="eastAsia" w:ascii="仿宋_GB2312" w:hAnsi="仿宋_GB2312" w:eastAsia="仿宋_GB2312" w:cs="仿宋_GB2312"/>
                <w:b w:val="0"/>
                <w:bCs w:val="0"/>
                <w:kern w:val="2"/>
                <w:sz w:val="30"/>
                <w:szCs w:val="30"/>
                <w:lang w:val="en-US" w:eastAsia="zh-CN"/>
              </w:rPr>
              <w:t>王欣悦</w:t>
            </w:r>
          </w:p>
        </w:tc>
        <w:tc>
          <w:tcPr>
            <w:tcW w:w="220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18"/>
                <w:szCs w:val="18"/>
                <w:lang w:val="en-US" w:eastAsia="zh-CN"/>
              </w:rPr>
            </w:pPr>
            <w:r>
              <w:rPr>
                <w:rFonts w:hint="eastAsia" w:ascii="仿宋_GB2312" w:hAnsi="仿宋_GB2312" w:eastAsia="仿宋_GB2312" w:cs="仿宋_GB2312"/>
                <w:b w:val="0"/>
                <w:bCs w:val="0"/>
                <w:kern w:val="2"/>
                <w:sz w:val="18"/>
                <w:szCs w:val="18"/>
                <w:lang w:val="en-US" w:eastAsia="zh-CN"/>
              </w:rPr>
              <w:t>合同预算科科长</w:t>
            </w:r>
          </w:p>
        </w:tc>
        <w:tc>
          <w:tcPr>
            <w:tcW w:w="140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r>
              <w:rPr>
                <w:rFonts w:hint="eastAsia" w:ascii="仿宋_GB2312" w:hAnsi="仿宋_GB2312" w:eastAsia="仿宋_GB2312" w:cs="仿宋_GB2312"/>
                <w:b w:val="0"/>
                <w:bCs w:val="0"/>
                <w:kern w:val="2"/>
                <w:sz w:val="30"/>
                <w:szCs w:val="30"/>
                <w:lang w:val="zh-TW" w:eastAsia="zh-TW"/>
              </w:rPr>
              <w:t>市政处</w:t>
            </w:r>
          </w:p>
        </w:tc>
        <w:tc>
          <w:tcPr>
            <w:tcW w:w="126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rPr>
            </w:pPr>
          </w:p>
        </w:tc>
        <w:tc>
          <w:tcPr>
            <w:tcW w:w="162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en-US" w:eastAsia="zh-CN"/>
              </w:rPr>
            </w:pPr>
            <w:r>
              <w:rPr>
                <w:rFonts w:hint="eastAsia" w:ascii="仿宋_GB2312" w:hAnsi="仿宋_GB2312" w:eastAsia="仿宋_GB2312" w:cs="仿宋_GB2312"/>
                <w:b w:val="0"/>
                <w:bCs w:val="0"/>
                <w:kern w:val="2"/>
                <w:sz w:val="30"/>
                <w:szCs w:val="30"/>
                <w:lang w:val="en-US" w:eastAsia="zh-CN"/>
              </w:rPr>
              <w:t>李国庆</w:t>
            </w:r>
          </w:p>
        </w:tc>
        <w:tc>
          <w:tcPr>
            <w:tcW w:w="2200" w:type="dxa"/>
            <w:vAlign w:val="center"/>
          </w:tcPr>
          <w:p>
            <w:pPr>
              <w:pStyle w:val="7"/>
              <w:widowControl w:val="0"/>
              <w:spacing w:after="0" w:line="360" w:lineRule="auto"/>
              <w:jc w:val="center"/>
              <w:rPr>
                <w:rFonts w:hint="eastAsia" w:ascii="仿宋_GB2312" w:hAnsi="仿宋_GB2312" w:eastAsia="仿宋_GB2312" w:cs="仿宋_GB2312"/>
                <w:b w:val="0"/>
                <w:bCs w:val="0"/>
                <w:kern w:val="2"/>
                <w:sz w:val="18"/>
                <w:szCs w:val="18"/>
                <w:lang w:val="en-US" w:eastAsia="zh-CN"/>
              </w:rPr>
            </w:pPr>
            <w:r>
              <w:rPr>
                <w:rFonts w:hint="eastAsia" w:ascii="仿宋_GB2312" w:hAnsi="仿宋_GB2312" w:eastAsia="仿宋_GB2312" w:cs="仿宋_GB2312"/>
                <w:b w:val="0"/>
                <w:bCs w:val="0"/>
                <w:kern w:val="2"/>
                <w:sz w:val="18"/>
                <w:szCs w:val="18"/>
                <w:lang w:val="en-US" w:eastAsia="zh-CN"/>
              </w:rPr>
              <w:t>路政管理科科长</w:t>
            </w:r>
          </w:p>
        </w:tc>
        <w:tc>
          <w:tcPr>
            <w:tcW w:w="140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r>
              <w:rPr>
                <w:rFonts w:hint="eastAsia" w:ascii="仿宋_GB2312" w:hAnsi="仿宋_GB2312" w:eastAsia="仿宋_GB2312" w:cs="仿宋_GB2312"/>
                <w:b w:val="0"/>
                <w:bCs w:val="0"/>
                <w:kern w:val="2"/>
                <w:sz w:val="30"/>
                <w:szCs w:val="30"/>
                <w:lang w:val="zh-TW" w:eastAsia="zh-TW"/>
              </w:rPr>
              <w:t>市政处</w:t>
            </w:r>
          </w:p>
        </w:tc>
        <w:tc>
          <w:tcPr>
            <w:tcW w:w="1261" w:type="dxa"/>
            <w:vAlign w:val="center"/>
          </w:tcPr>
          <w:p>
            <w:pPr>
              <w:pStyle w:val="7"/>
              <w:widowControl w:val="0"/>
              <w:spacing w:after="0" w:line="360" w:lineRule="auto"/>
              <w:jc w:val="center"/>
              <w:rPr>
                <w:rFonts w:hint="eastAsia" w:ascii="仿宋_GB2312" w:hAnsi="仿宋_GB2312" w:eastAsia="仿宋_GB2312" w:cs="仿宋_GB2312"/>
                <w:b w:val="0"/>
                <w:bCs w:val="0"/>
                <w:kern w:val="2"/>
                <w:sz w:val="30"/>
                <w:szCs w:val="3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jc w:val="center"/>
        </w:trPr>
        <w:tc>
          <w:tcPr>
            <w:tcW w:w="8102" w:type="dxa"/>
            <w:gridSpan w:val="5"/>
            <w:vAlign w:val="top"/>
          </w:tcPr>
          <w:p>
            <w:pPr>
              <w:pStyle w:val="7"/>
              <w:widowControl w:val="0"/>
              <w:spacing w:after="0" w:line="360" w:lineRule="auto"/>
              <w:jc w:val="left"/>
              <w:rPr>
                <w:rFonts w:hint="eastAsia" w:ascii="仿宋_GB2312" w:hAnsi="仿宋_GB2312" w:eastAsia="仿宋_GB2312" w:cs="仿宋_GB2312"/>
                <w:b w:val="0"/>
                <w:bCs w:val="0"/>
                <w:kern w:val="2"/>
                <w:sz w:val="30"/>
                <w:szCs w:val="30"/>
                <w:lang w:val="zh-TW"/>
              </w:rPr>
            </w:pPr>
            <w:r>
              <w:rPr>
                <w:rFonts w:hint="eastAsia" w:ascii="仿宋_GB2312" w:hAnsi="仿宋_GB2312" w:eastAsia="仿宋_GB2312" w:cs="仿宋_GB2312"/>
                <w:b w:val="0"/>
                <w:bCs w:val="0"/>
                <w:kern w:val="2"/>
                <w:sz w:val="30"/>
                <w:szCs w:val="30"/>
                <w:lang w:val="zh-TW"/>
              </w:rPr>
              <w:t>报告撰写人（签字）：</w:t>
            </w:r>
          </w:p>
          <w:p>
            <w:pPr>
              <w:pStyle w:val="7"/>
              <w:widowControl w:val="0"/>
              <w:spacing w:after="0" w:line="360" w:lineRule="auto"/>
              <w:jc w:val="left"/>
              <w:rPr>
                <w:rFonts w:hint="eastAsia" w:ascii="仿宋_GB2312" w:hAnsi="仿宋_GB2312" w:eastAsia="仿宋_GB2312" w:cs="仿宋_GB2312"/>
                <w:b w:val="0"/>
                <w:bCs w:val="0"/>
                <w:kern w:val="2"/>
                <w:sz w:val="30"/>
                <w:szCs w:val="30"/>
                <w:lang w:val="zh-TW"/>
              </w:rPr>
            </w:pPr>
          </w:p>
          <w:p>
            <w:pPr>
              <w:pStyle w:val="7"/>
              <w:widowControl w:val="0"/>
              <w:spacing w:after="0" w:line="360" w:lineRule="auto"/>
              <w:jc w:val="left"/>
              <w:rPr>
                <w:rFonts w:hint="eastAsia" w:ascii="仿宋_GB2312" w:hAnsi="仿宋_GB2312" w:eastAsia="仿宋_GB2312" w:cs="仿宋_GB2312"/>
                <w:b w:val="0"/>
                <w:bCs w:val="0"/>
                <w:kern w:val="2"/>
                <w:sz w:val="30"/>
                <w:szCs w:val="30"/>
                <w:lang w:val="zh-TW"/>
              </w:rPr>
            </w:pPr>
          </w:p>
          <w:p>
            <w:pPr>
              <w:pStyle w:val="7"/>
              <w:widowControl w:val="0"/>
              <w:wordWrap/>
              <w:spacing w:after="0" w:line="360" w:lineRule="auto"/>
              <w:jc w:val="left"/>
              <w:rPr>
                <w:rFonts w:hint="eastAsia" w:ascii="仿宋_GB2312" w:hAnsi="仿宋_GB2312" w:eastAsia="仿宋_GB2312" w:cs="仿宋_GB2312"/>
                <w:b w:val="0"/>
                <w:bCs w:val="0"/>
                <w:kern w:val="2"/>
                <w:sz w:val="30"/>
                <w:szCs w:val="30"/>
                <w:lang w:val="zh-TW"/>
              </w:rPr>
            </w:pPr>
            <w:r>
              <w:rPr>
                <w:rFonts w:hint="eastAsia" w:ascii="仿宋_GB2312" w:hAnsi="仿宋_GB2312" w:eastAsia="仿宋_GB2312" w:cs="仿宋_GB2312"/>
                <w:b w:val="0"/>
                <w:bCs w:val="0"/>
                <w:kern w:val="2"/>
                <w:sz w:val="30"/>
                <w:szCs w:val="30"/>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jc w:val="center"/>
        </w:trPr>
        <w:tc>
          <w:tcPr>
            <w:tcW w:w="8102" w:type="dxa"/>
            <w:gridSpan w:val="5"/>
            <w:vAlign w:val="top"/>
          </w:tcPr>
          <w:p>
            <w:pPr>
              <w:pStyle w:val="7"/>
              <w:widowControl w:val="0"/>
              <w:spacing w:after="0" w:line="360" w:lineRule="auto"/>
              <w:jc w:val="left"/>
              <w:rPr>
                <w:rFonts w:hint="eastAsia" w:ascii="仿宋_GB2312" w:hAnsi="仿宋_GB2312" w:eastAsia="仿宋_GB2312" w:cs="仿宋_GB2312"/>
                <w:b w:val="0"/>
                <w:bCs w:val="0"/>
                <w:kern w:val="2"/>
                <w:sz w:val="30"/>
                <w:szCs w:val="30"/>
                <w:lang w:val="zh-TW"/>
              </w:rPr>
            </w:pPr>
            <w:r>
              <w:rPr>
                <w:rFonts w:hint="eastAsia" w:ascii="仿宋_GB2312" w:hAnsi="仿宋_GB2312" w:eastAsia="仿宋_GB2312" w:cs="仿宋_GB2312"/>
                <w:b w:val="0"/>
                <w:bCs w:val="0"/>
                <w:kern w:val="2"/>
                <w:sz w:val="30"/>
                <w:szCs w:val="30"/>
                <w:lang w:val="zh-TW"/>
              </w:rPr>
              <w:t>评价工作负责人（签字）：</w:t>
            </w:r>
          </w:p>
          <w:p>
            <w:pPr>
              <w:pStyle w:val="7"/>
              <w:widowControl w:val="0"/>
              <w:spacing w:after="0" w:line="360" w:lineRule="auto"/>
              <w:jc w:val="left"/>
              <w:rPr>
                <w:rFonts w:hint="eastAsia" w:ascii="仿宋_GB2312" w:hAnsi="仿宋_GB2312" w:eastAsia="仿宋_GB2312" w:cs="仿宋_GB2312"/>
                <w:b w:val="0"/>
                <w:bCs w:val="0"/>
                <w:kern w:val="2"/>
                <w:sz w:val="30"/>
                <w:szCs w:val="30"/>
                <w:lang w:val="zh-TW"/>
              </w:rPr>
            </w:pPr>
          </w:p>
          <w:p>
            <w:pPr>
              <w:pStyle w:val="7"/>
              <w:widowControl w:val="0"/>
              <w:spacing w:after="0" w:line="360" w:lineRule="auto"/>
              <w:jc w:val="left"/>
              <w:rPr>
                <w:rFonts w:hint="eastAsia" w:ascii="仿宋_GB2312" w:hAnsi="仿宋_GB2312" w:eastAsia="仿宋_GB2312" w:cs="仿宋_GB2312"/>
                <w:b w:val="0"/>
                <w:bCs w:val="0"/>
                <w:kern w:val="2"/>
                <w:sz w:val="30"/>
                <w:szCs w:val="30"/>
                <w:lang w:val="zh-TW"/>
              </w:rPr>
            </w:pPr>
          </w:p>
          <w:p>
            <w:pPr>
              <w:pStyle w:val="7"/>
              <w:widowControl w:val="0"/>
              <w:wordWrap/>
              <w:spacing w:after="0" w:line="360" w:lineRule="auto"/>
              <w:jc w:val="left"/>
              <w:rPr>
                <w:rFonts w:hint="eastAsia" w:ascii="仿宋_GB2312" w:hAnsi="仿宋_GB2312" w:eastAsia="仿宋_GB2312" w:cs="仿宋_GB2312"/>
                <w:b w:val="0"/>
                <w:bCs w:val="0"/>
                <w:kern w:val="2"/>
                <w:sz w:val="30"/>
                <w:szCs w:val="30"/>
                <w:lang w:val="zh-TW"/>
              </w:rPr>
            </w:pPr>
            <w:r>
              <w:rPr>
                <w:rFonts w:hint="eastAsia" w:ascii="仿宋_GB2312" w:hAnsi="仿宋_GB2312" w:eastAsia="仿宋_GB2312" w:cs="仿宋_GB2312"/>
                <w:b w:val="0"/>
                <w:bCs w:val="0"/>
                <w:kern w:val="2"/>
                <w:sz w:val="30"/>
                <w:szCs w:val="30"/>
                <w:lang w:val="zh-TW"/>
              </w:rPr>
              <w:t>年  月  日</w:t>
            </w:r>
          </w:p>
        </w:tc>
      </w:tr>
    </w:tbl>
    <w:p>
      <w:pPr>
        <w:pStyle w:val="7"/>
        <w:widowControl w:val="0"/>
        <w:spacing w:after="0" w:line="360" w:lineRule="auto"/>
        <w:ind w:firstLine="708" w:firstLineChars="236"/>
        <w:jc w:val="left"/>
        <w:rPr>
          <w:rFonts w:hint="eastAsia" w:ascii="仿宋_GB2312" w:hAnsi="仿宋_GB2312" w:eastAsia="仿宋_GB2312" w:cs="仿宋_GB2312"/>
          <w:b w:val="0"/>
          <w:bCs w:val="0"/>
          <w:kern w:val="2"/>
          <w:sz w:val="30"/>
          <w:szCs w:val="30"/>
          <w:lang w:val="zh-TW" w:eastAsia="zh-TW"/>
        </w:rPr>
      </w:pPr>
    </w:p>
    <w:p>
      <w:pPr>
        <w:pStyle w:val="7"/>
        <w:widowControl w:val="0"/>
        <w:spacing w:after="0" w:line="360" w:lineRule="auto"/>
        <w:jc w:val="left"/>
        <w:rPr>
          <w:rFonts w:hint="eastAsia" w:ascii="仿宋_GB2312" w:hAnsi="仿宋_GB2312" w:eastAsia="仿宋_GB2312" w:cs="仿宋_GB2312"/>
          <w:b w:val="0"/>
          <w:bCs w:val="0"/>
          <w:kern w:val="2"/>
          <w:sz w:val="30"/>
          <w:szCs w:val="30"/>
          <w:lang w:val="zh-TW"/>
        </w:rPr>
        <w:sectPr>
          <w:pgSz w:w="11906" w:h="16838"/>
          <w:pgMar w:top="1440" w:right="1800" w:bottom="1440" w:left="1800" w:header="851" w:footer="992" w:gutter="0"/>
          <w:cols w:space="720" w:num="1"/>
          <w:docGrid w:type="lines" w:linePitch="312" w:charSpace="0"/>
        </w:sectPr>
      </w:pPr>
    </w:p>
    <w:p>
      <w:pPr>
        <w:pStyle w:val="8"/>
        <w:spacing w:line="360" w:lineRule="auto"/>
        <w:jc w:val="left"/>
        <w:rPr>
          <w:rFonts w:hint="eastAsia" w:ascii="仿宋_GB2312" w:hAnsi="仿宋_GB2312" w:eastAsia="仿宋_GB2312" w:cs="仿宋_GB2312"/>
          <w:b w:val="0"/>
          <w:bCs w:val="0"/>
          <w:color w:val="auto"/>
          <w:sz w:val="30"/>
          <w:szCs w:val="30"/>
        </w:rPr>
      </w:pPr>
      <w:r>
        <w:rPr>
          <w:rFonts w:hint="eastAsia" w:ascii="仿宋_GB2312" w:hAnsi="仿宋_GB2312" w:eastAsia="仿宋_GB2312" w:cs="仿宋_GB2312"/>
          <w:b w:val="0"/>
          <w:bCs w:val="0"/>
          <w:color w:val="auto"/>
          <w:sz w:val="30"/>
          <w:szCs w:val="30"/>
          <w:lang w:val="zh-CN"/>
        </w:rPr>
        <w:t>目录</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摘要</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一、 项目基本情况</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（一）项目立项背景</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（二）项目立项依据</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（三）项目实施内容</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（四）项目实施计划及完成情况</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（五）项目的组织及管理</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（六）项目绩效目标</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二、绩效评价工作情况</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(一)评价的目的和依据</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(二)绩效评价工作方案制定过程</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(三)绩效评价原则、评价方法等</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(四)绩效评价实施过程</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(五)绩效评价的局限性</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三、评价结论及绩效分析</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(一)评价结论</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(二)绩效分析</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四、项目主要经验及做法、存在的问题和建议</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(一)主要经验及做法</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(二)存在的问题</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(三)建议和改进措施</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五、附件</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附件一：指标体系</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附件二：基础数据表</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附件三：访谈记录</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附件四：问卷调查分析报告</w:t>
      </w:r>
    </w:p>
    <w:p>
      <w:pPr>
        <w:spacing w:line="360" w:lineRule="auto"/>
        <w:ind w:firstLine="600" w:firstLineChars="200"/>
        <w:jc w:val="left"/>
        <w:rPr>
          <w:rFonts w:hint="eastAsia" w:ascii="仿宋_GB2312" w:hAnsi="仿宋_GB2312" w:eastAsia="仿宋_GB2312" w:cs="仿宋_GB2312"/>
          <w:b w:val="0"/>
          <w:bCs w:val="0"/>
          <w:sz w:val="30"/>
          <w:szCs w:val="30"/>
        </w:rPr>
      </w:pPr>
    </w:p>
    <w:p>
      <w:pPr>
        <w:spacing w:line="360" w:lineRule="auto"/>
        <w:jc w:val="left"/>
        <w:rPr>
          <w:rFonts w:hint="eastAsia" w:ascii="仿宋_GB2312" w:hAnsi="仿宋_GB2312" w:eastAsia="仿宋_GB2312" w:cs="仿宋_GB2312"/>
          <w:b w:val="0"/>
          <w:bCs w:val="0"/>
          <w:sz w:val="30"/>
          <w:szCs w:val="30"/>
        </w:rPr>
      </w:pPr>
    </w:p>
    <w:p>
      <w:pPr>
        <w:spacing w:line="360" w:lineRule="auto"/>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202</w:t>
      </w:r>
      <w:r>
        <w:rPr>
          <w:rFonts w:hint="eastAsia" w:ascii="仿宋_GB2312" w:hAnsi="仿宋_GB2312" w:eastAsia="仿宋_GB2312" w:cs="仿宋_GB2312"/>
          <w:b/>
          <w:bCs/>
          <w:sz w:val="30"/>
          <w:szCs w:val="30"/>
          <w:lang w:val="en-US" w:eastAsia="zh-CN"/>
        </w:rPr>
        <w:t>1</w:t>
      </w:r>
      <w:r>
        <w:rPr>
          <w:rFonts w:hint="eastAsia" w:ascii="仿宋_GB2312" w:hAnsi="仿宋_GB2312" w:eastAsia="仿宋_GB2312" w:cs="仿宋_GB2312"/>
          <w:b/>
          <w:bCs/>
          <w:sz w:val="30"/>
          <w:szCs w:val="30"/>
        </w:rPr>
        <w:t>年盘龙区桥梁安全检测项目支出绩效自评报告</w:t>
      </w:r>
    </w:p>
    <w:p>
      <w:pPr>
        <w:spacing w:line="360" w:lineRule="auto"/>
        <w:ind w:firstLine="600" w:firstLineChars="200"/>
        <w:jc w:val="left"/>
        <w:rPr>
          <w:rFonts w:hint="eastAsia" w:ascii="仿宋_GB2312" w:hAnsi="仿宋_GB2312" w:eastAsia="仿宋_GB2312" w:cs="仿宋_GB2312"/>
          <w:b w:val="0"/>
          <w:bCs w:val="0"/>
          <w:sz w:val="30"/>
          <w:szCs w:val="30"/>
        </w:rPr>
      </w:pP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摘要（1500字以内）</w:t>
      </w:r>
    </w:p>
    <w:p>
      <w:pPr>
        <w:pStyle w:val="9"/>
        <w:spacing w:line="360" w:lineRule="auto"/>
        <w:ind w:firstLine="56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bCs/>
          <w:sz w:val="30"/>
          <w:szCs w:val="30"/>
        </w:rPr>
        <w:t>一、项目概况：</w:t>
      </w:r>
      <w:r>
        <w:rPr>
          <w:rFonts w:hint="eastAsia" w:ascii="仿宋_GB2312" w:hAnsi="仿宋_GB2312" w:eastAsia="仿宋_GB2312" w:cs="仿宋_GB2312"/>
          <w:b w:val="0"/>
          <w:bCs w:val="0"/>
          <w:sz w:val="30"/>
          <w:szCs w:val="30"/>
        </w:rPr>
        <w:t>202</w:t>
      </w:r>
      <w:r>
        <w:rPr>
          <w:rFonts w:hint="eastAsia" w:ascii="仿宋_GB2312" w:hAnsi="仿宋_GB2312" w:eastAsia="仿宋_GB2312" w:cs="仿宋_GB2312"/>
          <w:b w:val="0"/>
          <w:bCs w:val="0"/>
          <w:sz w:val="30"/>
          <w:szCs w:val="30"/>
          <w:lang w:val="en-US" w:eastAsia="zh-CN"/>
        </w:rPr>
        <w:t>1</w:t>
      </w:r>
      <w:r>
        <w:rPr>
          <w:rFonts w:hint="eastAsia" w:ascii="仿宋_GB2312" w:hAnsi="仿宋_GB2312" w:eastAsia="仿宋_GB2312" w:cs="仿宋_GB2312"/>
          <w:b w:val="0"/>
          <w:bCs w:val="0"/>
          <w:sz w:val="30"/>
          <w:szCs w:val="30"/>
        </w:rPr>
        <w:t>年桥梁安全检测为寺瓦立交</w:t>
      </w:r>
      <w:r>
        <w:rPr>
          <w:rFonts w:hint="eastAsia" w:ascii="仿宋_GB2312" w:hAnsi="仿宋_GB2312" w:eastAsia="仿宋_GB2312" w:cs="仿宋_GB2312"/>
          <w:b w:val="0"/>
          <w:bCs w:val="0"/>
          <w:sz w:val="30"/>
          <w:szCs w:val="30"/>
          <w:lang w:val="en-US" w:eastAsia="zh-CN"/>
        </w:rPr>
        <w:t>桥</w:t>
      </w:r>
      <w:r>
        <w:rPr>
          <w:rFonts w:hint="eastAsia" w:ascii="仿宋_GB2312" w:hAnsi="仿宋_GB2312" w:eastAsia="仿宋_GB2312" w:cs="仿宋_GB2312"/>
          <w:b w:val="0"/>
          <w:bCs w:val="0"/>
          <w:sz w:val="30"/>
          <w:szCs w:val="30"/>
        </w:rPr>
        <w:t>、南太桥、霖雨桥（霖雨路）、霖雨桥（拱桥）、昆纺旁人行天桥、</w:t>
      </w:r>
      <w:r>
        <w:rPr>
          <w:rFonts w:hint="eastAsia" w:ascii="仿宋_GB2312" w:hAnsi="仿宋_GB2312" w:eastAsia="仿宋_GB2312" w:cs="仿宋_GB2312"/>
          <w:b w:val="0"/>
          <w:bCs w:val="0"/>
          <w:sz w:val="30"/>
          <w:szCs w:val="30"/>
          <w:lang w:val="en-US" w:eastAsia="zh-CN"/>
        </w:rPr>
        <w:t>凤凰村人行天桥</w:t>
      </w:r>
      <w:r>
        <w:rPr>
          <w:rFonts w:hint="eastAsia" w:ascii="仿宋_GB2312" w:hAnsi="仿宋_GB2312" w:eastAsia="仿宋_GB2312" w:cs="仿宋_GB2312"/>
          <w:b w:val="0"/>
          <w:bCs w:val="0"/>
          <w:sz w:val="30"/>
          <w:szCs w:val="30"/>
        </w:rPr>
        <w:t>、联盟路口人行天桥共</w:t>
      </w:r>
      <w:r>
        <w:rPr>
          <w:rFonts w:hint="eastAsia" w:ascii="仿宋_GB2312" w:hAnsi="仿宋_GB2312" w:eastAsia="仿宋_GB2312" w:cs="仿宋_GB2312"/>
          <w:b w:val="0"/>
          <w:bCs w:val="0"/>
          <w:sz w:val="30"/>
          <w:szCs w:val="30"/>
          <w:lang w:val="en-US" w:eastAsia="zh-CN"/>
        </w:rPr>
        <w:t>7</w:t>
      </w:r>
      <w:r>
        <w:rPr>
          <w:rFonts w:hint="eastAsia" w:ascii="仿宋_GB2312" w:hAnsi="仿宋_GB2312" w:eastAsia="仿宋_GB2312" w:cs="仿宋_GB2312"/>
          <w:b w:val="0"/>
          <w:bCs w:val="0"/>
          <w:sz w:val="30"/>
          <w:szCs w:val="30"/>
        </w:rPr>
        <w:t>座桥梁</w:t>
      </w:r>
      <w:r>
        <w:rPr>
          <w:rFonts w:hint="eastAsia" w:ascii="仿宋_GB2312" w:hAnsi="仿宋_GB2312" w:eastAsia="仿宋_GB2312" w:cs="仿宋_GB2312"/>
          <w:b w:val="0"/>
          <w:bCs w:val="0"/>
          <w:sz w:val="30"/>
          <w:szCs w:val="30"/>
          <w:lang w:val="en-US" w:eastAsia="zh-CN"/>
        </w:rPr>
        <w:t>。</w:t>
      </w:r>
      <w:r>
        <w:rPr>
          <w:rFonts w:hint="eastAsia" w:ascii="仿宋_GB2312" w:hAnsi="仿宋_GB2312" w:eastAsia="仿宋_GB2312" w:cs="仿宋_GB2312"/>
          <w:b w:val="0"/>
          <w:bCs w:val="0"/>
          <w:sz w:val="30"/>
          <w:szCs w:val="30"/>
        </w:rPr>
        <w:t>根据桥梁运行情况及日常巡查情况以达到国家行业标准要求必需逐年进行检测维修加固。由于此地段交通流量大，自建成投入使用以来，交通流量，河流水文变化，气候影响等等均会影响桥梁安全运行，应进行必要的安全检测。</w:t>
      </w:r>
    </w:p>
    <w:p>
      <w:pPr>
        <w:spacing w:line="360" w:lineRule="auto"/>
        <w:ind w:firstLine="602" w:firstLineChars="20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二、评价结论</w:t>
      </w:r>
    </w:p>
    <w:p>
      <w:pPr>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盘龙区202</w:t>
      </w:r>
      <w:r>
        <w:rPr>
          <w:rFonts w:hint="eastAsia" w:ascii="仿宋_GB2312" w:hAnsi="仿宋_GB2312" w:eastAsia="仿宋_GB2312" w:cs="仿宋_GB2312"/>
          <w:b w:val="0"/>
          <w:bCs w:val="0"/>
          <w:sz w:val="30"/>
          <w:szCs w:val="30"/>
          <w:lang w:val="en-US" w:eastAsia="zh-CN"/>
        </w:rPr>
        <w:t>1</w:t>
      </w:r>
      <w:r>
        <w:rPr>
          <w:rFonts w:hint="eastAsia" w:ascii="仿宋_GB2312" w:hAnsi="仿宋_GB2312" w:eastAsia="仿宋_GB2312" w:cs="仿宋_GB2312"/>
          <w:b w:val="0"/>
          <w:bCs w:val="0"/>
          <w:sz w:val="30"/>
          <w:szCs w:val="30"/>
        </w:rPr>
        <w:t>年桥梁安全检测项目（检测报告）编制依据充分，遵循的技术标准、规范和规程适当，检测内容完整，检测方法合理，使用的检测设备仪器符合检测项目要求，数据完整，分析评价合理，结论正确。</w:t>
      </w:r>
    </w:p>
    <w:p>
      <w:pPr>
        <w:spacing w:line="360" w:lineRule="auto"/>
        <w:ind w:firstLine="602" w:firstLineChars="20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三、经验、问题和建议</w:t>
      </w:r>
    </w:p>
    <w:p>
      <w:pPr>
        <w:numPr>
          <w:ilvl w:val="0"/>
          <w:numId w:val="0"/>
        </w:numPr>
        <w:spacing w:line="360" w:lineRule="auto"/>
        <w:ind w:firstLine="602"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bCs/>
          <w:sz w:val="30"/>
          <w:szCs w:val="30"/>
        </w:rPr>
        <w:t>1.主要经验及做法</w:t>
      </w:r>
      <w:r>
        <w:rPr>
          <w:rFonts w:hint="eastAsia" w:ascii="仿宋_GB2312" w:hAnsi="仿宋_GB2312" w:eastAsia="仿宋_GB2312" w:cs="仿宋_GB2312"/>
          <w:b/>
          <w:bCs/>
          <w:sz w:val="30"/>
          <w:szCs w:val="30"/>
          <w:lang w:eastAsia="zh-CN"/>
        </w:rPr>
        <w:t>：</w:t>
      </w:r>
      <w:r>
        <w:rPr>
          <w:rFonts w:hint="eastAsia" w:ascii="仿宋_GB2312" w:hAnsi="仿宋_GB2312" w:eastAsia="仿宋_GB2312" w:cs="仿宋_GB2312"/>
          <w:b w:val="0"/>
          <w:bCs w:val="0"/>
          <w:sz w:val="30"/>
          <w:szCs w:val="30"/>
        </w:rPr>
        <w:t>严格按照国家相关法律法规进行公开招标，确定检测单位。</w:t>
      </w:r>
    </w:p>
    <w:p>
      <w:pPr>
        <w:numPr>
          <w:ilvl w:val="0"/>
          <w:numId w:val="0"/>
        </w:numPr>
        <w:spacing w:line="360" w:lineRule="auto"/>
        <w:ind w:firstLine="602"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bCs/>
          <w:sz w:val="30"/>
          <w:szCs w:val="30"/>
          <w:lang w:val="en-US" w:eastAsia="zh-CN"/>
        </w:rPr>
        <w:t>2.</w:t>
      </w:r>
      <w:r>
        <w:rPr>
          <w:rFonts w:hint="eastAsia" w:ascii="仿宋_GB2312" w:hAnsi="仿宋_GB2312" w:eastAsia="仿宋_GB2312" w:cs="仿宋_GB2312"/>
          <w:b/>
          <w:bCs/>
          <w:sz w:val="30"/>
          <w:szCs w:val="30"/>
        </w:rPr>
        <w:t>存在的问题</w:t>
      </w:r>
      <w:r>
        <w:rPr>
          <w:rFonts w:hint="eastAsia" w:ascii="仿宋_GB2312" w:hAnsi="仿宋_GB2312" w:eastAsia="仿宋_GB2312" w:cs="仿宋_GB2312"/>
          <w:b/>
          <w:bCs/>
          <w:sz w:val="30"/>
          <w:szCs w:val="30"/>
          <w:lang w:eastAsia="zh-CN"/>
        </w:rPr>
        <w:t>：</w:t>
      </w:r>
      <w:r>
        <w:rPr>
          <w:rFonts w:hint="eastAsia" w:ascii="仿宋_GB2312" w:hAnsi="仿宋_GB2312" w:eastAsia="仿宋_GB2312" w:cs="仿宋_GB2312"/>
          <w:b w:val="0"/>
          <w:bCs w:val="0"/>
          <w:sz w:val="30"/>
          <w:szCs w:val="30"/>
        </w:rPr>
        <w:t>加强前期巡查力度，逐步完善基础数据，制定更加合理的年度检测计划。</w:t>
      </w:r>
    </w:p>
    <w:p>
      <w:pPr>
        <w:spacing w:line="360" w:lineRule="auto"/>
        <w:ind w:firstLine="602"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bCs/>
          <w:sz w:val="30"/>
          <w:szCs w:val="30"/>
        </w:rPr>
        <w:t>3.改进措施及建议</w:t>
      </w:r>
      <w:r>
        <w:rPr>
          <w:rFonts w:hint="eastAsia" w:ascii="仿宋_GB2312" w:hAnsi="仿宋_GB2312" w:eastAsia="仿宋_GB2312" w:cs="仿宋_GB2312"/>
          <w:b/>
          <w:bCs/>
          <w:sz w:val="30"/>
          <w:szCs w:val="30"/>
          <w:lang w:eastAsia="zh-CN"/>
        </w:rPr>
        <w:t>：</w:t>
      </w:r>
      <w:r>
        <w:rPr>
          <w:rFonts w:hint="eastAsia" w:ascii="仿宋_GB2312" w:hAnsi="仿宋_GB2312" w:eastAsia="仿宋_GB2312" w:cs="仿宋_GB2312"/>
          <w:b w:val="0"/>
          <w:bCs w:val="0"/>
          <w:sz w:val="30"/>
          <w:szCs w:val="30"/>
        </w:rPr>
        <w:t>合理计划招标及检测时间，避开不利于工作开展的雨季，确保检测效果的有效性，因地制宜制定科学养护计划，保障桥梁设施安全运营。</w:t>
      </w:r>
    </w:p>
    <w:p>
      <w:pPr>
        <w:spacing w:line="360" w:lineRule="auto"/>
        <w:ind w:firstLine="602" w:firstLineChars="200"/>
        <w:jc w:val="left"/>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正文</w:t>
      </w:r>
    </w:p>
    <w:p>
      <w:pPr>
        <w:spacing w:line="360" w:lineRule="auto"/>
        <w:ind w:firstLine="602" w:firstLineChars="200"/>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lang w:val="en-US" w:eastAsia="zh-CN"/>
        </w:rPr>
        <w:t>2021年桥梁安全检测</w:t>
      </w:r>
      <w:r>
        <w:rPr>
          <w:rFonts w:hint="eastAsia" w:ascii="仿宋_GB2312" w:hAnsi="仿宋_GB2312" w:eastAsia="仿宋_GB2312" w:cs="仿宋_GB2312"/>
          <w:b/>
          <w:bCs/>
          <w:sz w:val="30"/>
          <w:szCs w:val="30"/>
        </w:rPr>
        <w:t>项目支出绩效自评报告</w:t>
      </w:r>
    </w:p>
    <w:p>
      <w:pPr>
        <w:topLinePunct/>
        <w:spacing w:line="360" w:lineRule="auto"/>
        <w:ind w:firstLine="753" w:firstLineChars="25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一、项目基本情况</w:t>
      </w:r>
    </w:p>
    <w:p>
      <w:pPr>
        <w:topLinePunct/>
        <w:spacing w:line="360" w:lineRule="auto"/>
        <w:ind w:firstLine="753" w:firstLineChars="25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（一）项目概况</w:t>
      </w:r>
    </w:p>
    <w:p>
      <w:pPr>
        <w:pStyle w:val="9"/>
        <w:spacing w:line="360" w:lineRule="auto"/>
        <w:ind w:firstLine="560"/>
        <w:jc w:val="left"/>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bCs/>
          <w:sz w:val="30"/>
          <w:szCs w:val="30"/>
        </w:rPr>
        <w:t>1.立项背景及目的。</w:t>
      </w:r>
      <w:r>
        <w:rPr>
          <w:rFonts w:hint="eastAsia" w:ascii="仿宋_GB2312" w:hAnsi="仿宋_GB2312" w:eastAsia="仿宋_GB2312" w:cs="仿宋_GB2312"/>
          <w:b w:val="0"/>
          <w:bCs w:val="0"/>
          <w:sz w:val="30"/>
          <w:szCs w:val="30"/>
        </w:rPr>
        <w:t>为保障城市桥梁的安全运行，杜绝安全事故发生，消除事故隐患，</w:t>
      </w:r>
      <w:r>
        <w:rPr>
          <w:rFonts w:hint="eastAsia" w:ascii="仿宋_GB2312" w:hAnsi="仿宋_GB2312" w:eastAsia="仿宋_GB2312" w:cs="仿宋_GB2312"/>
          <w:b w:val="0"/>
          <w:bCs w:val="0"/>
          <w:color w:val="000000"/>
          <w:sz w:val="30"/>
          <w:szCs w:val="30"/>
          <w:shd w:val="clear" w:color="auto" w:fill="FFFFFF"/>
        </w:rPr>
        <w:t>《城市桥梁养护技术规范》（CJJ 99-2017）、（住房建设部公告第1618号于2018年2月1日起实施的行业标准）之4.3.1：定期检测分为常规检测和结构性检测，常规检测应每年一次，可根据城市桥梁实际运营状态和结构类型、周边环境等适当增加检测次数。结构定期检测应在规定的时间间隔进行，</w:t>
      </w:r>
      <w:r>
        <w:rPr>
          <w:rFonts w:hint="eastAsia" w:ascii="仿宋_GB2312" w:hAnsi="仿宋_GB2312" w:eastAsia="仿宋_GB2312" w:cs="仿宋_GB2312"/>
          <w:b w:val="0"/>
          <w:bCs w:val="0"/>
          <w:sz w:val="30"/>
          <w:szCs w:val="30"/>
        </w:rPr>
        <w:t>Ⅰ类养护的城市桥梁宜为3--5年，关键部位可设仪器监控测试；Ⅱ---Ⅴ类城市桥梁间隔期宜为6--10年。《城市桥梁检测与评定技术规范》（</w:t>
      </w:r>
      <w:r>
        <w:rPr>
          <w:rFonts w:hint="eastAsia" w:ascii="仿宋_GB2312" w:hAnsi="仿宋_GB2312" w:eastAsia="仿宋_GB2312" w:cs="仿宋_GB2312"/>
          <w:b w:val="0"/>
          <w:bCs w:val="0"/>
          <w:color w:val="000000"/>
          <w:sz w:val="30"/>
          <w:szCs w:val="30"/>
          <w:shd w:val="clear" w:color="auto" w:fill="FFFFFF"/>
        </w:rPr>
        <w:t>CJJ/T 233-2015）（住房建设部公告第918号于2016年5月1日起实施的行业标准）</w:t>
      </w:r>
      <w:r>
        <w:rPr>
          <w:rFonts w:hint="eastAsia" w:ascii="仿宋_GB2312" w:hAnsi="仿宋_GB2312" w:eastAsia="仿宋_GB2312" w:cs="仿宋_GB2312"/>
          <w:b w:val="0"/>
          <w:bCs w:val="0"/>
          <w:sz w:val="30"/>
          <w:szCs w:val="30"/>
        </w:rPr>
        <w:t>结合我处所辖城市桥梁的实际情况与检测周期。我处202</w:t>
      </w:r>
      <w:r>
        <w:rPr>
          <w:rFonts w:hint="eastAsia" w:ascii="仿宋_GB2312" w:hAnsi="仿宋_GB2312" w:eastAsia="仿宋_GB2312" w:cs="仿宋_GB2312"/>
          <w:b w:val="0"/>
          <w:bCs w:val="0"/>
          <w:sz w:val="30"/>
          <w:szCs w:val="30"/>
          <w:lang w:val="en-US" w:eastAsia="zh-CN"/>
        </w:rPr>
        <w:t>1</w:t>
      </w:r>
      <w:r>
        <w:rPr>
          <w:rFonts w:hint="eastAsia" w:ascii="仿宋_GB2312" w:hAnsi="仿宋_GB2312" w:eastAsia="仿宋_GB2312" w:cs="仿宋_GB2312"/>
          <w:b w:val="0"/>
          <w:bCs w:val="0"/>
          <w:sz w:val="30"/>
          <w:szCs w:val="30"/>
        </w:rPr>
        <w:t>年寺瓦立交</w:t>
      </w:r>
      <w:r>
        <w:rPr>
          <w:rFonts w:hint="eastAsia" w:ascii="仿宋_GB2312" w:hAnsi="仿宋_GB2312" w:eastAsia="仿宋_GB2312" w:cs="仿宋_GB2312"/>
          <w:b w:val="0"/>
          <w:bCs w:val="0"/>
          <w:sz w:val="30"/>
          <w:szCs w:val="30"/>
          <w:lang w:val="en-US" w:eastAsia="zh-CN"/>
        </w:rPr>
        <w:t>桥</w:t>
      </w:r>
      <w:r>
        <w:rPr>
          <w:rFonts w:hint="eastAsia" w:ascii="仿宋_GB2312" w:hAnsi="仿宋_GB2312" w:eastAsia="仿宋_GB2312" w:cs="仿宋_GB2312"/>
          <w:b w:val="0"/>
          <w:bCs w:val="0"/>
          <w:sz w:val="30"/>
          <w:szCs w:val="30"/>
        </w:rPr>
        <w:t>、南太桥、霖雨桥（霖雨路）、霖雨桥（拱桥）、昆纺旁人行天桥、</w:t>
      </w:r>
      <w:r>
        <w:rPr>
          <w:rFonts w:hint="eastAsia" w:ascii="仿宋_GB2312" w:hAnsi="仿宋_GB2312" w:eastAsia="仿宋_GB2312" w:cs="仿宋_GB2312"/>
          <w:b w:val="0"/>
          <w:bCs w:val="0"/>
          <w:sz w:val="30"/>
          <w:szCs w:val="30"/>
          <w:lang w:val="en-US" w:eastAsia="zh-CN"/>
        </w:rPr>
        <w:t>凤凰村人行天桥</w:t>
      </w:r>
      <w:r>
        <w:rPr>
          <w:rFonts w:hint="eastAsia" w:ascii="仿宋_GB2312" w:hAnsi="仿宋_GB2312" w:eastAsia="仿宋_GB2312" w:cs="仿宋_GB2312"/>
          <w:b w:val="0"/>
          <w:bCs w:val="0"/>
          <w:sz w:val="30"/>
          <w:szCs w:val="30"/>
        </w:rPr>
        <w:t>、联盟路口人行天桥共</w:t>
      </w:r>
      <w:r>
        <w:rPr>
          <w:rFonts w:hint="eastAsia" w:ascii="仿宋_GB2312" w:hAnsi="仿宋_GB2312" w:eastAsia="仿宋_GB2312" w:cs="仿宋_GB2312"/>
          <w:b w:val="0"/>
          <w:bCs w:val="0"/>
          <w:sz w:val="30"/>
          <w:szCs w:val="30"/>
          <w:lang w:val="en-US" w:eastAsia="zh-CN"/>
        </w:rPr>
        <w:t>7</w:t>
      </w:r>
      <w:r>
        <w:rPr>
          <w:rFonts w:hint="eastAsia" w:ascii="仿宋_GB2312" w:hAnsi="仿宋_GB2312" w:eastAsia="仿宋_GB2312" w:cs="仿宋_GB2312"/>
          <w:b w:val="0"/>
          <w:bCs w:val="0"/>
          <w:sz w:val="30"/>
          <w:szCs w:val="30"/>
        </w:rPr>
        <w:t>座桥梁</w:t>
      </w:r>
      <w:r>
        <w:rPr>
          <w:rFonts w:hint="eastAsia" w:ascii="仿宋_GB2312" w:hAnsi="仿宋_GB2312" w:eastAsia="仿宋_GB2312" w:cs="仿宋_GB2312"/>
          <w:b w:val="0"/>
          <w:bCs w:val="0"/>
          <w:sz w:val="30"/>
          <w:szCs w:val="30"/>
          <w:lang w:val="en-US" w:eastAsia="zh-CN"/>
        </w:rPr>
        <w:t>。</w:t>
      </w:r>
    </w:p>
    <w:p>
      <w:pPr>
        <w:adjustRightInd w:val="0"/>
        <w:snapToGrid w:val="0"/>
        <w:spacing w:line="360" w:lineRule="auto"/>
        <w:ind w:firstLine="600" w:firstLineChars="200"/>
        <w:jc w:val="left"/>
        <w:rPr>
          <w:rFonts w:hint="eastAsia" w:ascii="仿宋_GB2312" w:hAnsi="仿宋_GB2312" w:eastAsia="仿宋_GB2312" w:cs="仿宋_GB2312"/>
          <w:b w:val="0"/>
          <w:bCs w:val="0"/>
          <w:sz w:val="30"/>
          <w:szCs w:val="30"/>
          <w:lang w:eastAsia="zh-CN"/>
        </w:rPr>
      </w:pPr>
      <w:r>
        <w:rPr>
          <w:rFonts w:hint="eastAsia" w:ascii="仿宋_GB2312" w:hAnsi="仿宋_GB2312" w:eastAsia="仿宋_GB2312" w:cs="仿宋_GB2312"/>
          <w:b w:val="0"/>
          <w:bCs w:val="0"/>
          <w:sz w:val="30"/>
          <w:szCs w:val="30"/>
        </w:rPr>
        <w:t>根据桥梁运行情况及日常巡查情况以达到国家行业标准要求必需逐年进行检测维修加固。由于此地段交通流量大，自建成投入使用以来，交通流量，河流水文变化，气候影响等等均会影响桥梁安全运行，应进行必要的安全检测</w:t>
      </w:r>
      <w:r>
        <w:rPr>
          <w:rFonts w:hint="eastAsia" w:ascii="仿宋_GB2312" w:hAnsi="仿宋_GB2312" w:eastAsia="仿宋_GB2312" w:cs="仿宋_GB2312"/>
          <w:b w:val="0"/>
          <w:bCs w:val="0"/>
          <w:sz w:val="30"/>
          <w:szCs w:val="30"/>
          <w:lang w:eastAsia="zh-CN"/>
        </w:rPr>
        <w:t>。</w:t>
      </w:r>
    </w:p>
    <w:p>
      <w:pPr>
        <w:spacing w:line="360" w:lineRule="auto"/>
        <w:ind w:firstLine="602"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bCs/>
          <w:sz w:val="30"/>
          <w:szCs w:val="30"/>
        </w:rPr>
        <w:t>2.项目实施情况。</w:t>
      </w:r>
      <w:r>
        <w:rPr>
          <w:rFonts w:hint="eastAsia" w:ascii="仿宋_GB2312" w:hAnsi="仿宋_GB2312" w:eastAsia="仿宋_GB2312" w:cs="仿宋_GB2312"/>
          <w:b w:val="0"/>
          <w:bCs w:val="0"/>
          <w:sz w:val="30"/>
          <w:szCs w:val="30"/>
        </w:rPr>
        <w:t>科学合理的进行桥梁安全检测是确保桥梁安全使用，及早发现桥梁病害及异常情况，为桥梁日常维修养护提供科学依据，以便适时对运行桥梁设施进行加固维修，延长桥梁使用寿命，提高桥梁承载力确保桥梁安全运行。为正确高效使用政府资金，提高投资环境，提升城市品质，保障人民安全出行，杜绝安全事故发生，维护社会稳定密不可分。通过对桥梁的使用状况、缺陷情况的现场检查，明确桥梁缺陷的性质、部位、严重程度和发展趋势，综合评估所检桥梁及各部件当前的技术状况，掌握桥梁状况的变化情况，材质状况及状态参数，为桥梁加固设计提供技术支撑，为桥梁科学管理和提高养护水平积累技术资料，建立和健全完备的桥梁技术档案。</w:t>
      </w:r>
    </w:p>
    <w:p>
      <w:pPr>
        <w:numPr>
          <w:ilvl w:val="0"/>
          <w:numId w:val="1"/>
        </w:numPr>
        <w:spacing w:line="360" w:lineRule="auto"/>
        <w:ind w:left="295" w:leftChars="134" w:firstLine="602" w:firstLineChars="20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资金来源及使用情况。</w:t>
      </w:r>
    </w:p>
    <w:p>
      <w:pPr>
        <w:numPr>
          <w:ilvl w:val="0"/>
          <w:numId w:val="0"/>
        </w:numPr>
        <w:spacing w:line="360" w:lineRule="auto"/>
        <w:ind w:firstLine="602" w:firstLineChars="20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lang w:eastAsia="zh-CN"/>
        </w:rPr>
        <w:t>（</w:t>
      </w:r>
      <w:r>
        <w:rPr>
          <w:rFonts w:hint="eastAsia" w:ascii="仿宋_GB2312" w:hAnsi="仿宋_GB2312" w:eastAsia="仿宋_GB2312" w:cs="仿宋_GB2312"/>
          <w:b/>
          <w:bCs/>
          <w:sz w:val="30"/>
          <w:szCs w:val="30"/>
          <w:lang w:val="en-US" w:eastAsia="zh-CN"/>
        </w:rPr>
        <w:t>1</w:t>
      </w:r>
      <w:r>
        <w:rPr>
          <w:rFonts w:hint="eastAsia" w:ascii="仿宋_GB2312" w:hAnsi="仿宋_GB2312" w:eastAsia="仿宋_GB2312" w:cs="仿宋_GB2312"/>
          <w:b/>
          <w:bCs/>
          <w:sz w:val="30"/>
          <w:szCs w:val="30"/>
          <w:lang w:eastAsia="zh-CN"/>
        </w:rPr>
        <w:t>）</w:t>
      </w:r>
      <w:r>
        <w:rPr>
          <w:rFonts w:hint="eastAsia" w:ascii="仿宋_GB2312" w:hAnsi="仿宋_GB2312" w:eastAsia="仿宋_GB2312" w:cs="仿宋_GB2312"/>
          <w:b/>
          <w:bCs/>
          <w:sz w:val="30"/>
          <w:szCs w:val="30"/>
        </w:rPr>
        <w:t>资金来源：财政拨款</w:t>
      </w:r>
    </w:p>
    <w:p>
      <w:pPr>
        <w:topLinePunct/>
        <w:spacing w:line="360" w:lineRule="auto"/>
        <w:ind w:firstLine="753" w:firstLineChars="25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bCs/>
          <w:sz w:val="30"/>
          <w:szCs w:val="30"/>
          <w:lang w:eastAsia="zh-CN"/>
        </w:rPr>
        <w:t>（</w:t>
      </w:r>
      <w:r>
        <w:rPr>
          <w:rFonts w:hint="eastAsia" w:ascii="仿宋_GB2312" w:hAnsi="仿宋_GB2312" w:eastAsia="仿宋_GB2312" w:cs="仿宋_GB2312"/>
          <w:b/>
          <w:bCs/>
          <w:sz w:val="30"/>
          <w:szCs w:val="30"/>
          <w:lang w:val="en-US" w:eastAsia="zh-CN"/>
        </w:rPr>
        <w:t>2</w:t>
      </w:r>
      <w:r>
        <w:rPr>
          <w:rFonts w:hint="eastAsia" w:ascii="仿宋_GB2312" w:hAnsi="仿宋_GB2312" w:eastAsia="仿宋_GB2312" w:cs="仿宋_GB2312"/>
          <w:b/>
          <w:bCs/>
          <w:sz w:val="30"/>
          <w:szCs w:val="30"/>
          <w:lang w:eastAsia="zh-CN"/>
        </w:rPr>
        <w:t>）</w:t>
      </w:r>
      <w:r>
        <w:rPr>
          <w:rFonts w:hint="eastAsia" w:ascii="仿宋_GB2312" w:hAnsi="仿宋_GB2312" w:eastAsia="仿宋_GB2312" w:cs="仿宋_GB2312"/>
          <w:b/>
          <w:bCs/>
          <w:sz w:val="30"/>
          <w:szCs w:val="30"/>
        </w:rPr>
        <w:t>使用情况：</w:t>
      </w:r>
      <w:r>
        <w:rPr>
          <w:rFonts w:hint="eastAsia" w:ascii="仿宋_GB2312" w:hAnsi="仿宋_GB2312" w:eastAsia="仿宋_GB2312" w:cs="仿宋_GB2312"/>
          <w:b w:val="0"/>
          <w:bCs w:val="0"/>
          <w:sz w:val="30"/>
          <w:szCs w:val="30"/>
        </w:rPr>
        <w:t>寺瓦立交等</w:t>
      </w:r>
      <w:r>
        <w:rPr>
          <w:rFonts w:hint="eastAsia" w:ascii="仿宋_GB2312" w:hAnsi="仿宋_GB2312" w:eastAsia="仿宋_GB2312" w:cs="仿宋_GB2312"/>
          <w:b w:val="0"/>
          <w:bCs w:val="0"/>
          <w:sz w:val="30"/>
          <w:szCs w:val="30"/>
          <w:lang w:val="en-US" w:eastAsia="zh-CN"/>
        </w:rPr>
        <w:t>7</w:t>
      </w:r>
      <w:r>
        <w:rPr>
          <w:rFonts w:hint="eastAsia" w:ascii="仿宋_GB2312" w:hAnsi="仿宋_GB2312" w:eastAsia="仿宋_GB2312" w:cs="仿宋_GB2312"/>
          <w:b w:val="0"/>
          <w:bCs w:val="0"/>
          <w:sz w:val="30"/>
          <w:szCs w:val="30"/>
        </w:rPr>
        <w:t>座桥梁2021年的检测项目款项支付如下：</w:t>
      </w:r>
      <w:r>
        <w:rPr>
          <w:rFonts w:hint="eastAsia" w:ascii="仿宋_GB2312" w:hAnsi="仿宋_GB2312" w:eastAsia="仿宋_GB2312" w:cs="仿宋_GB2312"/>
          <w:b w:val="0"/>
          <w:bCs w:val="0"/>
          <w:sz w:val="30"/>
          <w:szCs w:val="30"/>
          <w:lang w:val="en-US" w:eastAsia="zh-CN"/>
        </w:rPr>
        <w:t>第一次合同签订后10日内支付合同价款的</w:t>
      </w:r>
      <w:r>
        <w:rPr>
          <w:rFonts w:hint="eastAsia" w:ascii="仿宋_GB2312" w:hAnsi="仿宋_GB2312" w:eastAsia="仿宋_GB2312" w:cs="仿宋_GB2312"/>
          <w:b w:val="0"/>
          <w:bCs w:val="0"/>
          <w:sz w:val="30"/>
          <w:szCs w:val="30"/>
        </w:rPr>
        <w:t>30%</w:t>
      </w:r>
      <w:r>
        <w:rPr>
          <w:rFonts w:hint="eastAsia" w:ascii="仿宋_GB2312" w:hAnsi="仿宋_GB2312" w:eastAsia="仿宋_GB2312" w:cs="仿宋_GB2312"/>
          <w:b w:val="0"/>
          <w:bCs w:val="0"/>
          <w:sz w:val="30"/>
          <w:szCs w:val="30"/>
          <w:lang w:eastAsia="zh-CN"/>
        </w:rPr>
        <w:t>，</w:t>
      </w:r>
      <w:r>
        <w:rPr>
          <w:rFonts w:hint="eastAsia" w:ascii="仿宋_GB2312" w:hAnsi="仿宋_GB2312" w:eastAsia="仿宋_GB2312" w:cs="仿宋_GB2312"/>
          <w:b w:val="0"/>
          <w:bCs w:val="0"/>
          <w:sz w:val="30"/>
          <w:szCs w:val="30"/>
          <w:lang w:val="en-US" w:eastAsia="zh-CN"/>
        </w:rPr>
        <w:t>即291000.00元；第二次完成检测工作通过专家评审后10日内支付合同价款的3</w:t>
      </w:r>
      <w:r>
        <w:rPr>
          <w:rFonts w:hint="eastAsia" w:ascii="仿宋_GB2312" w:hAnsi="仿宋_GB2312" w:eastAsia="仿宋_GB2312" w:cs="仿宋_GB2312"/>
          <w:b w:val="0"/>
          <w:bCs w:val="0"/>
          <w:sz w:val="30"/>
          <w:szCs w:val="30"/>
        </w:rPr>
        <w:t>0%</w:t>
      </w:r>
      <w:r>
        <w:rPr>
          <w:rFonts w:hint="eastAsia" w:ascii="仿宋_GB2312" w:hAnsi="仿宋_GB2312" w:eastAsia="仿宋_GB2312" w:cs="仿宋_GB2312"/>
          <w:b w:val="0"/>
          <w:bCs w:val="0"/>
          <w:sz w:val="30"/>
          <w:szCs w:val="30"/>
          <w:lang w:eastAsia="zh-CN"/>
        </w:rPr>
        <w:t>，</w:t>
      </w:r>
      <w:r>
        <w:rPr>
          <w:rFonts w:hint="eastAsia" w:ascii="仿宋_GB2312" w:hAnsi="仿宋_GB2312" w:eastAsia="仿宋_GB2312" w:cs="仿宋_GB2312"/>
          <w:b w:val="0"/>
          <w:bCs w:val="0"/>
          <w:sz w:val="30"/>
          <w:szCs w:val="30"/>
          <w:lang w:val="en-US" w:eastAsia="zh-CN"/>
        </w:rPr>
        <w:t>即291000.00元；第三次根据专家评审意见修改并提交正式检测报告后10日内支付合同价款的4</w:t>
      </w:r>
      <w:r>
        <w:rPr>
          <w:rFonts w:hint="eastAsia" w:ascii="仿宋_GB2312" w:hAnsi="仿宋_GB2312" w:eastAsia="仿宋_GB2312" w:cs="仿宋_GB2312"/>
          <w:b w:val="0"/>
          <w:bCs w:val="0"/>
          <w:sz w:val="30"/>
          <w:szCs w:val="30"/>
        </w:rPr>
        <w:t>0%</w:t>
      </w:r>
      <w:r>
        <w:rPr>
          <w:rFonts w:hint="eastAsia" w:ascii="仿宋_GB2312" w:hAnsi="仿宋_GB2312" w:eastAsia="仿宋_GB2312" w:cs="仿宋_GB2312"/>
          <w:b w:val="0"/>
          <w:bCs w:val="0"/>
          <w:sz w:val="30"/>
          <w:szCs w:val="30"/>
          <w:lang w:eastAsia="zh-CN"/>
        </w:rPr>
        <w:t>，</w:t>
      </w:r>
      <w:r>
        <w:rPr>
          <w:rFonts w:hint="eastAsia" w:ascii="仿宋_GB2312" w:hAnsi="仿宋_GB2312" w:eastAsia="仿宋_GB2312" w:cs="仿宋_GB2312"/>
          <w:b w:val="0"/>
          <w:bCs w:val="0"/>
          <w:sz w:val="30"/>
          <w:szCs w:val="30"/>
          <w:lang w:val="en-US" w:eastAsia="zh-CN"/>
        </w:rPr>
        <w:t>即388000.00元</w:t>
      </w:r>
      <w:r>
        <w:rPr>
          <w:rFonts w:hint="eastAsia" w:ascii="仿宋_GB2312" w:hAnsi="仿宋_GB2312" w:eastAsia="仿宋_GB2312" w:cs="仿宋_GB2312"/>
          <w:b w:val="0"/>
          <w:bCs w:val="0"/>
          <w:sz w:val="30"/>
          <w:szCs w:val="30"/>
        </w:rPr>
        <w:t>。</w:t>
      </w:r>
    </w:p>
    <w:p>
      <w:pPr>
        <w:topLinePunct/>
        <w:spacing w:line="360" w:lineRule="auto"/>
        <w:ind w:firstLine="753" w:firstLineChars="25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4.组织及管理情况。</w:t>
      </w:r>
    </w:p>
    <w:p>
      <w:pPr>
        <w:spacing w:line="360" w:lineRule="auto"/>
        <w:ind w:firstLine="602"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bCs/>
          <w:sz w:val="30"/>
          <w:szCs w:val="30"/>
        </w:rPr>
        <w:t>项目组织情况</w:t>
      </w:r>
      <w:r>
        <w:rPr>
          <w:rFonts w:hint="eastAsia" w:ascii="仿宋_GB2312" w:hAnsi="仿宋_GB2312" w:eastAsia="仿宋_GB2312" w:cs="仿宋_GB2312"/>
          <w:b/>
          <w:bCs/>
          <w:sz w:val="30"/>
          <w:szCs w:val="30"/>
          <w:lang w:eastAsia="zh-CN"/>
        </w:rPr>
        <w:t>：</w:t>
      </w:r>
      <w:r>
        <w:rPr>
          <w:rFonts w:hint="eastAsia" w:ascii="仿宋_GB2312" w:hAnsi="仿宋_GB2312" w:eastAsia="仿宋_GB2312" w:cs="仿宋_GB2312"/>
          <w:b w:val="0"/>
          <w:bCs w:val="0"/>
          <w:sz w:val="30"/>
          <w:szCs w:val="30"/>
        </w:rPr>
        <w:t xml:space="preserve"> 202</w:t>
      </w:r>
      <w:r>
        <w:rPr>
          <w:rFonts w:hint="eastAsia" w:ascii="仿宋_GB2312" w:hAnsi="仿宋_GB2312" w:eastAsia="仿宋_GB2312" w:cs="仿宋_GB2312"/>
          <w:b w:val="0"/>
          <w:bCs w:val="0"/>
          <w:sz w:val="30"/>
          <w:szCs w:val="30"/>
          <w:lang w:val="en-US" w:eastAsia="zh-CN"/>
        </w:rPr>
        <w:t>1</w:t>
      </w:r>
      <w:r>
        <w:rPr>
          <w:rFonts w:hint="eastAsia" w:ascii="仿宋_GB2312" w:hAnsi="仿宋_GB2312" w:eastAsia="仿宋_GB2312" w:cs="仿宋_GB2312"/>
          <w:b w:val="0"/>
          <w:bCs w:val="0"/>
          <w:sz w:val="30"/>
          <w:szCs w:val="30"/>
        </w:rPr>
        <w:t>年盘龙区桥梁安全检测项目严格按照招投标程序进行， 确定中标单位后，积极与检测单位精心准备，查找资料，协调相关单位，严格按照招标文件中工程量要求进行外业数据采集，我处对全过程全程跟踪，确保各项工作单位。</w:t>
      </w:r>
    </w:p>
    <w:p>
      <w:pPr>
        <w:topLinePunct/>
        <w:spacing w:line="360" w:lineRule="auto"/>
        <w:ind w:firstLine="750" w:firstLineChars="250"/>
        <w:jc w:val="left"/>
        <w:rPr>
          <w:rFonts w:hint="eastAsia" w:ascii="仿宋_GB2312" w:hAnsi="仿宋_GB2312" w:eastAsia="仿宋_GB2312" w:cs="仿宋_GB2312"/>
          <w:b w:val="0"/>
          <w:bCs w:val="0"/>
          <w:sz w:val="30"/>
          <w:szCs w:val="30"/>
          <w:lang w:eastAsia="zh-CN"/>
        </w:rPr>
      </w:pPr>
    </w:p>
    <w:p>
      <w:pPr>
        <w:spacing w:line="360" w:lineRule="auto"/>
        <w:ind w:firstLine="602" w:firstLineChars="200"/>
        <w:jc w:val="left"/>
        <w:rPr>
          <w:rFonts w:hint="eastAsia" w:ascii="仿宋_GB2312" w:hAnsi="仿宋_GB2312" w:eastAsia="仿宋_GB2312" w:cs="仿宋_GB2312"/>
          <w:b w:val="0"/>
          <w:bCs w:val="0"/>
          <w:color w:val="auto"/>
          <w:sz w:val="30"/>
          <w:szCs w:val="30"/>
        </w:rPr>
      </w:pPr>
      <w:r>
        <w:rPr>
          <w:rFonts w:hint="eastAsia" w:ascii="仿宋_GB2312" w:hAnsi="仿宋_GB2312" w:eastAsia="仿宋_GB2312" w:cs="仿宋_GB2312"/>
          <w:b/>
          <w:bCs/>
          <w:sz w:val="30"/>
          <w:szCs w:val="30"/>
        </w:rPr>
        <w:t>项目实施流程</w:t>
      </w:r>
      <w:r>
        <w:rPr>
          <w:rFonts w:hint="eastAsia" w:ascii="仿宋_GB2312" w:hAnsi="仿宋_GB2312" w:eastAsia="仿宋_GB2312" w:cs="仿宋_GB2312"/>
          <w:b/>
          <w:bCs/>
          <w:sz w:val="30"/>
          <w:szCs w:val="30"/>
          <w:lang w:eastAsia="zh-CN"/>
        </w:rPr>
        <w:t>：</w:t>
      </w:r>
      <w:r>
        <w:rPr>
          <w:rFonts w:hint="eastAsia" w:ascii="仿宋_GB2312" w:hAnsi="仿宋_GB2312" w:eastAsia="仿宋_GB2312" w:cs="仿宋_GB2312"/>
          <w:b w:val="0"/>
          <w:bCs w:val="0"/>
          <w:color w:val="auto"/>
          <w:sz w:val="30"/>
          <w:szCs w:val="30"/>
        </w:rPr>
        <w:t>年初开始安排工作，避开雨季进行外业施工保障安全，10月完成检测报告提交及相关款项支付。</w:t>
      </w:r>
    </w:p>
    <w:p>
      <w:pPr>
        <w:spacing w:line="360" w:lineRule="auto"/>
        <w:ind w:firstLine="600" w:firstLineChars="200"/>
        <w:jc w:val="left"/>
        <w:rPr>
          <w:rFonts w:hint="eastAsia" w:ascii="仿宋_GB2312" w:hAnsi="仿宋_GB2312" w:eastAsia="仿宋_GB2312" w:cs="仿宋_GB2312"/>
          <w:b w:val="0"/>
          <w:bCs w:val="0"/>
          <w:color w:val="auto"/>
          <w:sz w:val="30"/>
          <w:szCs w:val="30"/>
        </w:rPr>
      </w:pPr>
      <w:r>
        <w:rPr>
          <w:rFonts w:hint="eastAsia" w:ascii="仿宋_GB2312" w:hAnsi="仿宋_GB2312" w:eastAsia="仿宋_GB2312" w:cs="仿宋_GB2312"/>
          <w:b w:val="0"/>
          <w:bCs w:val="0"/>
          <w:color w:val="auto"/>
          <w:sz w:val="30"/>
          <w:szCs w:val="30"/>
        </w:rPr>
        <w:t>202</w:t>
      </w:r>
      <w:r>
        <w:rPr>
          <w:rFonts w:hint="eastAsia" w:ascii="仿宋_GB2312" w:hAnsi="仿宋_GB2312" w:eastAsia="仿宋_GB2312" w:cs="仿宋_GB2312"/>
          <w:b w:val="0"/>
          <w:bCs w:val="0"/>
          <w:color w:val="auto"/>
          <w:sz w:val="30"/>
          <w:szCs w:val="30"/>
          <w:lang w:val="en-US" w:eastAsia="zh-CN"/>
        </w:rPr>
        <w:t>1</w:t>
      </w:r>
      <w:r>
        <w:rPr>
          <w:rFonts w:hint="eastAsia" w:ascii="仿宋_GB2312" w:hAnsi="仿宋_GB2312" w:eastAsia="仿宋_GB2312" w:cs="仿宋_GB2312"/>
          <w:b w:val="0"/>
          <w:bCs w:val="0"/>
          <w:color w:val="auto"/>
          <w:sz w:val="30"/>
          <w:szCs w:val="30"/>
        </w:rPr>
        <w:t>年2月开始进行招标准备工作</w:t>
      </w:r>
      <w:r>
        <w:rPr>
          <w:rFonts w:hint="eastAsia" w:ascii="仿宋_GB2312" w:hAnsi="仿宋_GB2312" w:eastAsia="仿宋_GB2312" w:cs="仿宋_GB2312"/>
          <w:b w:val="0"/>
          <w:bCs w:val="0"/>
          <w:color w:val="auto"/>
          <w:sz w:val="30"/>
          <w:szCs w:val="30"/>
          <w:lang w:eastAsia="zh-CN"/>
        </w:rPr>
        <w:t>；</w:t>
      </w:r>
      <w:r>
        <w:rPr>
          <w:rFonts w:hint="eastAsia" w:ascii="仿宋_GB2312" w:hAnsi="仿宋_GB2312" w:eastAsia="仿宋_GB2312" w:cs="仿宋_GB2312"/>
          <w:b w:val="0"/>
          <w:bCs w:val="0"/>
          <w:color w:val="auto"/>
          <w:sz w:val="30"/>
          <w:szCs w:val="30"/>
        </w:rPr>
        <w:t>202</w:t>
      </w:r>
      <w:r>
        <w:rPr>
          <w:rFonts w:hint="eastAsia" w:ascii="仿宋_GB2312" w:hAnsi="仿宋_GB2312" w:eastAsia="仿宋_GB2312" w:cs="仿宋_GB2312"/>
          <w:b w:val="0"/>
          <w:bCs w:val="0"/>
          <w:color w:val="auto"/>
          <w:sz w:val="30"/>
          <w:szCs w:val="30"/>
          <w:lang w:val="en-US" w:eastAsia="zh-CN"/>
        </w:rPr>
        <w:t>1</w:t>
      </w:r>
      <w:r>
        <w:rPr>
          <w:rFonts w:hint="eastAsia" w:ascii="仿宋_GB2312" w:hAnsi="仿宋_GB2312" w:eastAsia="仿宋_GB2312" w:cs="仿宋_GB2312"/>
          <w:b w:val="0"/>
          <w:bCs w:val="0"/>
          <w:color w:val="auto"/>
          <w:sz w:val="30"/>
          <w:szCs w:val="30"/>
        </w:rPr>
        <w:t>年</w:t>
      </w:r>
      <w:r>
        <w:rPr>
          <w:rFonts w:hint="eastAsia" w:ascii="仿宋_GB2312" w:hAnsi="仿宋_GB2312" w:eastAsia="仿宋_GB2312" w:cs="仿宋_GB2312"/>
          <w:b w:val="0"/>
          <w:bCs w:val="0"/>
          <w:color w:val="auto"/>
          <w:sz w:val="30"/>
          <w:szCs w:val="30"/>
          <w:lang w:val="en-US" w:eastAsia="zh-CN"/>
        </w:rPr>
        <w:t>4</w:t>
      </w:r>
      <w:r>
        <w:rPr>
          <w:rFonts w:hint="eastAsia" w:ascii="仿宋_GB2312" w:hAnsi="仿宋_GB2312" w:eastAsia="仿宋_GB2312" w:cs="仿宋_GB2312"/>
          <w:b w:val="0"/>
          <w:bCs w:val="0"/>
          <w:color w:val="auto"/>
          <w:sz w:val="30"/>
          <w:szCs w:val="30"/>
        </w:rPr>
        <w:t>月进行公开招标，确定检测单位</w:t>
      </w:r>
      <w:r>
        <w:rPr>
          <w:rFonts w:hint="eastAsia" w:ascii="仿宋_GB2312" w:hAnsi="仿宋_GB2312" w:eastAsia="仿宋_GB2312" w:cs="仿宋_GB2312"/>
          <w:b w:val="0"/>
          <w:bCs w:val="0"/>
          <w:color w:val="auto"/>
          <w:sz w:val="30"/>
          <w:szCs w:val="30"/>
          <w:lang w:eastAsia="zh-CN"/>
        </w:rPr>
        <w:t>；</w:t>
      </w:r>
      <w:r>
        <w:rPr>
          <w:rFonts w:hint="eastAsia" w:ascii="仿宋_GB2312" w:hAnsi="仿宋_GB2312" w:eastAsia="仿宋_GB2312" w:cs="仿宋_GB2312"/>
          <w:b w:val="0"/>
          <w:bCs w:val="0"/>
          <w:color w:val="auto"/>
          <w:sz w:val="30"/>
          <w:szCs w:val="30"/>
        </w:rPr>
        <w:t>202</w:t>
      </w:r>
      <w:r>
        <w:rPr>
          <w:rFonts w:hint="eastAsia" w:ascii="仿宋_GB2312" w:hAnsi="仿宋_GB2312" w:eastAsia="仿宋_GB2312" w:cs="仿宋_GB2312"/>
          <w:b w:val="0"/>
          <w:bCs w:val="0"/>
          <w:color w:val="auto"/>
          <w:sz w:val="30"/>
          <w:szCs w:val="30"/>
          <w:lang w:val="en-US" w:eastAsia="zh-CN"/>
        </w:rPr>
        <w:t>1</w:t>
      </w:r>
      <w:r>
        <w:rPr>
          <w:rFonts w:hint="eastAsia" w:ascii="仿宋_GB2312" w:hAnsi="仿宋_GB2312" w:eastAsia="仿宋_GB2312" w:cs="仿宋_GB2312"/>
          <w:b w:val="0"/>
          <w:bCs w:val="0"/>
          <w:color w:val="auto"/>
          <w:sz w:val="30"/>
          <w:szCs w:val="30"/>
        </w:rPr>
        <w:t>年</w:t>
      </w:r>
      <w:r>
        <w:rPr>
          <w:rFonts w:hint="eastAsia" w:ascii="仿宋_GB2312" w:hAnsi="仿宋_GB2312" w:eastAsia="仿宋_GB2312" w:cs="仿宋_GB2312"/>
          <w:b w:val="0"/>
          <w:bCs w:val="0"/>
          <w:color w:val="auto"/>
          <w:sz w:val="30"/>
          <w:szCs w:val="30"/>
          <w:lang w:val="en-US" w:eastAsia="zh-CN"/>
        </w:rPr>
        <w:t>5</w:t>
      </w:r>
      <w:r>
        <w:rPr>
          <w:rFonts w:hint="eastAsia" w:ascii="仿宋_GB2312" w:hAnsi="仿宋_GB2312" w:eastAsia="仿宋_GB2312" w:cs="仿宋_GB2312"/>
          <w:b w:val="0"/>
          <w:bCs w:val="0"/>
          <w:color w:val="auto"/>
          <w:sz w:val="30"/>
          <w:szCs w:val="30"/>
        </w:rPr>
        <w:t>月</w:t>
      </w:r>
      <w:r>
        <w:rPr>
          <w:rFonts w:hint="eastAsia" w:ascii="仿宋_GB2312" w:hAnsi="仿宋_GB2312" w:eastAsia="仿宋_GB2312" w:cs="仿宋_GB2312"/>
          <w:b w:val="0"/>
          <w:bCs w:val="0"/>
          <w:color w:val="auto"/>
          <w:sz w:val="30"/>
          <w:szCs w:val="30"/>
          <w:lang w:val="en-US" w:eastAsia="zh-CN"/>
        </w:rPr>
        <w:t>15日前，</w:t>
      </w:r>
      <w:r>
        <w:rPr>
          <w:rFonts w:hint="eastAsia" w:ascii="仿宋_GB2312" w:hAnsi="仿宋_GB2312" w:eastAsia="仿宋_GB2312" w:cs="仿宋_GB2312"/>
          <w:b w:val="0"/>
          <w:bCs w:val="0"/>
          <w:color w:val="auto"/>
          <w:sz w:val="30"/>
          <w:szCs w:val="30"/>
        </w:rPr>
        <w:t>中标单位进场进行外业的数据采集</w:t>
      </w:r>
      <w:r>
        <w:rPr>
          <w:rFonts w:hint="eastAsia" w:ascii="仿宋_GB2312" w:hAnsi="仿宋_GB2312" w:eastAsia="仿宋_GB2312" w:cs="仿宋_GB2312"/>
          <w:b w:val="0"/>
          <w:bCs w:val="0"/>
          <w:color w:val="auto"/>
          <w:sz w:val="30"/>
          <w:szCs w:val="30"/>
          <w:lang w:eastAsia="zh-CN"/>
        </w:rPr>
        <w:t>；</w:t>
      </w:r>
      <w:r>
        <w:rPr>
          <w:rFonts w:hint="eastAsia" w:ascii="仿宋_GB2312" w:hAnsi="仿宋_GB2312" w:eastAsia="仿宋_GB2312" w:cs="仿宋_GB2312"/>
          <w:b w:val="0"/>
          <w:bCs w:val="0"/>
          <w:color w:val="auto"/>
          <w:sz w:val="30"/>
          <w:szCs w:val="30"/>
        </w:rPr>
        <w:t>202</w:t>
      </w:r>
      <w:r>
        <w:rPr>
          <w:rFonts w:hint="eastAsia" w:ascii="仿宋_GB2312" w:hAnsi="仿宋_GB2312" w:eastAsia="仿宋_GB2312" w:cs="仿宋_GB2312"/>
          <w:b w:val="0"/>
          <w:bCs w:val="0"/>
          <w:color w:val="auto"/>
          <w:sz w:val="30"/>
          <w:szCs w:val="30"/>
          <w:lang w:val="en-US" w:eastAsia="zh-CN"/>
        </w:rPr>
        <w:t>1</w:t>
      </w:r>
      <w:r>
        <w:rPr>
          <w:rFonts w:hint="eastAsia" w:ascii="仿宋_GB2312" w:hAnsi="仿宋_GB2312" w:eastAsia="仿宋_GB2312" w:cs="仿宋_GB2312"/>
          <w:b w:val="0"/>
          <w:bCs w:val="0"/>
          <w:color w:val="auto"/>
          <w:sz w:val="30"/>
          <w:szCs w:val="30"/>
        </w:rPr>
        <w:t>年</w:t>
      </w:r>
      <w:r>
        <w:rPr>
          <w:rFonts w:hint="eastAsia" w:ascii="仿宋_GB2312" w:hAnsi="仿宋_GB2312" w:eastAsia="仿宋_GB2312" w:cs="仿宋_GB2312"/>
          <w:b w:val="0"/>
          <w:bCs w:val="0"/>
          <w:color w:val="auto"/>
          <w:sz w:val="30"/>
          <w:szCs w:val="30"/>
          <w:lang w:val="en-US" w:eastAsia="zh-CN"/>
        </w:rPr>
        <w:t>6</w:t>
      </w:r>
      <w:r>
        <w:rPr>
          <w:rFonts w:hint="eastAsia" w:ascii="仿宋_GB2312" w:hAnsi="仿宋_GB2312" w:eastAsia="仿宋_GB2312" w:cs="仿宋_GB2312"/>
          <w:b w:val="0"/>
          <w:bCs w:val="0"/>
          <w:color w:val="auto"/>
          <w:sz w:val="30"/>
          <w:szCs w:val="30"/>
        </w:rPr>
        <w:t>月</w:t>
      </w:r>
      <w:r>
        <w:rPr>
          <w:rFonts w:hint="eastAsia" w:ascii="仿宋_GB2312" w:hAnsi="仿宋_GB2312" w:eastAsia="仿宋_GB2312" w:cs="仿宋_GB2312"/>
          <w:b w:val="0"/>
          <w:bCs w:val="0"/>
          <w:color w:val="auto"/>
          <w:sz w:val="30"/>
          <w:szCs w:val="30"/>
          <w:lang w:val="en-US" w:eastAsia="zh-CN"/>
        </w:rPr>
        <w:t>10日前，</w:t>
      </w:r>
      <w:r>
        <w:rPr>
          <w:rFonts w:hint="eastAsia" w:ascii="仿宋_GB2312" w:hAnsi="仿宋_GB2312" w:eastAsia="仿宋_GB2312" w:cs="仿宋_GB2312"/>
          <w:b w:val="0"/>
          <w:bCs w:val="0"/>
          <w:color w:val="auto"/>
          <w:sz w:val="30"/>
          <w:szCs w:val="30"/>
        </w:rPr>
        <w:t>进行检测报告专家评审</w:t>
      </w:r>
      <w:r>
        <w:rPr>
          <w:rFonts w:hint="eastAsia" w:ascii="仿宋_GB2312" w:hAnsi="仿宋_GB2312" w:eastAsia="仿宋_GB2312" w:cs="仿宋_GB2312"/>
          <w:b w:val="0"/>
          <w:bCs w:val="0"/>
          <w:color w:val="auto"/>
          <w:sz w:val="30"/>
          <w:szCs w:val="30"/>
          <w:lang w:eastAsia="zh-CN"/>
        </w:rPr>
        <w:t>；</w:t>
      </w:r>
      <w:r>
        <w:rPr>
          <w:rFonts w:hint="eastAsia" w:ascii="仿宋_GB2312" w:hAnsi="仿宋_GB2312" w:eastAsia="仿宋_GB2312" w:cs="仿宋_GB2312"/>
          <w:b w:val="0"/>
          <w:bCs w:val="0"/>
          <w:color w:val="auto"/>
          <w:sz w:val="30"/>
          <w:szCs w:val="30"/>
          <w:lang w:val="en-US" w:eastAsia="zh-CN"/>
        </w:rPr>
        <w:t>2021</w:t>
      </w:r>
      <w:r>
        <w:rPr>
          <w:rFonts w:hint="eastAsia" w:ascii="仿宋_GB2312" w:hAnsi="仿宋_GB2312" w:eastAsia="仿宋_GB2312" w:cs="仿宋_GB2312"/>
          <w:b w:val="0"/>
          <w:bCs w:val="0"/>
          <w:color w:val="auto"/>
          <w:sz w:val="30"/>
          <w:szCs w:val="30"/>
        </w:rPr>
        <w:t>年</w:t>
      </w:r>
      <w:r>
        <w:rPr>
          <w:rFonts w:hint="eastAsia" w:ascii="仿宋_GB2312" w:hAnsi="仿宋_GB2312" w:eastAsia="仿宋_GB2312" w:cs="仿宋_GB2312"/>
          <w:b w:val="0"/>
          <w:bCs w:val="0"/>
          <w:color w:val="auto"/>
          <w:sz w:val="30"/>
          <w:szCs w:val="30"/>
          <w:lang w:val="en-US" w:eastAsia="zh-CN"/>
        </w:rPr>
        <w:t>6</w:t>
      </w:r>
      <w:r>
        <w:rPr>
          <w:rFonts w:hint="eastAsia" w:ascii="仿宋_GB2312" w:hAnsi="仿宋_GB2312" w:eastAsia="仿宋_GB2312" w:cs="仿宋_GB2312"/>
          <w:b w:val="0"/>
          <w:bCs w:val="0"/>
          <w:color w:val="auto"/>
          <w:sz w:val="30"/>
          <w:szCs w:val="30"/>
        </w:rPr>
        <w:t>月</w:t>
      </w:r>
      <w:r>
        <w:rPr>
          <w:rFonts w:hint="eastAsia" w:ascii="仿宋_GB2312" w:hAnsi="仿宋_GB2312" w:eastAsia="仿宋_GB2312" w:cs="仿宋_GB2312"/>
          <w:b w:val="0"/>
          <w:bCs w:val="0"/>
          <w:color w:val="auto"/>
          <w:sz w:val="30"/>
          <w:szCs w:val="30"/>
          <w:lang w:val="en-US" w:eastAsia="zh-CN"/>
        </w:rPr>
        <w:t>30日</w:t>
      </w:r>
      <w:r>
        <w:rPr>
          <w:rFonts w:hint="eastAsia" w:ascii="仿宋_GB2312" w:hAnsi="仿宋_GB2312" w:eastAsia="仿宋_GB2312" w:cs="仿宋_GB2312"/>
          <w:b w:val="0"/>
          <w:bCs w:val="0"/>
          <w:color w:val="auto"/>
          <w:sz w:val="30"/>
          <w:szCs w:val="30"/>
        </w:rPr>
        <w:t>前</w:t>
      </w:r>
      <w:r>
        <w:rPr>
          <w:rFonts w:hint="eastAsia" w:ascii="仿宋_GB2312" w:hAnsi="仿宋_GB2312" w:eastAsia="仿宋_GB2312" w:cs="仿宋_GB2312"/>
          <w:b w:val="0"/>
          <w:bCs w:val="0"/>
          <w:color w:val="auto"/>
          <w:sz w:val="30"/>
          <w:szCs w:val="30"/>
          <w:lang w:eastAsia="zh-CN"/>
        </w:rPr>
        <w:t>，</w:t>
      </w:r>
      <w:r>
        <w:rPr>
          <w:rFonts w:hint="eastAsia" w:ascii="仿宋_GB2312" w:hAnsi="仿宋_GB2312" w:eastAsia="仿宋_GB2312" w:cs="仿宋_GB2312"/>
          <w:b w:val="0"/>
          <w:bCs w:val="0"/>
          <w:color w:val="auto"/>
          <w:sz w:val="30"/>
          <w:szCs w:val="30"/>
        </w:rPr>
        <w:t>检测单位提交正式检测报告</w:t>
      </w:r>
      <w:r>
        <w:rPr>
          <w:rFonts w:hint="eastAsia" w:ascii="仿宋_GB2312" w:hAnsi="仿宋_GB2312" w:eastAsia="仿宋_GB2312" w:cs="仿宋_GB2312"/>
          <w:b w:val="0"/>
          <w:bCs w:val="0"/>
          <w:color w:val="auto"/>
          <w:sz w:val="30"/>
          <w:szCs w:val="30"/>
          <w:lang w:eastAsia="zh-CN"/>
        </w:rPr>
        <w:t>，</w:t>
      </w:r>
      <w:r>
        <w:rPr>
          <w:rFonts w:hint="eastAsia" w:ascii="仿宋_GB2312" w:hAnsi="仿宋_GB2312" w:eastAsia="仿宋_GB2312" w:cs="仿宋_GB2312"/>
          <w:b w:val="0"/>
          <w:bCs w:val="0"/>
          <w:color w:val="auto"/>
          <w:sz w:val="30"/>
          <w:szCs w:val="30"/>
          <w:lang w:val="en-US" w:eastAsia="zh-CN"/>
        </w:rPr>
        <w:t>完成合同约定的所有内容</w:t>
      </w:r>
      <w:r>
        <w:rPr>
          <w:rFonts w:hint="eastAsia" w:ascii="仿宋_GB2312" w:hAnsi="仿宋_GB2312" w:eastAsia="仿宋_GB2312" w:cs="仿宋_GB2312"/>
          <w:b w:val="0"/>
          <w:bCs w:val="0"/>
          <w:color w:val="auto"/>
          <w:sz w:val="30"/>
          <w:szCs w:val="30"/>
        </w:rPr>
        <w:t>。</w:t>
      </w:r>
    </w:p>
    <w:p>
      <w:pPr>
        <w:topLinePunct/>
        <w:spacing w:line="360" w:lineRule="auto"/>
        <w:ind w:firstLine="753" w:firstLineChars="250"/>
        <w:jc w:val="left"/>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bCs/>
          <w:sz w:val="30"/>
          <w:szCs w:val="30"/>
        </w:rPr>
        <w:t>资金拨付流程。</w:t>
      </w:r>
      <w:r>
        <w:rPr>
          <w:rFonts w:hint="eastAsia" w:ascii="仿宋_GB2312" w:hAnsi="仿宋_GB2312" w:eastAsia="仿宋_GB2312" w:cs="仿宋_GB2312"/>
          <w:b w:val="0"/>
          <w:bCs w:val="0"/>
          <w:sz w:val="30"/>
          <w:szCs w:val="30"/>
          <w:lang w:val="en-US" w:eastAsia="zh-CN"/>
        </w:rPr>
        <w:t>寺瓦立交</w:t>
      </w:r>
      <w:r>
        <w:rPr>
          <w:rFonts w:hint="eastAsia" w:ascii="仿宋_GB2312" w:hAnsi="仿宋_GB2312" w:eastAsia="仿宋_GB2312" w:cs="仿宋_GB2312"/>
          <w:b w:val="0"/>
          <w:bCs w:val="0"/>
          <w:sz w:val="30"/>
          <w:szCs w:val="30"/>
        </w:rPr>
        <w:t>等</w:t>
      </w:r>
      <w:r>
        <w:rPr>
          <w:rFonts w:hint="eastAsia" w:ascii="仿宋_GB2312" w:hAnsi="仿宋_GB2312" w:eastAsia="仿宋_GB2312" w:cs="仿宋_GB2312"/>
          <w:b w:val="0"/>
          <w:bCs w:val="0"/>
          <w:sz w:val="30"/>
          <w:szCs w:val="30"/>
          <w:lang w:val="en-US" w:eastAsia="zh-CN"/>
        </w:rPr>
        <w:t>7</w:t>
      </w:r>
      <w:r>
        <w:rPr>
          <w:rFonts w:hint="eastAsia" w:ascii="仿宋_GB2312" w:hAnsi="仿宋_GB2312" w:eastAsia="仿宋_GB2312" w:cs="仿宋_GB2312"/>
          <w:b w:val="0"/>
          <w:bCs w:val="0"/>
          <w:sz w:val="30"/>
          <w:szCs w:val="30"/>
        </w:rPr>
        <w:t>座桥梁202</w:t>
      </w:r>
      <w:r>
        <w:rPr>
          <w:rFonts w:hint="eastAsia" w:ascii="仿宋_GB2312" w:hAnsi="仿宋_GB2312" w:eastAsia="仿宋_GB2312" w:cs="仿宋_GB2312"/>
          <w:b w:val="0"/>
          <w:bCs w:val="0"/>
          <w:sz w:val="30"/>
          <w:szCs w:val="30"/>
          <w:lang w:val="en-US" w:eastAsia="zh-CN"/>
        </w:rPr>
        <w:t>1</w:t>
      </w:r>
      <w:r>
        <w:rPr>
          <w:rFonts w:hint="eastAsia" w:ascii="仿宋_GB2312" w:hAnsi="仿宋_GB2312" w:eastAsia="仿宋_GB2312" w:cs="仿宋_GB2312"/>
          <w:b w:val="0"/>
          <w:bCs w:val="0"/>
          <w:sz w:val="30"/>
          <w:szCs w:val="30"/>
        </w:rPr>
        <w:t>年的检测项目中标价格：</w:t>
      </w:r>
      <w:r>
        <w:rPr>
          <w:rFonts w:hint="eastAsia" w:ascii="仿宋_GB2312" w:hAnsi="仿宋_GB2312" w:eastAsia="仿宋_GB2312" w:cs="仿宋_GB2312"/>
          <w:b w:val="0"/>
          <w:bCs w:val="0"/>
          <w:sz w:val="30"/>
          <w:szCs w:val="30"/>
          <w:highlight w:val="none"/>
          <w:lang w:val="en-US" w:eastAsia="zh-CN"/>
        </w:rPr>
        <w:t>970000.00</w:t>
      </w:r>
      <w:r>
        <w:rPr>
          <w:rFonts w:hint="eastAsia" w:ascii="仿宋_GB2312" w:hAnsi="仿宋_GB2312" w:eastAsia="仿宋_GB2312" w:cs="仿宋_GB2312"/>
          <w:b w:val="0"/>
          <w:bCs w:val="0"/>
          <w:sz w:val="30"/>
          <w:szCs w:val="30"/>
          <w:highlight w:val="none"/>
        </w:rPr>
        <w:t>元，</w:t>
      </w:r>
      <w:r>
        <w:rPr>
          <w:rFonts w:hint="eastAsia" w:ascii="仿宋_GB2312" w:hAnsi="仿宋_GB2312" w:eastAsia="仿宋_GB2312" w:cs="仿宋_GB2312"/>
          <w:b w:val="0"/>
          <w:bCs w:val="0"/>
          <w:sz w:val="30"/>
          <w:szCs w:val="30"/>
        </w:rPr>
        <w:t>款项支付如下：</w:t>
      </w:r>
      <w:r>
        <w:rPr>
          <w:rFonts w:hint="eastAsia" w:ascii="仿宋_GB2312" w:hAnsi="仿宋_GB2312" w:eastAsia="仿宋_GB2312" w:cs="仿宋_GB2312"/>
          <w:b w:val="0"/>
          <w:bCs w:val="0"/>
          <w:sz w:val="30"/>
          <w:szCs w:val="30"/>
          <w:lang w:val="en-US" w:eastAsia="zh-CN"/>
        </w:rPr>
        <w:t>2021年6月支付582000.00元，2021年9月支付388000.00元，累计支付970000.00元。</w:t>
      </w:r>
    </w:p>
    <w:p>
      <w:pPr>
        <w:topLinePunct/>
        <w:spacing w:line="360" w:lineRule="auto"/>
        <w:ind w:firstLine="753" w:firstLineChars="25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（二）绩效目标。</w:t>
      </w:r>
    </w:p>
    <w:p>
      <w:pPr>
        <w:topLinePunct/>
        <w:spacing w:line="360" w:lineRule="auto"/>
        <w:ind w:firstLine="753" w:firstLineChars="25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bCs/>
          <w:sz w:val="30"/>
          <w:szCs w:val="30"/>
        </w:rPr>
        <w:t>1.总目标。</w:t>
      </w:r>
      <w:r>
        <w:rPr>
          <w:rFonts w:hint="eastAsia" w:ascii="仿宋_GB2312" w:hAnsi="仿宋_GB2312" w:eastAsia="仿宋_GB2312" w:cs="仿宋_GB2312"/>
          <w:b w:val="0"/>
          <w:bCs w:val="0"/>
          <w:sz w:val="30"/>
          <w:szCs w:val="30"/>
        </w:rPr>
        <w:t>在资金保障的情况下，按照养护规范要求及桥梁设施的基本情况，每年进行3---6座桥梁的安全检测工作。保障桥梁安全运行，消除安全隐患，维护社会稳定，为盘龙的经济发展提供强有力的硬件保障。</w:t>
      </w:r>
    </w:p>
    <w:p>
      <w:pPr>
        <w:topLinePunct/>
        <w:spacing w:line="360" w:lineRule="auto"/>
        <w:ind w:firstLine="753" w:firstLineChars="250"/>
        <w:jc w:val="left"/>
        <w:rPr>
          <w:rFonts w:hint="eastAsia" w:ascii="仿宋_GB2312" w:hAnsi="仿宋_GB2312" w:eastAsia="仿宋_GB2312" w:cs="仿宋_GB2312"/>
          <w:b/>
          <w:bCs/>
          <w:sz w:val="30"/>
          <w:szCs w:val="30"/>
        </w:rPr>
        <w:sectPr>
          <w:pgSz w:w="11906" w:h="16838"/>
          <w:pgMar w:top="1440" w:right="1800" w:bottom="1440" w:left="1800" w:header="708" w:footer="708" w:gutter="0"/>
          <w:cols w:space="708" w:num="1"/>
          <w:docGrid w:linePitch="360" w:charSpace="0"/>
        </w:sectPr>
      </w:pPr>
      <w:r>
        <w:rPr>
          <w:rFonts w:hint="eastAsia" w:ascii="仿宋_GB2312" w:hAnsi="仿宋_GB2312" w:eastAsia="仿宋_GB2312" w:cs="仿宋_GB2312"/>
          <w:b/>
          <w:bCs/>
          <w:sz w:val="30"/>
          <w:szCs w:val="30"/>
        </w:rPr>
        <w:t>2.年度目标。</w:t>
      </w:r>
    </w:p>
    <w:tbl>
      <w:tblPr>
        <w:tblStyle w:val="6"/>
        <w:tblW w:w="1439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07"/>
        <w:gridCol w:w="1737"/>
        <w:gridCol w:w="3207"/>
        <w:gridCol w:w="965"/>
        <w:gridCol w:w="809"/>
        <w:gridCol w:w="3154"/>
        <w:gridCol w:w="1587"/>
        <w:gridCol w:w="21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25" w:hRule="atLeast"/>
        </w:trPr>
        <w:tc>
          <w:tcPr>
            <w:tcW w:w="14397" w:type="dxa"/>
            <w:gridSpan w:val="8"/>
            <w:tcBorders>
              <w:top w:val="nil"/>
              <w:left w:val="nil"/>
              <w:bottom w:val="single" w:color="000000" w:sz="4" w:space="0"/>
              <w:right w:val="nil"/>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30"/>
                <w:szCs w:val="30"/>
                <w:u w:val="none"/>
              </w:rPr>
            </w:pPr>
            <w:r>
              <w:rPr>
                <w:rFonts w:hint="eastAsia" w:ascii="仿宋_GB2312" w:hAnsi="仿宋_GB2312" w:eastAsia="仿宋_GB2312" w:cs="仿宋_GB2312"/>
                <w:b/>
                <w:bCs/>
                <w:i w:val="0"/>
                <w:color w:val="000000"/>
                <w:kern w:val="0"/>
                <w:sz w:val="30"/>
                <w:szCs w:val="30"/>
                <w:u w:val="none"/>
                <w:lang w:val="en-US" w:eastAsia="zh-CN" w:bidi="ar"/>
              </w:rPr>
              <w:t>盘龙区道路桥梁管理处2021年桥梁检测计划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70"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序 号</w:t>
            </w:r>
          </w:p>
        </w:tc>
        <w:tc>
          <w:tcPr>
            <w:tcW w:w="173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桥  名</w:t>
            </w: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地  点</w:t>
            </w:r>
          </w:p>
        </w:tc>
        <w:tc>
          <w:tcPr>
            <w:tcW w:w="965"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长</w:t>
            </w:r>
            <w:r>
              <w:rPr>
                <w:rStyle w:val="10"/>
                <w:rFonts w:hint="eastAsia" w:ascii="仿宋_GB2312" w:hAnsi="仿宋_GB2312" w:eastAsia="仿宋_GB2312" w:cs="仿宋_GB2312"/>
                <w:b w:val="0"/>
                <w:bCs w:val="0"/>
                <w:sz w:val="18"/>
                <w:szCs w:val="18"/>
                <w:lang w:val="en-US" w:eastAsia="zh-CN" w:bidi="ar"/>
              </w:rPr>
              <w:t>(m)</w:t>
            </w:r>
          </w:p>
        </w:tc>
        <w:tc>
          <w:tcPr>
            <w:tcW w:w="809"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宽</w:t>
            </w:r>
            <w:r>
              <w:rPr>
                <w:rStyle w:val="10"/>
                <w:rFonts w:hint="eastAsia" w:ascii="仿宋_GB2312" w:hAnsi="仿宋_GB2312" w:eastAsia="仿宋_GB2312" w:cs="仿宋_GB2312"/>
                <w:b w:val="0"/>
                <w:bCs w:val="0"/>
                <w:sz w:val="18"/>
                <w:szCs w:val="18"/>
                <w:lang w:val="en-US" w:eastAsia="zh-CN" w:bidi="ar"/>
              </w:rPr>
              <w:t>(m)</w:t>
            </w:r>
          </w:p>
        </w:tc>
        <w:tc>
          <w:tcPr>
            <w:tcW w:w="3154"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检 测 内 容</w:t>
            </w:r>
          </w:p>
        </w:tc>
        <w:tc>
          <w:tcPr>
            <w:tcW w:w="158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检测费用</w:t>
            </w:r>
            <w:r>
              <w:rPr>
                <w:rFonts w:hint="eastAsia" w:ascii="仿宋_GB2312" w:hAnsi="仿宋_GB2312" w:eastAsia="仿宋_GB2312" w:cs="仿宋_GB2312"/>
                <w:b w:val="0"/>
                <w:bCs w:val="0"/>
                <w:i w:val="0"/>
                <w:color w:val="000000"/>
                <w:kern w:val="0"/>
                <w:sz w:val="18"/>
                <w:szCs w:val="18"/>
                <w:u w:val="none"/>
                <w:lang w:val="en-US" w:eastAsia="zh-CN" w:bidi="ar"/>
              </w:rPr>
              <w:br w:type="textWrapping"/>
            </w:r>
            <w:r>
              <w:rPr>
                <w:rStyle w:val="10"/>
                <w:rFonts w:hint="eastAsia" w:ascii="仿宋_GB2312" w:hAnsi="仿宋_GB2312" w:eastAsia="仿宋_GB2312" w:cs="仿宋_GB2312"/>
                <w:b w:val="0"/>
                <w:bCs w:val="0"/>
                <w:sz w:val="18"/>
                <w:szCs w:val="18"/>
                <w:lang w:val="en-US" w:eastAsia="zh-CN" w:bidi="ar"/>
              </w:rPr>
              <w:t>（暂估价/万元）</w:t>
            </w:r>
          </w:p>
        </w:tc>
        <w:tc>
          <w:tcPr>
            <w:tcW w:w="2131"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备 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1</w:t>
            </w:r>
          </w:p>
        </w:tc>
        <w:tc>
          <w:tcPr>
            <w:tcW w:w="173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寺瓦立交</w:t>
            </w: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东三环朝九晚五小区旁</w:t>
            </w:r>
          </w:p>
        </w:tc>
        <w:tc>
          <w:tcPr>
            <w:tcW w:w="965"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104.47</w:t>
            </w:r>
          </w:p>
        </w:tc>
        <w:tc>
          <w:tcPr>
            <w:tcW w:w="809"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34.00</w:t>
            </w:r>
          </w:p>
        </w:tc>
        <w:tc>
          <w:tcPr>
            <w:tcW w:w="3154"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桥梁外观，动、静载实验，桥梁病害分析及维护重点等</w:t>
            </w:r>
          </w:p>
        </w:tc>
        <w:tc>
          <w:tcPr>
            <w:tcW w:w="158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20</w:t>
            </w:r>
          </w:p>
        </w:tc>
        <w:tc>
          <w:tcPr>
            <w:tcW w:w="2131"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spacing w:line="360" w:lineRule="auto"/>
              <w:jc w:val="center"/>
              <w:rPr>
                <w:rFonts w:hint="eastAsia" w:ascii="仿宋_GB2312" w:hAnsi="仿宋_GB2312" w:eastAsia="仿宋_GB2312" w:cs="仿宋_GB2312"/>
                <w:b w:val="0"/>
                <w:bCs w:val="0"/>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3"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2</w:t>
            </w:r>
          </w:p>
        </w:tc>
        <w:tc>
          <w:tcPr>
            <w:tcW w:w="173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南太桥</w:t>
            </w: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东风东路</w:t>
            </w:r>
          </w:p>
        </w:tc>
        <w:tc>
          <w:tcPr>
            <w:tcW w:w="965"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26.00</w:t>
            </w:r>
          </w:p>
        </w:tc>
        <w:tc>
          <w:tcPr>
            <w:tcW w:w="809"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40.00</w:t>
            </w:r>
          </w:p>
        </w:tc>
        <w:tc>
          <w:tcPr>
            <w:tcW w:w="3154"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桥梁外观，动、静载实验，桥梁病害分析及维护重点等</w:t>
            </w:r>
          </w:p>
        </w:tc>
        <w:tc>
          <w:tcPr>
            <w:tcW w:w="158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20</w:t>
            </w:r>
          </w:p>
        </w:tc>
        <w:tc>
          <w:tcPr>
            <w:tcW w:w="2131"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spacing w:line="360" w:lineRule="auto"/>
              <w:jc w:val="center"/>
              <w:rPr>
                <w:rFonts w:hint="eastAsia" w:ascii="仿宋_GB2312" w:hAnsi="仿宋_GB2312" w:eastAsia="仿宋_GB2312" w:cs="仿宋_GB2312"/>
                <w:b w:val="0"/>
                <w:bCs w:val="0"/>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3</w:t>
            </w:r>
          </w:p>
        </w:tc>
        <w:tc>
          <w:tcPr>
            <w:tcW w:w="173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霖雨桥（霖雨路）</w:t>
            </w: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霖雨路跨盘龙江</w:t>
            </w:r>
          </w:p>
        </w:tc>
        <w:tc>
          <w:tcPr>
            <w:tcW w:w="965"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33.00</w:t>
            </w:r>
          </w:p>
        </w:tc>
        <w:tc>
          <w:tcPr>
            <w:tcW w:w="809"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32.50</w:t>
            </w:r>
          </w:p>
        </w:tc>
        <w:tc>
          <w:tcPr>
            <w:tcW w:w="3154"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桥梁外观，动、静载实验，桥梁病害分析及维护重点等</w:t>
            </w:r>
          </w:p>
        </w:tc>
        <w:tc>
          <w:tcPr>
            <w:tcW w:w="158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20</w:t>
            </w:r>
          </w:p>
        </w:tc>
        <w:tc>
          <w:tcPr>
            <w:tcW w:w="2131"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spacing w:line="360" w:lineRule="auto"/>
              <w:jc w:val="center"/>
              <w:rPr>
                <w:rFonts w:hint="eastAsia" w:ascii="仿宋_GB2312" w:hAnsi="仿宋_GB2312" w:eastAsia="仿宋_GB2312" w:cs="仿宋_GB2312"/>
                <w:b w:val="0"/>
                <w:bCs w:val="0"/>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4</w:t>
            </w:r>
          </w:p>
        </w:tc>
        <w:tc>
          <w:tcPr>
            <w:tcW w:w="173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霖雨桥（拱桥）</w:t>
            </w: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春之城临江公园旁跨盘龙江</w:t>
            </w:r>
          </w:p>
        </w:tc>
        <w:tc>
          <w:tcPr>
            <w:tcW w:w="965"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30.00</w:t>
            </w:r>
          </w:p>
        </w:tc>
        <w:tc>
          <w:tcPr>
            <w:tcW w:w="809"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10.40</w:t>
            </w:r>
          </w:p>
        </w:tc>
        <w:tc>
          <w:tcPr>
            <w:tcW w:w="3154"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桥梁外观检查，桥梁病害分析及维护重点等</w:t>
            </w:r>
          </w:p>
        </w:tc>
        <w:tc>
          <w:tcPr>
            <w:tcW w:w="158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4</w:t>
            </w:r>
          </w:p>
        </w:tc>
        <w:tc>
          <w:tcPr>
            <w:tcW w:w="2131"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spacing w:line="360" w:lineRule="auto"/>
              <w:jc w:val="center"/>
              <w:rPr>
                <w:rFonts w:hint="eastAsia" w:ascii="仿宋_GB2312" w:hAnsi="仿宋_GB2312" w:eastAsia="仿宋_GB2312" w:cs="仿宋_GB2312"/>
                <w:b w:val="0"/>
                <w:bCs w:val="0"/>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5</w:t>
            </w:r>
          </w:p>
        </w:tc>
        <w:tc>
          <w:tcPr>
            <w:tcW w:w="173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昆纺旁人行天桥</w:t>
            </w: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白塔路</w:t>
            </w:r>
          </w:p>
        </w:tc>
        <w:tc>
          <w:tcPr>
            <w:tcW w:w="965"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27.50</w:t>
            </w:r>
          </w:p>
        </w:tc>
        <w:tc>
          <w:tcPr>
            <w:tcW w:w="809"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5.00</w:t>
            </w:r>
          </w:p>
        </w:tc>
        <w:tc>
          <w:tcPr>
            <w:tcW w:w="3154"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桥梁外观，动、静载实验，桥梁病害分析及维护重点等</w:t>
            </w:r>
          </w:p>
        </w:tc>
        <w:tc>
          <w:tcPr>
            <w:tcW w:w="158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12</w:t>
            </w:r>
          </w:p>
        </w:tc>
        <w:tc>
          <w:tcPr>
            <w:tcW w:w="2131"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spacing w:line="360" w:lineRule="auto"/>
              <w:jc w:val="center"/>
              <w:rPr>
                <w:rFonts w:hint="eastAsia" w:ascii="仿宋_GB2312" w:hAnsi="仿宋_GB2312" w:eastAsia="仿宋_GB2312" w:cs="仿宋_GB2312"/>
                <w:b w:val="0"/>
                <w:bCs w:val="0"/>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auto"/>
                <w:sz w:val="18"/>
                <w:szCs w:val="18"/>
                <w:u w:val="none"/>
              </w:rPr>
            </w:pPr>
            <w:r>
              <w:rPr>
                <w:rFonts w:hint="eastAsia" w:ascii="仿宋_GB2312" w:hAnsi="仿宋_GB2312" w:eastAsia="仿宋_GB2312" w:cs="仿宋_GB2312"/>
                <w:b w:val="0"/>
                <w:bCs w:val="0"/>
                <w:i w:val="0"/>
                <w:color w:val="auto"/>
                <w:kern w:val="0"/>
                <w:sz w:val="18"/>
                <w:szCs w:val="18"/>
                <w:u w:val="none"/>
                <w:lang w:val="en-US" w:eastAsia="zh-CN" w:bidi="ar"/>
              </w:rPr>
              <w:t>6</w:t>
            </w:r>
          </w:p>
        </w:tc>
        <w:tc>
          <w:tcPr>
            <w:tcW w:w="173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auto"/>
                <w:sz w:val="18"/>
                <w:szCs w:val="18"/>
                <w:u w:val="none"/>
              </w:rPr>
            </w:pPr>
            <w:r>
              <w:rPr>
                <w:rFonts w:hint="eastAsia" w:ascii="仿宋_GB2312" w:hAnsi="仿宋_GB2312" w:eastAsia="仿宋_GB2312" w:cs="仿宋_GB2312"/>
                <w:b w:val="0"/>
                <w:bCs w:val="0"/>
                <w:i w:val="0"/>
                <w:color w:val="auto"/>
                <w:kern w:val="0"/>
                <w:sz w:val="18"/>
                <w:szCs w:val="18"/>
                <w:u w:val="none"/>
                <w:lang w:val="en-US" w:eastAsia="zh-CN" w:bidi="ar"/>
              </w:rPr>
              <w:t>凤凰村人行天桥</w:t>
            </w: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凤凰村</w:t>
            </w:r>
          </w:p>
        </w:tc>
        <w:tc>
          <w:tcPr>
            <w:tcW w:w="965"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33.40</w:t>
            </w:r>
          </w:p>
        </w:tc>
        <w:tc>
          <w:tcPr>
            <w:tcW w:w="809"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4.50</w:t>
            </w:r>
          </w:p>
        </w:tc>
        <w:tc>
          <w:tcPr>
            <w:tcW w:w="3154"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桥梁外观，动、静载实验，桥梁病害分析及维护重点等</w:t>
            </w:r>
          </w:p>
        </w:tc>
        <w:tc>
          <w:tcPr>
            <w:tcW w:w="158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12</w:t>
            </w:r>
          </w:p>
        </w:tc>
        <w:tc>
          <w:tcPr>
            <w:tcW w:w="2131"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spacing w:line="360" w:lineRule="auto"/>
              <w:jc w:val="center"/>
              <w:rPr>
                <w:rFonts w:hint="eastAsia" w:ascii="仿宋_GB2312" w:hAnsi="仿宋_GB2312" w:eastAsia="仿宋_GB2312" w:cs="仿宋_GB2312"/>
                <w:b w:val="0"/>
                <w:bCs w:val="0"/>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23"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7</w:t>
            </w:r>
          </w:p>
        </w:tc>
        <w:tc>
          <w:tcPr>
            <w:tcW w:w="173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联盟路口人行天桥</w:t>
            </w:r>
          </w:p>
        </w:tc>
        <w:tc>
          <w:tcPr>
            <w:tcW w:w="320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北京路联盟路口</w:t>
            </w:r>
          </w:p>
        </w:tc>
        <w:tc>
          <w:tcPr>
            <w:tcW w:w="965"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36.50</w:t>
            </w:r>
          </w:p>
        </w:tc>
        <w:tc>
          <w:tcPr>
            <w:tcW w:w="809"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4.50</w:t>
            </w:r>
          </w:p>
        </w:tc>
        <w:tc>
          <w:tcPr>
            <w:tcW w:w="3154"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桥梁外观，动、静载实验，桥梁病害分析及维护重点等</w:t>
            </w:r>
          </w:p>
        </w:tc>
        <w:tc>
          <w:tcPr>
            <w:tcW w:w="158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12</w:t>
            </w:r>
          </w:p>
        </w:tc>
        <w:tc>
          <w:tcPr>
            <w:tcW w:w="2131"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spacing w:line="360" w:lineRule="auto"/>
              <w:jc w:val="center"/>
              <w:rPr>
                <w:rFonts w:hint="eastAsia" w:ascii="仿宋_GB2312" w:hAnsi="仿宋_GB2312" w:eastAsia="仿宋_GB2312" w:cs="仿宋_GB2312"/>
                <w:b w:val="0"/>
                <w:bCs w:val="0"/>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71"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val="0"/>
                <w:color w:val="000000"/>
                <w:sz w:val="18"/>
                <w:szCs w:val="18"/>
                <w:u w:val="none"/>
              </w:rPr>
            </w:pPr>
            <w:r>
              <w:rPr>
                <w:rFonts w:hint="eastAsia" w:ascii="仿宋_GB2312" w:hAnsi="仿宋_GB2312" w:eastAsia="仿宋_GB2312" w:cs="仿宋_GB2312"/>
                <w:b w:val="0"/>
                <w:bCs w:val="0"/>
                <w:i w:val="0"/>
                <w:color w:val="000000"/>
                <w:kern w:val="0"/>
                <w:sz w:val="18"/>
                <w:szCs w:val="18"/>
                <w:u w:val="none"/>
                <w:lang w:val="en-US" w:eastAsia="zh-CN" w:bidi="ar"/>
              </w:rPr>
              <w:t>8</w:t>
            </w:r>
          </w:p>
        </w:tc>
        <w:tc>
          <w:tcPr>
            <w:tcW w:w="9872" w:type="dxa"/>
            <w:gridSpan w:val="5"/>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color w:val="000000"/>
                <w:sz w:val="18"/>
                <w:szCs w:val="18"/>
                <w:u w:val="none"/>
              </w:rPr>
            </w:pPr>
            <w:r>
              <w:rPr>
                <w:rFonts w:hint="eastAsia" w:ascii="仿宋_GB2312" w:hAnsi="仿宋_GB2312" w:eastAsia="仿宋_GB2312" w:cs="仿宋_GB2312"/>
                <w:b w:val="0"/>
                <w:bCs w:val="0"/>
                <w:i/>
                <w:color w:val="000000"/>
                <w:kern w:val="0"/>
                <w:sz w:val="18"/>
                <w:szCs w:val="18"/>
                <w:u w:val="none"/>
                <w:lang w:val="en-US" w:eastAsia="zh-CN" w:bidi="ar"/>
              </w:rPr>
              <w:t>以上各项费用总计</w:t>
            </w:r>
          </w:p>
        </w:tc>
        <w:tc>
          <w:tcPr>
            <w:tcW w:w="1587"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keepNext w:val="0"/>
              <w:keepLines w:val="0"/>
              <w:widowControl/>
              <w:suppressLineNumbers w:val="0"/>
              <w:spacing w:line="360" w:lineRule="auto"/>
              <w:jc w:val="center"/>
              <w:textAlignment w:val="center"/>
              <w:rPr>
                <w:rFonts w:hint="eastAsia" w:ascii="仿宋_GB2312" w:hAnsi="仿宋_GB2312" w:eastAsia="仿宋_GB2312" w:cs="仿宋_GB2312"/>
                <w:b w:val="0"/>
                <w:bCs w:val="0"/>
                <w:i/>
                <w:color w:val="000000"/>
                <w:sz w:val="18"/>
                <w:szCs w:val="18"/>
                <w:u w:val="none"/>
              </w:rPr>
            </w:pPr>
            <w:r>
              <w:rPr>
                <w:rFonts w:hint="eastAsia" w:ascii="仿宋_GB2312" w:hAnsi="仿宋_GB2312" w:eastAsia="仿宋_GB2312" w:cs="仿宋_GB2312"/>
                <w:b w:val="0"/>
                <w:bCs w:val="0"/>
                <w:i/>
                <w:color w:val="000000"/>
                <w:kern w:val="0"/>
                <w:sz w:val="18"/>
                <w:szCs w:val="18"/>
                <w:u w:val="none"/>
                <w:lang w:val="en-US" w:eastAsia="zh-CN" w:bidi="ar"/>
              </w:rPr>
              <w:t>100.00</w:t>
            </w:r>
          </w:p>
        </w:tc>
        <w:tc>
          <w:tcPr>
            <w:tcW w:w="2131" w:type="dxa"/>
            <w:tcBorders>
              <w:top w:val="single" w:color="000000" w:sz="4" w:space="0"/>
              <w:left w:val="single" w:color="000000" w:sz="4" w:space="0"/>
              <w:bottom w:val="single" w:color="000000" w:sz="4" w:space="0"/>
              <w:right w:val="single" w:color="000000" w:sz="4" w:space="0"/>
            </w:tcBorders>
            <w:shd w:val="clear" w:color="auto" w:fill="auto"/>
            <w:tcMar>
              <w:top w:w="11" w:type="dxa"/>
              <w:left w:w="11" w:type="dxa"/>
              <w:right w:w="11" w:type="dxa"/>
            </w:tcMar>
            <w:vAlign w:val="center"/>
          </w:tcPr>
          <w:p>
            <w:pPr>
              <w:spacing w:line="360" w:lineRule="auto"/>
              <w:jc w:val="center"/>
              <w:rPr>
                <w:rFonts w:hint="eastAsia" w:ascii="仿宋_GB2312" w:hAnsi="仿宋_GB2312" w:eastAsia="仿宋_GB2312" w:cs="仿宋_GB2312"/>
                <w:b w:val="0"/>
                <w:bCs w:val="0"/>
                <w:i w:val="0"/>
                <w:color w:val="000000"/>
                <w:sz w:val="18"/>
                <w:szCs w:val="18"/>
                <w:u w:val="none"/>
              </w:rPr>
            </w:pPr>
          </w:p>
        </w:tc>
      </w:tr>
    </w:tbl>
    <w:p>
      <w:pPr>
        <w:topLinePunct/>
        <w:spacing w:line="360" w:lineRule="auto"/>
        <w:ind w:firstLine="750" w:firstLineChars="250"/>
        <w:jc w:val="left"/>
        <w:rPr>
          <w:rFonts w:hint="eastAsia" w:ascii="仿宋_GB2312" w:hAnsi="仿宋_GB2312" w:eastAsia="仿宋_GB2312" w:cs="仿宋_GB2312"/>
          <w:b w:val="0"/>
          <w:bCs w:val="0"/>
          <w:sz w:val="30"/>
          <w:szCs w:val="30"/>
        </w:rPr>
      </w:pPr>
    </w:p>
    <w:p>
      <w:pPr>
        <w:topLinePunct/>
        <w:spacing w:line="360" w:lineRule="auto"/>
        <w:ind w:firstLine="750" w:firstLineChars="250"/>
        <w:jc w:val="left"/>
        <w:rPr>
          <w:rFonts w:hint="eastAsia" w:ascii="仿宋_GB2312" w:hAnsi="仿宋_GB2312" w:eastAsia="仿宋_GB2312" w:cs="仿宋_GB2312"/>
          <w:b w:val="0"/>
          <w:bCs w:val="0"/>
          <w:sz w:val="30"/>
          <w:szCs w:val="30"/>
        </w:rPr>
      </w:pPr>
    </w:p>
    <w:p>
      <w:pPr>
        <w:topLinePunct/>
        <w:spacing w:line="360" w:lineRule="auto"/>
        <w:ind w:firstLine="750" w:firstLineChars="250"/>
        <w:jc w:val="left"/>
        <w:rPr>
          <w:rFonts w:hint="eastAsia" w:ascii="仿宋_GB2312" w:hAnsi="仿宋_GB2312" w:eastAsia="仿宋_GB2312" w:cs="仿宋_GB2312"/>
          <w:b w:val="0"/>
          <w:bCs w:val="0"/>
          <w:sz w:val="30"/>
          <w:szCs w:val="30"/>
        </w:rPr>
        <w:sectPr>
          <w:pgSz w:w="16838" w:h="11906" w:orient="landscape"/>
          <w:pgMar w:top="1800" w:right="1440" w:bottom="1800" w:left="1440" w:header="708" w:footer="708" w:gutter="0"/>
          <w:cols w:space="708" w:num="1"/>
          <w:docGrid w:linePitch="360" w:charSpace="0"/>
        </w:sectPr>
      </w:pPr>
    </w:p>
    <w:p>
      <w:pPr>
        <w:adjustRightInd w:val="0"/>
        <w:snapToGrid w:val="0"/>
        <w:spacing w:line="360" w:lineRule="auto"/>
        <w:ind w:firstLine="602"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bCs/>
          <w:sz w:val="30"/>
          <w:szCs w:val="30"/>
        </w:rPr>
        <w:t>效果目标</w:t>
      </w:r>
      <w:r>
        <w:rPr>
          <w:rFonts w:hint="eastAsia" w:ascii="仿宋_GB2312" w:hAnsi="仿宋_GB2312" w:eastAsia="仿宋_GB2312" w:cs="仿宋_GB2312"/>
          <w:b/>
          <w:bCs/>
          <w:sz w:val="30"/>
          <w:szCs w:val="30"/>
          <w:lang w:eastAsia="zh-CN"/>
        </w:rPr>
        <w:t>：</w:t>
      </w:r>
      <w:r>
        <w:rPr>
          <w:rFonts w:hint="eastAsia" w:ascii="仿宋_GB2312" w:hAnsi="仿宋_GB2312" w:eastAsia="仿宋_GB2312" w:cs="仿宋_GB2312"/>
          <w:b w:val="0"/>
          <w:bCs w:val="0"/>
          <w:sz w:val="30"/>
          <w:szCs w:val="30"/>
        </w:rPr>
        <w:t>经过本次专业桥梁安全检测，深入了解管养桥梁设施的病害情况，对科学管理养护市政桥梁设施提供有力依据，效益最大化的利用财政资金，能及时对桥梁病害进行维修养护，确实保证运行桥梁设施安全，消除安全隐患。</w:t>
      </w:r>
    </w:p>
    <w:p>
      <w:pPr>
        <w:topLinePunct/>
        <w:spacing w:line="360" w:lineRule="auto"/>
        <w:ind w:firstLine="753" w:firstLineChars="25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二、绩效评价工作情况</w:t>
      </w:r>
    </w:p>
    <w:p>
      <w:pPr>
        <w:adjustRightInd w:val="0"/>
        <w:snapToGrid w:val="0"/>
        <w:spacing w:line="360" w:lineRule="auto"/>
        <w:ind w:firstLine="301" w:firstLineChars="1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bCs/>
          <w:sz w:val="30"/>
          <w:szCs w:val="30"/>
        </w:rPr>
        <w:t>（一）绩效评价目的。</w:t>
      </w:r>
      <w:r>
        <w:rPr>
          <w:rFonts w:hint="eastAsia" w:ascii="仿宋_GB2312" w:hAnsi="仿宋_GB2312" w:eastAsia="仿宋_GB2312" w:cs="仿宋_GB2312"/>
          <w:b w:val="0"/>
          <w:bCs w:val="0"/>
          <w:sz w:val="30"/>
          <w:szCs w:val="30"/>
        </w:rPr>
        <w:t>桥梁安全检测是一项专业性强的工作，必须遵循行业规范要求及各项专业技术要求，检测单位也必须是具有国家认证的专业机构。 检测内容也是根据桥梁设施具体情况及相关规范要求制定，以达到资金利用率效益最大化。</w:t>
      </w:r>
    </w:p>
    <w:p>
      <w:pPr>
        <w:topLinePunct/>
        <w:spacing w:line="360" w:lineRule="auto"/>
        <w:ind w:firstLine="753" w:firstLineChars="25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（二）绩效评价工作方案制定过程。</w:t>
      </w:r>
    </w:p>
    <w:p>
      <w:pPr>
        <w:topLinePunct/>
        <w:spacing w:line="360" w:lineRule="auto"/>
        <w:ind w:firstLine="753" w:firstLineChars="25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bCs/>
          <w:sz w:val="30"/>
          <w:szCs w:val="30"/>
        </w:rPr>
        <w:t>1.前期调研。</w:t>
      </w:r>
      <w:r>
        <w:rPr>
          <w:rFonts w:hint="eastAsia" w:ascii="仿宋_GB2312" w:hAnsi="仿宋_GB2312" w:eastAsia="仿宋_GB2312" w:cs="仿宋_GB2312"/>
          <w:b w:val="0"/>
          <w:bCs w:val="0"/>
          <w:sz w:val="30"/>
          <w:szCs w:val="30"/>
        </w:rPr>
        <w:t>根据盘龙区道路桥梁管理处所辖桥梁设施的建成年代，桥梁规模、交通流量及桥梁病害发展、桥梁检测周期及日常巡查工作及国家、行业的相关行业规范。</w:t>
      </w:r>
    </w:p>
    <w:p>
      <w:pPr>
        <w:widowControl w:val="0"/>
        <w:tabs>
          <w:tab w:val="left" w:pos="320"/>
        </w:tabs>
        <w:adjustRightInd/>
        <w:snapToGrid/>
        <w:spacing w:after="0" w:line="360" w:lineRule="auto"/>
        <w:ind w:firstLine="753" w:firstLineChars="250"/>
        <w:jc w:val="left"/>
        <w:rPr>
          <w:rFonts w:hint="eastAsia" w:ascii="仿宋_GB2312" w:hAnsi="仿宋_GB2312" w:eastAsia="仿宋_GB2312" w:cs="仿宋_GB2312"/>
          <w:b w:val="0"/>
          <w:bCs w:val="0"/>
          <w:kern w:val="2"/>
          <w:sz w:val="30"/>
          <w:szCs w:val="30"/>
        </w:rPr>
      </w:pPr>
      <w:r>
        <w:rPr>
          <w:rFonts w:hint="eastAsia" w:ascii="仿宋_GB2312" w:hAnsi="仿宋_GB2312" w:eastAsia="仿宋_GB2312" w:cs="仿宋_GB2312"/>
          <w:b/>
          <w:bCs/>
          <w:sz w:val="30"/>
          <w:szCs w:val="30"/>
        </w:rPr>
        <w:t>2.研究文件。</w:t>
      </w:r>
      <w:r>
        <w:rPr>
          <w:rFonts w:hint="eastAsia" w:ascii="仿宋_GB2312" w:hAnsi="仿宋_GB2312" w:eastAsia="仿宋_GB2312" w:cs="仿宋_GB2312"/>
          <w:b w:val="0"/>
          <w:bCs w:val="0"/>
          <w:kern w:val="2"/>
          <w:sz w:val="30"/>
          <w:szCs w:val="30"/>
        </w:rPr>
        <w:t>建设部《城镇道路养护技术规范》（CJJ36-2016）</w:t>
      </w:r>
    </w:p>
    <w:p>
      <w:pPr>
        <w:widowControl w:val="0"/>
        <w:tabs>
          <w:tab w:val="left" w:pos="320"/>
        </w:tabs>
        <w:adjustRightInd/>
        <w:snapToGrid/>
        <w:spacing w:after="0" w:line="360" w:lineRule="auto"/>
        <w:ind w:firstLine="300" w:firstLineChars="100"/>
        <w:jc w:val="left"/>
        <w:rPr>
          <w:rFonts w:hint="eastAsia" w:ascii="仿宋_GB2312" w:hAnsi="仿宋_GB2312" w:eastAsia="仿宋_GB2312" w:cs="仿宋_GB2312"/>
          <w:b w:val="0"/>
          <w:bCs w:val="0"/>
          <w:kern w:val="2"/>
          <w:sz w:val="30"/>
          <w:szCs w:val="30"/>
        </w:rPr>
      </w:pPr>
      <w:r>
        <w:rPr>
          <w:rFonts w:hint="eastAsia" w:ascii="仿宋_GB2312" w:hAnsi="仿宋_GB2312" w:eastAsia="仿宋_GB2312" w:cs="仿宋_GB2312"/>
          <w:b w:val="0"/>
          <w:bCs w:val="0"/>
          <w:kern w:val="2"/>
          <w:sz w:val="30"/>
          <w:szCs w:val="30"/>
        </w:rPr>
        <w:t>建设部《城市桥梁养护技术标准》（CJJ99-2017）</w:t>
      </w:r>
    </w:p>
    <w:p>
      <w:pPr>
        <w:widowControl w:val="0"/>
        <w:tabs>
          <w:tab w:val="left" w:pos="320"/>
        </w:tabs>
        <w:adjustRightInd/>
        <w:snapToGrid/>
        <w:spacing w:after="0" w:line="360" w:lineRule="auto"/>
        <w:ind w:firstLine="300" w:firstLineChars="100"/>
        <w:jc w:val="left"/>
        <w:rPr>
          <w:rFonts w:hint="eastAsia" w:ascii="仿宋_GB2312" w:hAnsi="仿宋_GB2312" w:eastAsia="仿宋_GB2312" w:cs="仿宋_GB2312"/>
          <w:b w:val="0"/>
          <w:bCs w:val="0"/>
          <w:kern w:val="2"/>
          <w:sz w:val="30"/>
          <w:szCs w:val="30"/>
        </w:rPr>
      </w:pPr>
      <w:r>
        <w:rPr>
          <w:rFonts w:hint="eastAsia" w:ascii="仿宋_GB2312" w:hAnsi="仿宋_GB2312" w:eastAsia="仿宋_GB2312" w:cs="仿宋_GB2312"/>
          <w:b w:val="0"/>
          <w:bCs w:val="0"/>
          <w:kern w:val="2"/>
          <w:sz w:val="30"/>
          <w:szCs w:val="30"/>
        </w:rPr>
        <w:t>建设部《城市桥梁检测与评定技术规范》（CJJ/T233-2015）</w:t>
      </w:r>
    </w:p>
    <w:p>
      <w:pPr>
        <w:widowControl w:val="0"/>
        <w:tabs>
          <w:tab w:val="left" w:pos="320"/>
        </w:tabs>
        <w:adjustRightInd/>
        <w:snapToGrid/>
        <w:spacing w:after="0" w:line="360" w:lineRule="auto"/>
        <w:ind w:firstLine="300" w:firstLineChars="100"/>
        <w:jc w:val="left"/>
        <w:rPr>
          <w:rFonts w:hint="eastAsia" w:ascii="仿宋_GB2312" w:hAnsi="仿宋_GB2312" w:eastAsia="仿宋_GB2312" w:cs="仿宋_GB2312"/>
          <w:b w:val="0"/>
          <w:bCs w:val="0"/>
          <w:kern w:val="2"/>
          <w:sz w:val="30"/>
          <w:szCs w:val="30"/>
        </w:rPr>
      </w:pPr>
      <w:r>
        <w:rPr>
          <w:rFonts w:hint="eastAsia" w:ascii="仿宋_GB2312" w:hAnsi="仿宋_GB2312" w:eastAsia="仿宋_GB2312" w:cs="仿宋_GB2312"/>
          <w:b w:val="0"/>
          <w:bCs w:val="0"/>
          <w:kern w:val="2"/>
          <w:sz w:val="30"/>
          <w:szCs w:val="30"/>
        </w:rPr>
        <w:t>昆明市《城市道路管养维修办法》昆政发【2012】42号</w:t>
      </w:r>
    </w:p>
    <w:p>
      <w:pPr>
        <w:widowControl w:val="0"/>
        <w:tabs>
          <w:tab w:val="left" w:pos="320"/>
        </w:tabs>
        <w:adjustRightInd/>
        <w:snapToGrid/>
        <w:spacing w:after="0" w:line="360" w:lineRule="auto"/>
        <w:ind w:firstLine="300" w:firstLineChars="100"/>
        <w:jc w:val="left"/>
        <w:rPr>
          <w:rFonts w:hint="eastAsia" w:ascii="仿宋_GB2312" w:hAnsi="仿宋_GB2312" w:eastAsia="仿宋_GB2312" w:cs="仿宋_GB2312"/>
          <w:b w:val="0"/>
          <w:bCs w:val="0"/>
          <w:kern w:val="2"/>
          <w:sz w:val="30"/>
          <w:szCs w:val="30"/>
        </w:rPr>
      </w:pPr>
      <w:r>
        <w:rPr>
          <w:rFonts w:hint="eastAsia" w:ascii="仿宋_GB2312" w:hAnsi="仿宋_GB2312" w:eastAsia="仿宋_GB2312" w:cs="仿宋_GB2312"/>
          <w:b w:val="0"/>
          <w:bCs w:val="0"/>
          <w:kern w:val="2"/>
          <w:sz w:val="30"/>
          <w:szCs w:val="30"/>
        </w:rPr>
        <w:t>《城市桥梁检测和养护维修管理办法》（建设部第118号令）</w:t>
      </w:r>
    </w:p>
    <w:p>
      <w:pPr>
        <w:widowControl w:val="0"/>
        <w:adjustRightInd/>
        <w:snapToGrid/>
        <w:spacing w:after="0" w:line="360" w:lineRule="auto"/>
        <w:jc w:val="left"/>
        <w:rPr>
          <w:rFonts w:hint="eastAsia" w:ascii="仿宋_GB2312" w:hAnsi="仿宋_GB2312" w:eastAsia="仿宋_GB2312" w:cs="仿宋_GB2312"/>
          <w:b w:val="0"/>
          <w:bCs w:val="0"/>
          <w:color w:val="000000"/>
          <w:kern w:val="2"/>
          <w:sz w:val="30"/>
          <w:szCs w:val="30"/>
          <w:shd w:val="clear" w:color="auto" w:fill="FFFFFF"/>
        </w:rPr>
      </w:pPr>
      <w:r>
        <w:rPr>
          <w:rFonts w:hint="eastAsia" w:ascii="仿宋_GB2312" w:hAnsi="仿宋_GB2312" w:eastAsia="仿宋_GB2312" w:cs="仿宋_GB2312"/>
          <w:b w:val="0"/>
          <w:bCs w:val="0"/>
          <w:color w:val="000000"/>
          <w:kern w:val="2"/>
          <w:sz w:val="30"/>
          <w:szCs w:val="30"/>
          <w:shd w:val="clear" w:color="auto" w:fill="FFFFFF"/>
        </w:rPr>
        <w:t>《公路桥梁技术状况评定标准》(JTG/T H21-2011)、</w:t>
      </w:r>
    </w:p>
    <w:p>
      <w:pPr>
        <w:widowControl w:val="0"/>
        <w:adjustRightInd/>
        <w:snapToGrid/>
        <w:spacing w:after="0" w:line="360" w:lineRule="auto"/>
        <w:jc w:val="left"/>
        <w:rPr>
          <w:rFonts w:hint="eastAsia" w:ascii="仿宋_GB2312" w:hAnsi="仿宋_GB2312" w:eastAsia="仿宋_GB2312" w:cs="仿宋_GB2312"/>
          <w:b w:val="0"/>
          <w:bCs w:val="0"/>
          <w:color w:val="000000"/>
          <w:kern w:val="2"/>
          <w:sz w:val="30"/>
          <w:szCs w:val="30"/>
          <w:shd w:val="clear" w:color="auto" w:fill="FFFFFF"/>
        </w:rPr>
      </w:pPr>
      <w:r>
        <w:rPr>
          <w:rFonts w:hint="eastAsia" w:ascii="仿宋_GB2312" w:hAnsi="仿宋_GB2312" w:eastAsia="仿宋_GB2312" w:cs="仿宋_GB2312"/>
          <w:b w:val="0"/>
          <w:bCs w:val="0"/>
          <w:color w:val="000000"/>
          <w:kern w:val="2"/>
          <w:sz w:val="30"/>
          <w:szCs w:val="30"/>
          <w:shd w:val="clear" w:color="auto" w:fill="FFFFFF"/>
        </w:rPr>
        <w:t>《公路桥梁承载能力检测评定规程》(JTG/T J21—2011)、</w:t>
      </w:r>
    </w:p>
    <w:p>
      <w:pPr>
        <w:widowControl w:val="0"/>
        <w:adjustRightInd/>
        <w:snapToGrid/>
        <w:spacing w:after="0" w:line="360" w:lineRule="auto"/>
        <w:jc w:val="left"/>
        <w:rPr>
          <w:rFonts w:hint="eastAsia" w:ascii="仿宋_GB2312" w:hAnsi="仿宋_GB2312" w:eastAsia="仿宋_GB2312" w:cs="仿宋_GB2312"/>
          <w:b w:val="0"/>
          <w:bCs w:val="0"/>
          <w:color w:val="000000"/>
          <w:kern w:val="2"/>
          <w:sz w:val="30"/>
          <w:szCs w:val="30"/>
          <w:shd w:val="clear" w:color="auto" w:fill="FFFFFF"/>
        </w:rPr>
      </w:pPr>
      <w:r>
        <w:rPr>
          <w:rFonts w:hint="eastAsia" w:ascii="仿宋_GB2312" w:hAnsi="仿宋_GB2312" w:eastAsia="仿宋_GB2312" w:cs="仿宋_GB2312"/>
          <w:b w:val="0"/>
          <w:bCs w:val="0"/>
          <w:color w:val="000000"/>
          <w:kern w:val="2"/>
          <w:sz w:val="30"/>
          <w:szCs w:val="30"/>
          <w:shd w:val="clear" w:color="auto" w:fill="FFFFFF"/>
        </w:rPr>
        <w:t>《回弹法评定混凝土抗压强度技术规程》(JTJ/T23-2011)、</w:t>
      </w:r>
    </w:p>
    <w:p>
      <w:pPr>
        <w:widowControl w:val="0"/>
        <w:adjustRightInd/>
        <w:snapToGrid/>
        <w:spacing w:after="0" w:line="360" w:lineRule="auto"/>
        <w:jc w:val="left"/>
        <w:rPr>
          <w:rFonts w:hint="eastAsia" w:ascii="仿宋_GB2312" w:hAnsi="仿宋_GB2312" w:eastAsia="仿宋_GB2312" w:cs="仿宋_GB2312"/>
          <w:b w:val="0"/>
          <w:bCs w:val="0"/>
          <w:color w:val="000000"/>
          <w:kern w:val="2"/>
          <w:sz w:val="30"/>
          <w:szCs w:val="30"/>
          <w:shd w:val="clear" w:color="auto" w:fill="FFFFFF"/>
        </w:rPr>
      </w:pPr>
      <w:r>
        <w:rPr>
          <w:rFonts w:hint="eastAsia" w:ascii="仿宋_GB2312" w:hAnsi="仿宋_GB2312" w:eastAsia="仿宋_GB2312" w:cs="仿宋_GB2312"/>
          <w:b w:val="0"/>
          <w:bCs w:val="0"/>
          <w:color w:val="000000"/>
          <w:kern w:val="2"/>
          <w:sz w:val="30"/>
          <w:szCs w:val="30"/>
          <w:shd w:val="clear" w:color="auto" w:fill="FFFFFF"/>
        </w:rPr>
        <w:t>《超声法检测混凝土缺陷技术规程》(CECS 21:2000)、</w:t>
      </w:r>
    </w:p>
    <w:p>
      <w:pPr>
        <w:widowControl w:val="0"/>
        <w:adjustRightInd/>
        <w:snapToGrid/>
        <w:spacing w:after="0" w:line="360" w:lineRule="auto"/>
        <w:jc w:val="left"/>
        <w:rPr>
          <w:rFonts w:hint="eastAsia" w:ascii="仿宋_GB2312" w:hAnsi="仿宋_GB2312" w:eastAsia="仿宋_GB2312" w:cs="仿宋_GB2312"/>
          <w:b w:val="0"/>
          <w:bCs w:val="0"/>
          <w:color w:val="000000"/>
          <w:kern w:val="2"/>
          <w:sz w:val="30"/>
          <w:szCs w:val="30"/>
          <w:shd w:val="clear" w:color="auto" w:fill="FFFFFF"/>
        </w:rPr>
      </w:pPr>
      <w:r>
        <w:rPr>
          <w:rFonts w:hint="eastAsia" w:ascii="仿宋_GB2312" w:hAnsi="仿宋_GB2312" w:eastAsia="仿宋_GB2312" w:cs="仿宋_GB2312"/>
          <w:b w:val="0"/>
          <w:bCs w:val="0"/>
          <w:color w:val="000000"/>
          <w:kern w:val="2"/>
          <w:sz w:val="30"/>
          <w:szCs w:val="30"/>
          <w:shd w:val="clear" w:color="auto" w:fill="FFFFFF"/>
        </w:rPr>
        <w:t>《混凝土中钢筋检测技术规程》(JGJ/T 152-2008)、</w:t>
      </w:r>
    </w:p>
    <w:p>
      <w:pPr>
        <w:widowControl w:val="0"/>
        <w:adjustRightInd/>
        <w:snapToGrid/>
        <w:spacing w:after="0" w:line="360" w:lineRule="auto"/>
        <w:jc w:val="left"/>
        <w:rPr>
          <w:rFonts w:hint="eastAsia" w:ascii="仿宋_GB2312" w:hAnsi="仿宋_GB2312" w:eastAsia="仿宋_GB2312" w:cs="仿宋_GB2312"/>
          <w:b w:val="0"/>
          <w:bCs w:val="0"/>
          <w:color w:val="000000"/>
          <w:kern w:val="2"/>
          <w:sz w:val="30"/>
          <w:szCs w:val="30"/>
          <w:shd w:val="clear" w:color="auto" w:fill="FFFFFF"/>
        </w:rPr>
      </w:pPr>
      <w:r>
        <w:rPr>
          <w:rFonts w:hint="eastAsia" w:ascii="仿宋_GB2312" w:hAnsi="仿宋_GB2312" w:eastAsia="仿宋_GB2312" w:cs="仿宋_GB2312"/>
          <w:b w:val="0"/>
          <w:bCs w:val="0"/>
          <w:color w:val="000000"/>
          <w:kern w:val="2"/>
          <w:sz w:val="30"/>
          <w:szCs w:val="30"/>
          <w:shd w:val="clear" w:color="auto" w:fill="FFFFFF"/>
        </w:rPr>
        <w:t>《建筑结构检测技术标准》(GB/T 50344-2004)、</w:t>
      </w:r>
    </w:p>
    <w:p>
      <w:pPr>
        <w:widowControl w:val="0"/>
        <w:adjustRightInd/>
        <w:snapToGrid/>
        <w:spacing w:after="0" w:line="360" w:lineRule="auto"/>
        <w:jc w:val="left"/>
        <w:rPr>
          <w:rFonts w:hint="eastAsia" w:ascii="仿宋_GB2312" w:hAnsi="仿宋_GB2312" w:eastAsia="仿宋_GB2312" w:cs="仿宋_GB2312"/>
          <w:b w:val="0"/>
          <w:bCs w:val="0"/>
          <w:color w:val="000000"/>
          <w:kern w:val="2"/>
          <w:sz w:val="30"/>
          <w:szCs w:val="30"/>
          <w:shd w:val="clear" w:color="auto" w:fill="FFFFFF"/>
        </w:rPr>
      </w:pPr>
      <w:r>
        <w:rPr>
          <w:rFonts w:hint="eastAsia" w:ascii="仿宋_GB2312" w:hAnsi="仿宋_GB2312" w:eastAsia="仿宋_GB2312" w:cs="仿宋_GB2312"/>
          <w:b w:val="0"/>
          <w:bCs w:val="0"/>
          <w:color w:val="000000"/>
          <w:kern w:val="2"/>
          <w:sz w:val="30"/>
          <w:szCs w:val="30"/>
          <w:shd w:val="clear" w:color="auto" w:fill="FFFFFF"/>
        </w:rPr>
        <w:t>《公路桥涵养护规范》(JTG H21-2004)、</w:t>
      </w:r>
    </w:p>
    <w:p>
      <w:pPr>
        <w:widowControl w:val="0"/>
        <w:adjustRightInd/>
        <w:snapToGrid/>
        <w:spacing w:after="0" w:line="360" w:lineRule="auto"/>
        <w:jc w:val="left"/>
        <w:rPr>
          <w:rFonts w:hint="eastAsia" w:ascii="仿宋_GB2312" w:hAnsi="仿宋_GB2312" w:eastAsia="仿宋_GB2312" w:cs="仿宋_GB2312"/>
          <w:b w:val="0"/>
          <w:bCs w:val="0"/>
          <w:color w:val="000000"/>
          <w:kern w:val="2"/>
          <w:sz w:val="30"/>
          <w:szCs w:val="30"/>
          <w:shd w:val="clear" w:color="auto" w:fill="FFFFFF"/>
        </w:rPr>
      </w:pPr>
      <w:r>
        <w:rPr>
          <w:rFonts w:hint="eastAsia" w:ascii="仿宋_GB2312" w:hAnsi="仿宋_GB2312" w:eastAsia="仿宋_GB2312" w:cs="仿宋_GB2312"/>
          <w:b w:val="0"/>
          <w:bCs w:val="0"/>
          <w:color w:val="000000"/>
          <w:kern w:val="2"/>
          <w:sz w:val="30"/>
          <w:szCs w:val="30"/>
          <w:shd w:val="clear" w:color="auto" w:fill="FFFFFF"/>
        </w:rPr>
        <w:t>《公路桥涵设计通用规范》(JTG 060-2004)、</w:t>
      </w:r>
    </w:p>
    <w:p>
      <w:pPr>
        <w:widowControl w:val="0"/>
        <w:adjustRightInd/>
        <w:snapToGrid/>
        <w:spacing w:after="0" w:line="360" w:lineRule="auto"/>
        <w:jc w:val="left"/>
        <w:rPr>
          <w:rFonts w:hint="eastAsia" w:ascii="仿宋_GB2312" w:hAnsi="仿宋_GB2312" w:eastAsia="仿宋_GB2312" w:cs="仿宋_GB2312"/>
          <w:b w:val="0"/>
          <w:bCs w:val="0"/>
          <w:color w:val="000000"/>
          <w:kern w:val="2"/>
          <w:sz w:val="30"/>
          <w:szCs w:val="30"/>
          <w:shd w:val="clear" w:color="auto" w:fill="FFFFFF"/>
        </w:rPr>
      </w:pPr>
      <w:r>
        <w:rPr>
          <w:rFonts w:hint="eastAsia" w:ascii="仿宋_GB2312" w:hAnsi="仿宋_GB2312" w:eastAsia="仿宋_GB2312" w:cs="仿宋_GB2312"/>
          <w:b w:val="0"/>
          <w:bCs w:val="0"/>
          <w:color w:val="000000"/>
          <w:kern w:val="2"/>
          <w:sz w:val="30"/>
          <w:szCs w:val="30"/>
          <w:shd w:val="clear" w:color="auto" w:fill="FFFFFF"/>
        </w:rPr>
        <w:t>《公路钢筋混凝土及预应力混凝土桥涵设计规范》(JTG D62-2004)、</w:t>
      </w:r>
    </w:p>
    <w:p>
      <w:pPr>
        <w:widowControl w:val="0"/>
        <w:adjustRightInd/>
        <w:snapToGrid/>
        <w:spacing w:after="0" w:line="360" w:lineRule="auto"/>
        <w:jc w:val="left"/>
        <w:rPr>
          <w:rFonts w:hint="eastAsia" w:ascii="仿宋_GB2312" w:hAnsi="仿宋_GB2312" w:eastAsia="仿宋_GB2312" w:cs="仿宋_GB2312"/>
          <w:b w:val="0"/>
          <w:bCs w:val="0"/>
          <w:color w:val="000000"/>
          <w:kern w:val="2"/>
          <w:sz w:val="30"/>
          <w:szCs w:val="30"/>
          <w:shd w:val="clear" w:color="auto" w:fill="FFFFFF"/>
        </w:rPr>
      </w:pPr>
      <w:r>
        <w:rPr>
          <w:rFonts w:hint="eastAsia" w:ascii="仿宋_GB2312" w:hAnsi="仿宋_GB2312" w:eastAsia="仿宋_GB2312" w:cs="仿宋_GB2312"/>
          <w:b w:val="0"/>
          <w:bCs w:val="0"/>
          <w:color w:val="000000"/>
          <w:kern w:val="2"/>
          <w:sz w:val="30"/>
          <w:szCs w:val="30"/>
          <w:shd w:val="clear" w:color="auto" w:fill="FFFFFF"/>
        </w:rPr>
        <w:t>《公路养护安全作业规程》(JTG H30-2004)，</w:t>
      </w:r>
    </w:p>
    <w:p>
      <w:pPr>
        <w:widowControl w:val="0"/>
        <w:adjustRightInd/>
        <w:snapToGrid/>
        <w:spacing w:after="0" w:line="360" w:lineRule="auto"/>
        <w:jc w:val="left"/>
        <w:rPr>
          <w:rFonts w:hint="eastAsia" w:ascii="仿宋_GB2312" w:hAnsi="仿宋_GB2312" w:eastAsia="仿宋_GB2312" w:cs="仿宋_GB2312"/>
          <w:b w:val="0"/>
          <w:bCs w:val="0"/>
          <w:kern w:val="2"/>
          <w:sz w:val="30"/>
          <w:szCs w:val="30"/>
        </w:rPr>
      </w:pPr>
      <w:r>
        <w:rPr>
          <w:rFonts w:hint="eastAsia" w:ascii="仿宋_GB2312" w:hAnsi="仿宋_GB2312" w:eastAsia="仿宋_GB2312" w:cs="仿宋_GB2312"/>
          <w:b w:val="0"/>
          <w:bCs w:val="0"/>
          <w:color w:val="000000"/>
          <w:kern w:val="2"/>
          <w:sz w:val="30"/>
          <w:szCs w:val="30"/>
          <w:shd w:val="clear" w:color="auto" w:fill="FFFFFF"/>
        </w:rPr>
        <w:t>《云南省公路工程试验检测费用指导价2013版》</w:t>
      </w:r>
    </w:p>
    <w:p>
      <w:pPr>
        <w:topLinePunct/>
        <w:spacing w:line="360" w:lineRule="auto"/>
        <w:ind w:firstLine="753" w:firstLineChars="25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bCs/>
          <w:sz w:val="30"/>
          <w:szCs w:val="30"/>
        </w:rPr>
        <w:t>3.绩效评价指标体系及工作方案的设计。</w:t>
      </w:r>
      <w:r>
        <w:rPr>
          <w:rFonts w:hint="eastAsia" w:ascii="仿宋_GB2312" w:hAnsi="仿宋_GB2312" w:eastAsia="仿宋_GB2312" w:cs="仿宋_GB2312"/>
          <w:b w:val="0"/>
          <w:bCs w:val="0"/>
          <w:sz w:val="30"/>
          <w:szCs w:val="30"/>
        </w:rPr>
        <w:t>桥梁安全检测绩效评价指标体系严格遵守国家法律法规，行业规范要求，结合我处管养桥梁设施的实际情况，合理使用资金，科学统筹，节约成本，认真制定工作计划达到资金效益最优化。</w:t>
      </w:r>
    </w:p>
    <w:p>
      <w:pPr>
        <w:topLinePunct/>
        <w:spacing w:line="360" w:lineRule="auto"/>
        <w:ind w:firstLine="753" w:firstLineChars="25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（三）绩效评价原则、评价方法</w:t>
      </w:r>
    </w:p>
    <w:p>
      <w:pPr>
        <w:spacing w:line="360" w:lineRule="auto"/>
        <w:ind w:firstLine="300" w:firstLineChars="1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遵循总体目标，年度目标，长期有效，短期合理的原则。桥梁安全检测报告合理有效。</w:t>
      </w:r>
    </w:p>
    <w:p>
      <w:pPr>
        <w:topLinePunct/>
        <w:spacing w:line="360" w:lineRule="auto"/>
        <w:ind w:firstLine="753" w:firstLineChars="25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（四）绩效评价实施过程</w:t>
      </w:r>
    </w:p>
    <w:p>
      <w:pPr>
        <w:spacing w:line="360" w:lineRule="auto"/>
        <w:ind w:firstLine="300" w:firstLineChars="1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严格遵照招标文件约定开展工作，我处安排专人全程跟踪检测过程，对检测结果组织了专家评审会。</w:t>
      </w:r>
    </w:p>
    <w:p>
      <w:pPr>
        <w:spacing w:line="360" w:lineRule="auto"/>
        <w:ind w:firstLine="301" w:firstLineChars="1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bCs/>
          <w:sz w:val="30"/>
          <w:szCs w:val="30"/>
        </w:rPr>
        <w:t>（五）本次绩效评价的局限性。</w:t>
      </w:r>
      <w:r>
        <w:rPr>
          <w:rFonts w:hint="eastAsia" w:ascii="仿宋_GB2312" w:hAnsi="仿宋_GB2312" w:eastAsia="仿宋_GB2312" w:cs="仿宋_GB2312"/>
          <w:b w:val="0"/>
          <w:bCs w:val="0"/>
          <w:sz w:val="30"/>
          <w:szCs w:val="30"/>
        </w:rPr>
        <w:t>本次绩效评价由于工作专业性强，工作成果使用面针对性强，工作效果显现周期性长，单次绩效评价效果不明显。</w:t>
      </w:r>
    </w:p>
    <w:p>
      <w:pPr>
        <w:topLinePunct/>
        <w:spacing w:line="360" w:lineRule="auto"/>
        <w:ind w:firstLine="753" w:firstLineChars="25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三、评价结论和绩效分析</w:t>
      </w:r>
    </w:p>
    <w:p>
      <w:pPr>
        <w:topLinePunct/>
        <w:spacing w:line="360" w:lineRule="auto"/>
        <w:ind w:firstLine="753" w:firstLineChars="25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（一）评价结论。</w:t>
      </w:r>
    </w:p>
    <w:p>
      <w:pPr>
        <w:topLinePunct/>
        <w:spacing w:line="360" w:lineRule="auto"/>
        <w:ind w:firstLine="602"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bCs/>
          <w:sz w:val="30"/>
          <w:szCs w:val="30"/>
        </w:rPr>
        <w:t>1.评价结果。</w:t>
      </w:r>
      <w:r>
        <w:rPr>
          <w:rFonts w:hint="eastAsia" w:ascii="仿宋_GB2312" w:hAnsi="仿宋_GB2312" w:eastAsia="仿宋_GB2312" w:cs="仿宋_GB2312"/>
          <w:b w:val="0"/>
          <w:bCs w:val="0"/>
          <w:sz w:val="30"/>
          <w:szCs w:val="30"/>
        </w:rPr>
        <w:t>优良（自评分：98）</w:t>
      </w:r>
    </w:p>
    <w:p>
      <w:pPr>
        <w:pStyle w:val="9"/>
        <w:numPr>
          <w:ilvl w:val="0"/>
          <w:numId w:val="0"/>
        </w:numPr>
        <w:spacing w:line="360" w:lineRule="auto"/>
        <w:ind w:firstLine="602"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bCs/>
          <w:sz w:val="30"/>
          <w:szCs w:val="30"/>
        </w:rPr>
        <w:t>2.主要绩效。</w:t>
      </w:r>
      <w:r>
        <w:rPr>
          <w:rFonts w:hint="eastAsia" w:ascii="仿宋_GB2312" w:hAnsi="仿宋_GB2312" w:eastAsia="仿宋_GB2312" w:cs="仿宋_GB2312"/>
          <w:b w:val="0"/>
          <w:bCs w:val="0"/>
          <w:sz w:val="30"/>
          <w:szCs w:val="30"/>
        </w:rPr>
        <w:t>202</w:t>
      </w:r>
      <w:r>
        <w:rPr>
          <w:rFonts w:hint="eastAsia" w:ascii="仿宋_GB2312" w:hAnsi="仿宋_GB2312" w:eastAsia="仿宋_GB2312" w:cs="仿宋_GB2312"/>
          <w:b w:val="0"/>
          <w:bCs w:val="0"/>
          <w:sz w:val="30"/>
          <w:szCs w:val="30"/>
          <w:lang w:val="en-US" w:eastAsia="zh-CN"/>
        </w:rPr>
        <w:t>1</w:t>
      </w:r>
      <w:r>
        <w:rPr>
          <w:rFonts w:hint="eastAsia" w:ascii="仿宋_GB2312" w:hAnsi="仿宋_GB2312" w:eastAsia="仿宋_GB2312" w:cs="仿宋_GB2312"/>
          <w:b w:val="0"/>
          <w:bCs w:val="0"/>
          <w:sz w:val="30"/>
          <w:szCs w:val="30"/>
        </w:rPr>
        <w:t>年检测结果</w:t>
      </w:r>
      <w:r>
        <w:rPr>
          <w:rFonts w:hint="eastAsia" w:ascii="仿宋_GB2312" w:hAnsi="仿宋_GB2312" w:eastAsia="仿宋_GB2312" w:cs="仿宋_GB2312"/>
          <w:b w:val="0"/>
          <w:bCs w:val="0"/>
          <w:sz w:val="30"/>
          <w:szCs w:val="30"/>
          <w:lang w:eastAsia="zh-CN"/>
        </w:rPr>
        <w:drawing>
          <wp:inline distT="0" distB="0" distL="114300" distR="114300">
            <wp:extent cx="5128895" cy="2357755"/>
            <wp:effectExtent l="0" t="0" r="5080" b="2540"/>
            <wp:docPr id="3" name="图片 3" descr="6082ab8f42fec2f211156166d35af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082ab8f42fec2f211156166d35af0d"/>
                    <pic:cNvPicPr>
                      <a:picLocks noChangeAspect="1"/>
                    </pic:cNvPicPr>
                  </pic:nvPicPr>
                  <pic:blipFill>
                    <a:blip r:embed="rId4"/>
                    <a:srcRect r="2616" b="66501"/>
                    <a:stretch>
                      <a:fillRect/>
                    </a:stretch>
                  </pic:blipFill>
                  <pic:spPr>
                    <a:xfrm>
                      <a:off x="0" y="0"/>
                      <a:ext cx="5128895" cy="2357755"/>
                    </a:xfrm>
                    <a:prstGeom prst="rect">
                      <a:avLst/>
                    </a:prstGeom>
                  </pic:spPr>
                </pic:pic>
              </a:graphicData>
            </a:graphic>
          </wp:inline>
        </w:drawing>
      </w:r>
    </w:p>
    <w:p>
      <w:pPr>
        <w:widowControl/>
        <w:spacing w:line="360" w:lineRule="auto"/>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bCs/>
          <w:sz w:val="30"/>
          <w:szCs w:val="30"/>
        </w:rPr>
        <w:t>（二）具体绩效分析。</w:t>
      </w:r>
    </w:p>
    <w:p>
      <w:pPr>
        <w:widowControl/>
        <w:spacing w:line="360" w:lineRule="auto"/>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桥梁安全检测项目支出绩效评价共性指标体系框架</w:t>
      </w:r>
    </w:p>
    <w:tbl>
      <w:tblPr>
        <w:tblStyle w:val="6"/>
        <w:tblpPr w:leftFromText="180" w:rightFromText="180" w:vertAnchor="text" w:horzAnchor="page" w:tblpX="1201" w:tblpY="383"/>
        <w:tblW w:w="10412" w:type="dxa"/>
        <w:tblInd w:w="0" w:type="dxa"/>
        <w:tblLayout w:type="fixed"/>
        <w:tblCellMar>
          <w:top w:w="0" w:type="dxa"/>
          <w:left w:w="108" w:type="dxa"/>
          <w:bottom w:w="0" w:type="dxa"/>
          <w:right w:w="108" w:type="dxa"/>
        </w:tblCellMar>
      </w:tblPr>
      <w:tblGrid>
        <w:gridCol w:w="846"/>
        <w:gridCol w:w="1026"/>
        <w:gridCol w:w="1134"/>
        <w:gridCol w:w="1086"/>
        <w:gridCol w:w="499"/>
        <w:gridCol w:w="566"/>
        <w:gridCol w:w="2092"/>
        <w:gridCol w:w="1955"/>
        <w:gridCol w:w="1208"/>
      </w:tblGrid>
      <w:tr>
        <w:tblPrEx>
          <w:tblLayout w:type="fixed"/>
          <w:tblCellMar>
            <w:top w:w="0" w:type="dxa"/>
            <w:left w:w="108" w:type="dxa"/>
            <w:bottom w:w="0" w:type="dxa"/>
            <w:right w:w="108" w:type="dxa"/>
          </w:tblCellMar>
        </w:tblPrEx>
        <w:trPr>
          <w:trHeight w:val="540" w:hRule="atLeast"/>
        </w:trPr>
        <w:tc>
          <w:tcPr>
            <w:tcW w:w="84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一级</w:t>
            </w:r>
          </w:p>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指标</w:t>
            </w:r>
          </w:p>
        </w:tc>
        <w:tc>
          <w:tcPr>
            <w:tcW w:w="1026" w:type="dxa"/>
            <w:tcBorders>
              <w:top w:val="single" w:color="auto" w:sz="4" w:space="0"/>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二级指标</w:t>
            </w:r>
          </w:p>
        </w:tc>
        <w:tc>
          <w:tcPr>
            <w:tcW w:w="1134" w:type="dxa"/>
            <w:tcBorders>
              <w:top w:val="single" w:color="auto" w:sz="4" w:space="0"/>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三级指标</w:t>
            </w:r>
          </w:p>
        </w:tc>
        <w:tc>
          <w:tcPr>
            <w:tcW w:w="1086" w:type="dxa"/>
            <w:tcBorders>
              <w:top w:val="single" w:color="auto" w:sz="4" w:space="0"/>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四级指标</w:t>
            </w:r>
          </w:p>
        </w:tc>
        <w:tc>
          <w:tcPr>
            <w:tcW w:w="499" w:type="dxa"/>
            <w:tcBorders>
              <w:top w:val="single" w:color="auto" w:sz="4" w:space="0"/>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分值</w:t>
            </w:r>
          </w:p>
        </w:tc>
        <w:tc>
          <w:tcPr>
            <w:tcW w:w="566" w:type="dxa"/>
            <w:tcBorders>
              <w:top w:val="single" w:color="auto" w:sz="4" w:space="0"/>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得分</w:t>
            </w:r>
          </w:p>
        </w:tc>
        <w:tc>
          <w:tcPr>
            <w:tcW w:w="2092" w:type="dxa"/>
            <w:tcBorders>
              <w:top w:val="single" w:color="auto" w:sz="4" w:space="0"/>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指标解释</w:t>
            </w:r>
          </w:p>
        </w:tc>
        <w:tc>
          <w:tcPr>
            <w:tcW w:w="1955" w:type="dxa"/>
            <w:tcBorders>
              <w:top w:val="single" w:color="auto" w:sz="4" w:space="0"/>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评分标准</w:t>
            </w:r>
          </w:p>
        </w:tc>
        <w:tc>
          <w:tcPr>
            <w:tcW w:w="1208" w:type="dxa"/>
            <w:tcBorders>
              <w:top w:val="single" w:color="auto" w:sz="4" w:space="0"/>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数据来源</w:t>
            </w:r>
          </w:p>
        </w:tc>
      </w:tr>
      <w:tr>
        <w:tblPrEx>
          <w:tblLayout w:type="fixed"/>
          <w:tblCellMar>
            <w:top w:w="0" w:type="dxa"/>
            <w:left w:w="108" w:type="dxa"/>
            <w:bottom w:w="0" w:type="dxa"/>
            <w:right w:w="108" w:type="dxa"/>
          </w:tblCellMar>
        </w:tblPrEx>
        <w:trPr>
          <w:trHeight w:val="900" w:hRule="atLeast"/>
        </w:trPr>
        <w:tc>
          <w:tcPr>
            <w:tcW w:w="84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A.项目决策（20%）</w:t>
            </w:r>
          </w:p>
        </w:tc>
        <w:tc>
          <w:tcPr>
            <w:tcW w:w="102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A1.项目立项（8%）</w:t>
            </w: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A11.与部门中长期规划目标适应性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A111.与部门中长期规划目标匹配性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考察项目与部门中长期目标是否匹配（2020、2021、2022检测计划）</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匹配，得满分；不匹配，不得分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部门中长期规划目标</w:t>
            </w:r>
          </w:p>
        </w:tc>
      </w:tr>
      <w:tr>
        <w:tblPrEx>
          <w:tblLayout w:type="fixed"/>
          <w:tblCellMar>
            <w:top w:w="0" w:type="dxa"/>
            <w:left w:w="108" w:type="dxa"/>
            <w:bottom w:w="0" w:type="dxa"/>
            <w:right w:w="108" w:type="dxa"/>
          </w:tblCellMar>
        </w:tblPrEx>
        <w:trPr>
          <w:trHeight w:val="105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A12.立项依据充分性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A121.与市政府相关规划、决策匹配性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考察项目是否符合区政府相关发展规划和政府决策</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符合，得满分；不符合，不得分。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区政府相关规划、决策、批复</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A122.与部门职责适应性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考察项目是否与部门职责密切相关。</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部门职责文件</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A13.项目立项规范性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A131.前期调研情况</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考察项目立项是否经过前期调研。（</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桥梁设施建成及使用时间，现有病害表现及</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A132.立项程序规范性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考察项目的申请、设立过程是否符合相关要求。</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立项申请、批复文件</w:t>
            </w:r>
          </w:p>
        </w:tc>
      </w:tr>
      <w:tr>
        <w:tblPrEx>
          <w:tblLayout w:type="fixed"/>
          <w:tblCellMar>
            <w:top w:w="0" w:type="dxa"/>
            <w:left w:w="108" w:type="dxa"/>
            <w:bottom w:w="0" w:type="dxa"/>
            <w:right w:w="108" w:type="dxa"/>
          </w:tblCellMar>
        </w:tblPrEx>
        <w:trPr>
          <w:trHeight w:val="91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A2.项目目标（12%）</w:t>
            </w:r>
          </w:p>
        </w:tc>
        <w:tc>
          <w:tcPr>
            <w:tcW w:w="1134"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A21.绩效目标设定的合理性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A211.绩效目标相关性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考察设定的绩效目标是否与事业发展规划相关。</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绩效目标申报表、部门规划、年度工作目标</w:t>
            </w:r>
          </w:p>
        </w:tc>
      </w:tr>
      <w:tr>
        <w:tblPrEx>
          <w:tblLayout w:type="fixed"/>
          <w:tblCellMar>
            <w:top w:w="0" w:type="dxa"/>
            <w:left w:w="108" w:type="dxa"/>
            <w:bottom w:w="0" w:type="dxa"/>
            <w:right w:w="108" w:type="dxa"/>
          </w:tblCellMar>
        </w:tblPrEx>
        <w:trPr>
          <w:trHeight w:val="108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A212.绩效目标完整性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考察设定的绩效目标是否完整地反应预期产出和效果</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绩效目标申报表、年度工作目标、立项申请、批复文件</w:t>
            </w:r>
          </w:p>
        </w:tc>
      </w:tr>
      <w:tr>
        <w:tblPrEx>
          <w:tblLayout w:type="fixed"/>
          <w:tblCellMar>
            <w:top w:w="0" w:type="dxa"/>
            <w:left w:w="108" w:type="dxa"/>
            <w:bottom w:w="0" w:type="dxa"/>
            <w:right w:w="108" w:type="dxa"/>
          </w:tblCellMar>
        </w:tblPrEx>
        <w:trPr>
          <w:trHeight w:val="82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A213.目标与预算的匹配性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考察设定的绩效目标是否与年度预算相匹配。</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绩效目标申报表、立项申请、批复文件</w:t>
            </w:r>
          </w:p>
        </w:tc>
      </w:tr>
      <w:tr>
        <w:tblPrEx>
          <w:tblLayout w:type="fixed"/>
          <w:tblCellMar>
            <w:top w:w="0" w:type="dxa"/>
            <w:left w:w="108" w:type="dxa"/>
            <w:bottom w:w="0" w:type="dxa"/>
            <w:right w:w="108" w:type="dxa"/>
          </w:tblCellMar>
        </w:tblPrEx>
        <w:trPr>
          <w:trHeight w:val="79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A22.绩效指标设定的明确性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A221.指标细化分解情况</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3</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考察是否将绩效目标细化分解为清晰、可衡量的绩效指标。</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绩效目标申报表、立项申请、批复文件</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A222.指标与目标的匹配性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3</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考察设定的绩效指标是否与年度工作任务相对应。</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绩效目标申报表、年度工作任务</w:t>
            </w:r>
          </w:p>
        </w:tc>
      </w:tr>
      <w:tr>
        <w:tblPrEx>
          <w:tblLayout w:type="fixed"/>
          <w:tblCellMar>
            <w:top w:w="0" w:type="dxa"/>
            <w:left w:w="108" w:type="dxa"/>
            <w:bottom w:w="0" w:type="dxa"/>
            <w:right w:w="108" w:type="dxa"/>
          </w:tblCellMar>
        </w:tblPrEx>
        <w:trPr>
          <w:trHeight w:val="720" w:hRule="atLeast"/>
        </w:trPr>
        <w:tc>
          <w:tcPr>
            <w:tcW w:w="84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B.项目管理（20%）</w:t>
            </w:r>
          </w:p>
        </w:tc>
        <w:tc>
          <w:tcPr>
            <w:tcW w:w="102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B1.投入管理（4%）</w:t>
            </w: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B11.预算编制合理性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考察预算编制是否充分、合理的预计项目支出并完整反应</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合理得满分；存在一项不合理，扣0.5分，扣完为止</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预算分析、预算批复</w:t>
            </w:r>
          </w:p>
        </w:tc>
      </w:tr>
      <w:tr>
        <w:tblPrEx>
          <w:tblLayout w:type="fixed"/>
          <w:tblCellMar>
            <w:top w:w="0" w:type="dxa"/>
            <w:left w:w="108" w:type="dxa"/>
            <w:bottom w:w="0" w:type="dxa"/>
            <w:right w:w="108" w:type="dxa"/>
          </w:tblCellMar>
        </w:tblPrEx>
        <w:trPr>
          <w:trHeight w:val="81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B12.预算调整规范性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考察存在预算调整时是否按照相关规定执行调整程序。</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规范，得满分；部分规范，扣0.5分；不规范，不得分。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预算调整文件</w:t>
            </w:r>
          </w:p>
        </w:tc>
      </w:tr>
      <w:tr>
        <w:tblPrEx>
          <w:tblLayout w:type="fixed"/>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B13.预算执行率</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考察项目预算执行的进度。预算执行率=实际支出金额/项目预算金额×100%（按招标定价）</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预算执行率95%以上，得满分；低于95%，每下降1%扣权重的1%；预算执行率60%以下，不计分。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绩效目标申报表、支付指令、合同、财务凭证</w:t>
            </w:r>
          </w:p>
        </w:tc>
      </w:tr>
      <w:tr>
        <w:tblPrEx>
          <w:tblLayout w:type="fixed"/>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B2.财务管理（6%）</w:t>
            </w: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B21.资金使用情况</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考察项目资金使用是否符合预算批复的用途，是否存在截留、挤占、挪用、虚列支出等情况。</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合规，得满分；存在一项不合规，扣1分，扣完为止。</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绩效目标申报表、支付指令，合同、财务凭证</w:t>
            </w:r>
          </w:p>
        </w:tc>
      </w:tr>
      <w:tr>
        <w:tblPrEx>
          <w:tblLayout w:type="fixed"/>
          <w:tblCellMar>
            <w:top w:w="0" w:type="dxa"/>
            <w:left w:w="108" w:type="dxa"/>
            <w:bottom w:w="0" w:type="dxa"/>
            <w:right w:w="108" w:type="dxa"/>
          </w:tblCellMar>
        </w:tblPrEx>
        <w:trPr>
          <w:trHeight w:val="228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B22.财务管理制度健全性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考察项目的财务制度是否健全、完善、有效。</w:t>
            </w:r>
          </w:p>
        </w:tc>
        <w:tc>
          <w:tcPr>
            <w:tcW w:w="1955" w:type="dxa"/>
            <w:tcBorders>
              <w:top w:val="nil"/>
              <w:left w:val="nil"/>
              <w:bottom w:val="single" w:color="auto" w:sz="4" w:space="0"/>
              <w:right w:val="single" w:color="auto" w:sz="4" w:space="0"/>
            </w:tcBorders>
            <w:vAlign w:val="top"/>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a.是否已制定或具有相应的财务管理办法；                         b.项目财务管理办法是否符合相关财务会计制度的规定；                                              c.是否存在需要完善的风险控制环节。                            符合所有条件，得满分； 一项不符合，扣0.5分，扣完为止。</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财务管理制度</w:t>
            </w:r>
          </w:p>
        </w:tc>
      </w:tr>
      <w:tr>
        <w:tblPrEx>
          <w:tblLayout w:type="fixed"/>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B23.财务监控有效性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B231.资金拨付程序完整性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考察资金拨付是否具有完整的审批程序和手续，是否符合相关制度规定。</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资金拨付申请、审批手续完整，得满分；存在一例手续不完整，不得分。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支付申请单、支付指令</w:t>
            </w:r>
          </w:p>
        </w:tc>
      </w:tr>
      <w:tr>
        <w:tblPrEx>
          <w:tblLayout w:type="fixed"/>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B232财务制度执行有效性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考察是否存在违反相关财务管理制度的情况。</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不存在，得满分；存在1例，不得分。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财务管理制度、访谈、会计凭证</w:t>
            </w:r>
          </w:p>
        </w:tc>
      </w:tr>
      <w:tr>
        <w:tblPrEx>
          <w:tblLayout w:type="fixed"/>
          <w:tblCellMar>
            <w:top w:w="0" w:type="dxa"/>
            <w:left w:w="108" w:type="dxa"/>
            <w:bottom w:w="0" w:type="dxa"/>
            <w:right w:w="108" w:type="dxa"/>
          </w:tblCellMar>
        </w:tblPrEx>
        <w:trPr>
          <w:trHeight w:val="120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B3.项目实施（10%）</w:t>
            </w:r>
          </w:p>
        </w:tc>
        <w:tc>
          <w:tcPr>
            <w:tcW w:w="1134"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B31.项目管理制度健全性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B311.项目实施单位管理制度健全性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项目实施单位为保障项目顺利实施制订的与项目直接相关的业务管理制度是否健全、完善和有效。</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制订相关制度或采取措施，得满分；制度不完善或者措施不明确，得权重的60%；没有相关制度或措施，不得分。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项目实施单位管理制度、访谈、现场调查</w:t>
            </w:r>
          </w:p>
        </w:tc>
      </w:tr>
      <w:tr>
        <w:tblPrEx>
          <w:tblLayout w:type="fixed"/>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B312.管理方监管措施健全性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考察项目主管部门为保障项目顺利实施采取的监管措施是否明确，是否存在需要完善的风险控制环节。</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监管措施明确、完善，得满分；每存在一项需要完善的风险控制点，扣权重的30%，扣完为止。</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管理制度、访谈、现场调查</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B32.项目管理制度执行有效性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B321.项目实施单位管理制度执行情况</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考察项目实施单位制订的管理制度是否有效执行。</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有效执行，得满分；部分执行，得权重的60%；未执行，不得分。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项目实施单位管理制度、现场调查</w:t>
            </w:r>
          </w:p>
        </w:tc>
      </w:tr>
      <w:tr>
        <w:tblPrEx>
          <w:tblLayout w:type="fixed"/>
          <w:tblCellMar>
            <w:top w:w="0" w:type="dxa"/>
            <w:left w:w="108" w:type="dxa"/>
            <w:bottom w:w="0" w:type="dxa"/>
            <w:right w:w="108" w:type="dxa"/>
          </w:tblCellMar>
        </w:tblPrEx>
        <w:trPr>
          <w:trHeight w:val="94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B322.监管措施执行情况</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项目主管部门所制订的监管措施是否有效执行。</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有效执行，得满分；部分执行，得权重的60%；未执行，不得分。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管理制度、现场调查</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B323.合同执行情况</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考察与项目相关的合同是否有效执行。</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有效执行，得满分；部分执行，得权重的60%；未执行，不得分。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合同、现场调查</w:t>
            </w:r>
          </w:p>
        </w:tc>
      </w:tr>
      <w:tr>
        <w:tblPrEx>
          <w:tblLayout w:type="fixed"/>
          <w:tblCellMar>
            <w:top w:w="0" w:type="dxa"/>
            <w:left w:w="108" w:type="dxa"/>
            <w:bottom w:w="0" w:type="dxa"/>
            <w:right w:w="108" w:type="dxa"/>
          </w:tblCellMar>
        </w:tblPrEx>
        <w:trPr>
          <w:trHeight w:val="78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B324.台账记录规范性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考察项目实施过程中的相关台账记录是否完整，并符合要求。</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规范，得满分；部分规范，得权重的60%；不规范，不得分。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台账记录</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B33.政府采购规范性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B331.采购方式合规性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考察采购方式是否符合中央、省、市、区的相关要求。</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符合相关要求，得满分；一项不符合，不得分。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政府采购相关材料</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B332.采购流程规范性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考察采购流程是否符合相关规定。</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符合相关要求，得满分；一项不符合，不得分。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政府采购相关材料</w:t>
            </w:r>
          </w:p>
        </w:tc>
      </w:tr>
      <w:tr>
        <w:tblPrEx>
          <w:tblLayout w:type="fixed"/>
          <w:tblCellMar>
            <w:top w:w="0" w:type="dxa"/>
            <w:left w:w="108" w:type="dxa"/>
            <w:bottom w:w="0" w:type="dxa"/>
            <w:right w:w="108" w:type="dxa"/>
          </w:tblCellMar>
        </w:tblPrEx>
        <w:trPr>
          <w:trHeight w:val="1200" w:hRule="atLeast"/>
        </w:trPr>
        <w:tc>
          <w:tcPr>
            <w:tcW w:w="84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C.项目绩效（60%）</w:t>
            </w:r>
          </w:p>
        </w:tc>
        <w:tc>
          <w:tcPr>
            <w:tcW w:w="102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C1.项目产出（30%））</w:t>
            </w:r>
          </w:p>
        </w:tc>
        <w:tc>
          <w:tcPr>
            <w:tcW w:w="1134"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C11.桥梁检测工作完成情况</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C111.检测工作完成</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8</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8</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20</w:t>
            </w:r>
            <w:r>
              <w:rPr>
                <w:rFonts w:hint="eastAsia" w:asciiTheme="majorEastAsia" w:hAnsiTheme="majorEastAsia" w:eastAsiaTheme="majorEastAsia" w:cstheme="majorEastAsia"/>
                <w:b w:val="0"/>
                <w:bCs w:val="0"/>
                <w:color w:val="000000"/>
                <w:kern w:val="0"/>
                <w:sz w:val="15"/>
                <w:szCs w:val="15"/>
                <w:lang w:val="en-US" w:eastAsia="zh-CN"/>
              </w:rPr>
              <w:t>21</w:t>
            </w:r>
            <w:r>
              <w:rPr>
                <w:rFonts w:hint="eastAsia" w:asciiTheme="majorEastAsia" w:hAnsiTheme="majorEastAsia" w:eastAsiaTheme="majorEastAsia" w:cstheme="majorEastAsia"/>
                <w:b w:val="0"/>
                <w:bCs w:val="0"/>
                <w:color w:val="000000"/>
                <w:kern w:val="0"/>
                <w:sz w:val="15"/>
                <w:szCs w:val="15"/>
              </w:rPr>
              <w:t>年严格按照年初计划完成招标检测工作</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全部处理，得满分；每降低1%，扣权重的3%，扣完为止。</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r>
      <w:tr>
        <w:tblPrEx>
          <w:tblLayout w:type="fixed"/>
          <w:tblCellMar>
            <w:top w:w="0" w:type="dxa"/>
            <w:left w:w="108" w:type="dxa"/>
            <w:bottom w:w="0" w:type="dxa"/>
            <w:right w:w="108" w:type="dxa"/>
          </w:tblCellMar>
        </w:tblPrEx>
        <w:trPr>
          <w:trHeight w:val="82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C112.检测报告</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8</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8</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中标单位及时提供检测报告</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全部及时处理，得满分；存在一次未及时处理的，扣权重的10%，扣完为止。</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提供检测报告</w:t>
            </w:r>
          </w:p>
        </w:tc>
      </w:tr>
      <w:tr>
        <w:tblPrEx>
          <w:tblLayout w:type="fixed"/>
          <w:tblCellMar>
            <w:top w:w="0" w:type="dxa"/>
            <w:left w:w="108" w:type="dxa"/>
            <w:bottom w:w="0" w:type="dxa"/>
            <w:right w:w="108" w:type="dxa"/>
          </w:tblCellMar>
        </w:tblPrEx>
        <w:trPr>
          <w:trHeight w:val="8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C113.检测信息及时上报</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9</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9</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根据检测结果及时向上级反馈。</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全部合格，得满分；存在一次超标，扣权重的10%，扣完为止。</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检测报告</w:t>
            </w:r>
          </w:p>
        </w:tc>
      </w:tr>
      <w:tr>
        <w:tblPrEx>
          <w:tblLayout w:type="fixed"/>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C14.桥梁安全检测成本控制</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C141. 桥梁安全检测成本控制</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5</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5</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考察通过桥梁安全检测资金成本控制</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完成招标文件工作内容，资金控制在政府资金范围内的满分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成本核查分析</w:t>
            </w:r>
          </w:p>
        </w:tc>
      </w:tr>
      <w:tr>
        <w:tblPrEx>
          <w:tblLayout w:type="fixed"/>
          <w:tblCellMar>
            <w:top w:w="0" w:type="dxa"/>
            <w:left w:w="108" w:type="dxa"/>
            <w:bottom w:w="0" w:type="dxa"/>
            <w:right w:w="108" w:type="dxa"/>
          </w:tblCellMar>
        </w:tblPrEx>
        <w:trPr>
          <w:trHeight w:val="271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C2.项目效益（30%）（</w:t>
            </w: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C21.社会效益</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C211.满足市民安全出行的需要为社会经济建设提供有力保障</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15</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14</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考察是否因桥梁检测工作安排不及时不合理而造成不良社会影响</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满足满足市民安全出行的需要为社会经济建设提供有力保障</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报表、会议纪要</w:t>
            </w:r>
          </w:p>
        </w:tc>
      </w:tr>
      <w:tr>
        <w:tblPrEx>
          <w:tblLayout w:type="fixed"/>
          <w:tblCellMar>
            <w:top w:w="0" w:type="dxa"/>
            <w:left w:w="108" w:type="dxa"/>
            <w:bottom w:w="0" w:type="dxa"/>
            <w:right w:w="108" w:type="dxa"/>
          </w:tblCellMar>
        </w:tblPrEx>
        <w:trPr>
          <w:trHeight w:val="232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C22.生态效益</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C221.在检测过程中保证严格遵守规范要求，不破坏生态，不污染环境</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15</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14</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.在检测过程中保证严格遵守规范要求，不破坏生态，不污染环境，减少一次性材料使用</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在检测过程中保证严格遵守规范要求，不破坏生态，不污染环境，减少一次性材料使用发生市民投诉一次扣10%，直至扣完为止</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r>
      <w:tr>
        <w:tblPrEx>
          <w:tblLayout w:type="fixed"/>
          <w:tblCellMar>
            <w:top w:w="0" w:type="dxa"/>
            <w:left w:w="108" w:type="dxa"/>
            <w:bottom w:w="0" w:type="dxa"/>
            <w:right w:w="108" w:type="dxa"/>
          </w:tblCellMar>
        </w:tblPrEx>
        <w:trPr>
          <w:trHeight w:val="540" w:hRule="atLeast"/>
        </w:trPr>
        <w:tc>
          <w:tcPr>
            <w:tcW w:w="846" w:type="dxa"/>
            <w:tcBorders>
              <w:top w:val="nil"/>
              <w:left w:val="single" w:color="auto" w:sz="4" w:space="0"/>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合计</w:t>
            </w:r>
          </w:p>
        </w:tc>
        <w:tc>
          <w:tcPr>
            <w:tcW w:w="102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100%</w:t>
            </w: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100分</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r>
              <w:rPr>
                <w:rFonts w:hint="eastAsia" w:asciiTheme="majorEastAsia" w:hAnsiTheme="majorEastAsia" w:eastAsiaTheme="majorEastAsia" w:cstheme="majorEastAsia"/>
                <w:b w:val="0"/>
                <w:bCs w:val="0"/>
                <w:color w:val="000000"/>
                <w:kern w:val="0"/>
                <w:sz w:val="15"/>
                <w:szCs w:val="15"/>
              </w:rPr>
              <w:t>98</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ajorEastAsia" w:hAnsiTheme="majorEastAsia" w:eastAsiaTheme="majorEastAsia" w:cstheme="majorEastAsia"/>
                <w:b w:val="0"/>
                <w:bCs w:val="0"/>
                <w:color w:val="000000"/>
                <w:kern w:val="0"/>
                <w:sz w:val="15"/>
                <w:szCs w:val="15"/>
              </w:rPr>
            </w:pPr>
          </w:p>
        </w:tc>
      </w:tr>
    </w:tbl>
    <w:p>
      <w:pPr>
        <w:topLinePunct/>
        <w:spacing w:line="360" w:lineRule="auto"/>
        <w:ind w:firstLine="750" w:firstLineChars="250"/>
        <w:jc w:val="left"/>
        <w:rPr>
          <w:rFonts w:hint="eastAsia" w:ascii="仿宋_GB2312" w:hAnsi="仿宋_GB2312" w:eastAsia="仿宋_GB2312" w:cs="仿宋_GB2312"/>
          <w:b w:val="0"/>
          <w:bCs w:val="0"/>
          <w:sz w:val="30"/>
          <w:szCs w:val="30"/>
        </w:rPr>
      </w:pPr>
    </w:p>
    <w:p>
      <w:pPr>
        <w:spacing w:line="360" w:lineRule="auto"/>
        <w:ind w:firstLine="452" w:firstLineChars="150"/>
        <w:jc w:val="left"/>
        <w:rPr>
          <w:rFonts w:hint="eastAsia" w:ascii="仿宋_GB2312" w:hAnsi="仿宋_GB2312" w:eastAsia="仿宋_GB2312" w:cs="仿宋_GB2312"/>
          <w:b w:val="0"/>
          <w:bCs w:val="0"/>
          <w:color w:val="000000"/>
          <w:sz w:val="30"/>
          <w:szCs w:val="30"/>
          <w:shd w:val="clear" w:color="auto" w:fill="FFFFFF"/>
        </w:rPr>
      </w:pPr>
      <w:r>
        <w:rPr>
          <w:rFonts w:hint="eastAsia" w:ascii="仿宋_GB2312" w:hAnsi="仿宋_GB2312" w:eastAsia="仿宋_GB2312" w:cs="仿宋_GB2312"/>
          <w:b/>
          <w:bCs/>
          <w:sz w:val="30"/>
          <w:szCs w:val="30"/>
        </w:rPr>
        <w:t>四、成本效益分析。</w:t>
      </w:r>
      <w:r>
        <w:rPr>
          <w:rFonts w:hint="eastAsia" w:ascii="仿宋_GB2312" w:hAnsi="仿宋_GB2312" w:eastAsia="仿宋_GB2312" w:cs="仿宋_GB2312"/>
          <w:b w:val="0"/>
          <w:bCs w:val="0"/>
          <w:sz w:val="30"/>
          <w:szCs w:val="30"/>
        </w:rPr>
        <w:t>因城市桥梁安全检测目前遵照《城镇道路养护技术规范》（CJJ36-2016）《城市桥梁检测与评定技术规范》及待检桥梁设施的实际病害及交通流量，建成使用年代，历年地质水文天气等诸多情况制定检测内容。再依据已知工程量及</w:t>
      </w:r>
      <w:r>
        <w:rPr>
          <w:rFonts w:hint="eastAsia" w:ascii="仿宋_GB2312" w:hAnsi="仿宋_GB2312" w:eastAsia="仿宋_GB2312" w:cs="仿宋_GB2312"/>
          <w:b w:val="0"/>
          <w:bCs w:val="0"/>
          <w:color w:val="000000"/>
          <w:sz w:val="30"/>
          <w:szCs w:val="30"/>
          <w:shd w:val="clear" w:color="auto" w:fill="FFFFFF"/>
        </w:rPr>
        <w:t>《云南省公路工程试验检测费用指导价2013版》 制定招标价。采用综合评标法，进行招标采购，能够有效进行成本控制，保障检测工作的顺利进行，检测结果的真实有效。</w:t>
      </w:r>
    </w:p>
    <w:p>
      <w:pPr>
        <w:spacing w:line="360" w:lineRule="auto"/>
        <w:ind w:firstLine="450" w:firstLineChars="15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color w:val="000000"/>
          <w:sz w:val="30"/>
          <w:szCs w:val="30"/>
          <w:shd w:val="clear" w:color="auto" w:fill="FFFFFF"/>
        </w:rPr>
        <w:t>资金使用严格遵守专款专用，以合同约定如期支付。</w:t>
      </w:r>
    </w:p>
    <w:p>
      <w:pPr>
        <w:topLinePunct/>
        <w:spacing w:line="360" w:lineRule="auto"/>
        <w:ind w:firstLine="753" w:firstLineChars="25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五、主要经验及做法、存在的问题和建议</w:t>
      </w:r>
    </w:p>
    <w:p>
      <w:pPr>
        <w:spacing w:line="360" w:lineRule="auto"/>
        <w:ind w:firstLine="602"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bCs/>
          <w:sz w:val="30"/>
          <w:szCs w:val="30"/>
        </w:rPr>
        <w:t>（一）主要经验及做法</w:t>
      </w:r>
      <w:r>
        <w:rPr>
          <w:rFonts w:hint="eastAsia" w:ascii="仿宋_GB2312" w:hAnsi="仿宋_GB2312" w:eastAsia="仿宋_GB2312" w:cs="仿宋_GB2312"/>
          <w:b/>
          <w:bCs/>
          <w:sz w:val="30"/>
          <w:szCs w:val="30"/>
          <w:lang w:eastAsia="zh-CN"/>
        </w:rPr>
        <w:t>：</w:t>
      </w:r>
      <w:r>
        <w:rPr>
          <w:rFonts w:hint="eastAsia" w:ascii="仿宋_GB2312" w:hAnsi="仿宋_GB2312" w:eastAsia="仿宋_GB2312" w:cs="仿宋_GB2312"/>
          <w:b w:val="0"/>
          <w:bCs w:val="0"/>
          <w:sz w:val="30"/>
          <w:szCs w:val="30"/>
        </w:rPr>
        <w:t>严格按照国家相关法律法规进行公开招投标，确定检测单位。</w:t>
      </w:r>
    </w:p>
    <w:p>
      <w:pPr>
        <w:topLinePunct/>
        <w:spacing w:line="360" w:lineRule="auto"/>
        <w:ind w:firstLine="753" w:firstLineChars="250"/>
        <w:jc w:val="left"/>
        <w:rPr>
          <w:rFonts w:hint="eastAsia" w:ascii="仿宋_GB2312" w:hAnsi="仿宋_GB2312" w:eastAsia="仿宋_GB2312" w:cs="仿宋_GB2312"/>
          <w:b w:val="0"/>
          <w:bCs w:val="0"/>
          <w:sz w:val="30"/>
          <w:szCs w:val="30"/>
          <w:lang w:eastAsia="zh-CN"/>
        </w:rPr>
      </w:pPr>
      <w:r>
        <w:rPr>
          <w:rFonts w:hint="eastAsia" w:ascii="仿宋_GB2312" w:hAnsi="仿宋_GB2312" w:eastAsia="仿宋_GB2312" w:cs="仿宋_GB2312"/>
          <w:b/>
          <w:bCs/>
          <w:sz w:val="30"/>
          <w:szCs w:val="30"/>
        </w:rPr>
        <w:t>（二）存在的问题</w:t>
      </w:r>
      <w:r>
        <w:rPr>
          <w:rFonts w:hint="eastAsia" w:ascii="仿宋_GB2312" w:hAnsi="仿宋_GB2312" w:eastAsia="仿宋_GB2312" w:cs="仿宋_GB2312"/>
          <w:b/>
          <w:bCs/>
          <w:sz w:val="30"/>
          <w:szCs w:val="30"/>
          <w:lang w:eastAsia="zh-CN"/>
        </w:rPr>
        <w:t>：</w:t>
      </w:r>
      <w:r>
        <w:rPr>
          <w:rFonts w:hint="eastAsia" w:ascii="仿宋_GB2312" w:hAnsi="仿宋_GB2312" w:eastAsia="仿宋_GB2312" w:cs="仿宋_GB2312"/>
          <w:b w:val="0"/>
          <w:bCs w:val="0"/>
          <w:sz w:val="30"/>
          <w:szCs w:val="30"/>
        </w:rPr>
        <w:t>加强前期巡查力度，逐步完善基础数据，制定更加合理的年度检测计划。</w:t>
      </w:r>
    </w:p>
    <w:p>
      <w:pPr>
        <w:spacing w:line="360" w:lineRule="auto"/>
        <w:ind w:firstLine="602"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bCs/>
          <w:sz w:val="30"/>
          <w:szCs w:val="30"/>
        </w:rPr>
        <w:t>（三）建议和改进措施。</w:t>
      </w:r>
      <w:r>
        <w:rPr>
          <w:rFonts w:hint="eastAsia" w:ascii="仿宋_GB2312" w:hAnsi="仿宋_GB2312" w:eastAsia="仿宋_GB2312" w:cs="仿宋_GB2312"/>
          <w:b w:val="0"/>
          <w:bCs w:val="0"/>
          <w:sz w:val="30"/>
          <w:szCs w:val="30"/>
        </w:rPr>
        <w:t xml:space="preserve"> 合理计划招标及检测时间，避开不利于工作开展的雨季，确保检测效果的有效性，因地制宜制定科学养护计划，保障桥梁设施安全运营。</w:t>
      </w:r>
    </w:p>
    <w:p>
      <w:pPr>
        <w:spacing w:line="360" w:lineRule="auto"/>
        <w:jc w:val="left"/>
        <w:rPr>
          <w:rFonts w:hint="eastAsia" w:ascii="仿宋_GB2312" w:hAnsi="仿宋_GB2312" w:eastAsia="仿宋_GB2312" w:cs="仿宋_GB2312"/>
          <w:b w:val="0"/>
          <w:bCs w:val="0"/>
          <w:sz w:val="30"/>
          <w:szCs w:val="30"/>
        </w:rPr>
      </w:pPr>
    </w:p>
    <w:p>
      <w:pPr>
        <w:spacing w:line="360" w:lineRule="auto"/>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绩效评价报告正文后附以下佐证材料</w:t>
      </w:r>
    </w:p>
    <w:p>
      <w:pPr>
        <w:numPr>
          <w:ilvl w:val="0"/>
          <w:numId w:val="0"/>
        </w:numPr>
        <w:spacing w:line="360" w:lineRule="auto"/>
        <w:ind w:left="284" w:leftChars="0"/>
        <w:jc w:val="left"/>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1.绩效评价指标体系</w:t>
      </w:r>
      <w:r>
        <w:rPr>
          <w:rFonts w:hint="eastAsia" w:ascii="仿宋_GB2312" w:hAnsi="仿宋_GB2312" w:eastAsia="仿宋_GB2312" w:cs="仿宋_GB2312"/>
          <w:b/>
          <w:bCs/>
          <w:sz w:val="30"/>
          <w:szCs w:val="30"/>
          <w:lang w:eastAsia="zh-CN"/>
        </w:rPr>
        <w:t>：</w:t>
      </w:r>
    </w:p>
    <w:tbl>
      <w:tblPr>
        <w:tblStyle w:val="6"/>
        <w:tblpPr w:leftFromText="180" w:rightFromText="180" w:vertAnchor="text" w:horzAnchor="page" w:tblpX="1201" w:tblpY="383"/>
        <w:tblW w:w="10412" w:type="dxa"/>
        <w:tblInd w:w="0" w:type="dxa"/>
        <w:tblLayout w:type="fixed"/>
        <w:tblCellMar>
          <w:top w:w="0" w:type="dxa"/>
          <w:left w:w="108" w:type="dxa"/>
          <w:bottom w:w="0" w:type="dxa"/>
          <w:right w:w="108" w:type="dxa"/>
        </w:tblCellMar>
      </w:tblPr>
      <w:tblGrid>
        <w:gridCol w:w="846"/>
        <w:gridCol w:w="1026"/>
        <w:gridCol w:w="1134"/>
        <w:gridCol w:w="1086"/>
        <w:gridCol w:w="499"/>
        <w:gridCol w:w="566"/>
        <w:gridCol w:w="2092"/>
        <w:gridCol w:w="1955"/>
        <w:gridCol w:w="1208"/>
      </w:tblGrid>
      <w:tr>
        <w:tblPrEx>
          <w:tblLayout w:type="fixed"/>
          <w:tblCellMar>
            <w:top w:w="0" w:type="dxa"/>
            <w:left w:w="108" w:type="dxa"/>
            <w:bottom w:w="0" w:type="dxa"/>
            <w:right w:w="108" w:type="dxa"/>
          </w:tblCellMar>
        </w:tblPrEx>
        <w:trPr>
          <w:trHeight w:val="540" w:hRule="atLeast"/>
        </w:trPr>
        <w:tc>
          <w:tcPr>
            <w:tcW w:w="84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一级</w:t>
            </w:r>
          </w:p>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指标</w:t>
            </w:r>
          </w:p>
        </w:tc>
        <w:tc>
          <w:tcPr>
            <w:tcW w:w="1026" w:type="dxa"/>
            <w:tcBorders>
              <w:top w:val="single" w:color="auto" w:sz="4" w:space="0"/>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二级指标</w:t>
            </w:r>
          </w:p>
        </w:tc>
        <w:tc>
          <w:tcPr>
            <w:tcW w:w="1134" w:type="dxa"/>
            <w:tcBorders>
              <w:top w:val="single" w:color="auto" w:sz="4" w:space="0"/>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三级指标</w:t>
            </w:r>
          </w:p>
        </w:tc>
        <w:tc>
          <w:tcPr>
            <w:tcW w:w="1086" w:type="dxa"/>
            <w:tcBorders>
              <w:top w:val="single" w:color="auto" w:sz="4" w:space="0"/>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四级指标</w:t>
            </w:r>
          </w:p>
        </w:tc>
        <w:tc>
          <w:tcPr>
            <w:tcW w:w="499" w:type="dxa"/>
            <w:tcBorders>
              <w:top w:val="single" w:color="auto" w:sz="4" w:space="0"/>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分值</w:t>
            </w:r>
          </w:p>
        </w:tc>
        <w:tc>
          <w:tcPr>
            <w:tcW w:w="566" w:type="dxa"/>
            <w:tcBorders>
              <w:top w:val="single" w:color="auto" w:sz="4" w:space="0"/>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得分</w:t>
            </w:r>
          </w:p>
        </w:tc>
        <w:tc>
          <w:tcPr>
            <w:tcW w:w="2092" w:type="dxa"/>
            <w:tcBorders>
              <w:top w:val="single" w:color="auto" w:sz="4" w:space="0"/>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指标解释</w:t>
            </w:r>
          </w:p>
        </w:tc>
        <w:tc>
          <w:tcPr>
            <w:tcW w:w="1955" w:type="dxa"/>
            <w:tcBorders>
              <w:top w:val="single" w:color="auto" w:sz="4" w:space="0"/>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评分标准</w:t>
            </w:r>
          </w:p>
        </w:tc>
        <w:tc>
          <w:tcPr>
            <w:tcW w:w="1208" w:type="dxa"/>
            <w:tcBorders>
              <w:top w:val="single" w:color="auto" w:sz="4" w:space="0"/>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数据来源</w:t>
            </w:r>
          </w:p>
        </w:tc>
      </w:tr>
      <w:tr>
        <w:tblPrEx>
          <w:tblLayout w:type="fixed"/>
          <w:tblCellMar>
            <w:top w:w="0" w:type="dxa"/>
            <w:left w:w="108" w:type="dxa"/>
            <w:bottom w:w="0" w:type="dxa"/>
            <w:right w:w="108" w:type="dxa"/>
          </w:tblCellMar>
        </w:tblPrEx>
        <w:trPr>
          <w:trHeight w:val="900" w:hRule="atLeast"/>
        </w:trPr>
        <w:tc>
          <w:tcPr>
            <w:tcW w:w="84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A.项目决策（20%）</w:t>
            </w:r>
          </w:p>
        </w:tc>
        <w:tc>
          <w:tcPr>
            <w:tcW w:w="102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A1.项目立项（8%）</w:t>
            </w: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A11.与部门中长期规划目标适应性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A111.与部门中长期规划目标匹配性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考察项目与部门中长期目标是否匹配（2020、2021、2022检测计划）</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匹配，得满分；不匹配，不得分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部门中长期规划目标</w:t>
            </w:r>
          </w:p>
        </w:tc>
      </w:tr>
      <w:tr>
        <w:tblPrEx>
          <w:tblLayout w:type="fixed"/>
          <w:tblCellMar>
            <w:top w:w="0" w:type="dxa"/>
            <w:left w:w="108" w:type="dxa"/>
            <w:bottom w:w="0" w:type="dxa"/>
            <w:right w:w="108" w:type="dxa"/>
          </w:tblCellMar>
        </w:tblPrEx>
        <w:trPr>
          <w:trHeight w:val="105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A12.立项依据充分性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A121.与市政府相关规划、决策匹配性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考察项目是否符合区政府相关发展规划和政府决策</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符合，得满分；不符合，不得分。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区政府相关规划、决策、批复</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A122.与部门职责适应性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考察项目是否与部门职责密切相关。</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部门职责文件</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A13.项目立项规范性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A131.前期调研情况</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考察项目立项是否经过前期调研。</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桥梁设施建成及使用时间，现有病害表现及</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A132.立项程序规范性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考察项目的申请、设立过程是否符合相关要求。</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立项申请、批复文件</w:t>
            </w:r>
          </w:p>
        </w:tc>
      </w:tr>
      <w:tr>
        <w:tblPrEx>
          <w:tblLayout w:type="fixed"/>
          <w:tblCellMar>
            <w:top w:w="0" w:type="dxa"/>
            <w:left w:w="108" w:type="dxa"/>
            <w:bottom w:w="0" w:type="dxa"/>
            <w:right w:w="108" w:type="dxa"/>
          </w:tblCellMar>
        </w:tblPrEx>
        <w:trPr>
          <w:trHeight w:val="91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A2.项目目标（12%）</w:t>
            </w:r>
          </w:p>
        </w:tc>
        <w:tc>
          <w:tcPr>
            <w:tcW w:w="1134"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A21.绩效目标设定的合理性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A211.绩效目标相关性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考察设定的绩效目标是否与事业发展规划相关。</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绩效目标申报表、部门规划、年度工作目标</w:t>
            </w:r>
          </w:p>
        </w:tc>
      </w:tr>
      <w:tr>
        <w:tblPrEx>
          <w:tblLayout w:type="fixed"/>
          <w:tblCellMar>
            <w:top w:w="0" w:type="dxa"/>
            <w:left w:w="108" w:type="dxa"/>
            <w:bottom w:w="0" w:type="dxa"/>
            <w:right w:w="108" w:type="dxa"/>
          </w:tblCellMar>
        </w:tblPrEx>
        <w:trPr>
          <w:trHeight w:val="108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A212.绩效目标完整性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考察设定的绩效目标是否完整地反应预期产出和效果</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绩效目标申报表、年度工作目标、立项申请、批复文件</w:t>
            </w:r>
          </w:p>
        </w:tc>
      </w:tr>
      <w:tr>
        <w:tblPrEx>
          <w:tblLayout w:type="fixed"/>
          <w:tblCellMar>
            <w:top w:w="0" w:type="dxa"/>
            <w:left w:w="108" w:type="dxa"/>
            <w:bottom w:w="0" w:type="dxa"/>
            <w:right w:w="108" w:type="dxa"/>
          </w:tblCellMar>
        </w:tblPrEx>
        <w:trPr>
          <w:trHeight w:val="82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A213.目标与预算的匹配性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考察设定的绩效目标是否与年度预算相匹配。</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绩效目标申报表、立项申请、批复文件</w:t>
            </w:r>
          </w:p>
        </w:tc>
      </w:tr>
      <w:tr>
        <w:tblPrEx>
          <w:tblLayout w:type="fixed"/>
          <w:tblCellMar>
            <w:top w:w="0" w:type="dxa"/>
            <w:left w:w="108" w:type="dxa"/>
            <w:bottom w:w="0" w:type="dxa"/>
            <w:right w:w="108" w:type="dxa"/>
          </w:tblCellMar>
        </w:tblPrEx>
        <w:trPr>
          <w:trHeight w:val="79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A22.绩效指标设定的明确性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A221.指标细化分解情况</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3</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考察是否将绩效目标细化分解为清晰、可衡量的绩效指标。</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绩效目标申报表、立项申请、批复文件</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A222.指标与目标的匹配性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3</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考察设定的绩效指标是否与年度工作任务相对应。</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是，得满分；否，不得分。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绩效目标申报表、年度工作任务</w:t>
            </w:r>
          </w:p>
        </w:tc>
      </w:tr>
      <w:tr>
        <w:tblPrEx>
          <w:tblLayout w:type="fixed"/>
          <w:tblCellMar>
            <w:top w:w="0" w:type="dxa"/>
            <w:left w:w="108" w:type="dxa"/>
            <w:bottom w:w="0" w:type="dxa"/>
            <w:right w:w="108" w:type="dxa"/>
          </w:tblCellMar>
        </w:tblPrEx>
        <w:trPr>
          <w:trHeight w:val="720" w:hRule="atLeast"/>
        </w:trPr>
        <w:tc>
          <w:tcPr>
            <w:tcW w:w="84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B.项目管理（20%）</w:t>
            </w:r>
          </w:p>
        </w:tc>
        <w:tc>
          <w:tcPr>
            <w:tcW w:w="102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B1.投入管理（4%）</w:t>
            </w: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B11.预算编制合理性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lang w:eastAsia="zh-CN"/>
              </w:rPr>
            </w:pPr>
            <w:r>
              <w:rPr>
                <w:rFonts w:hint="eastAsia" w:asciiTheme="minorEastAsia" w:hAnsiTheme="minorEastAsia" w:eastAsiaTheme="minorEastAsia" w:cstheme="minorEastAsia"/>
                <w:b w:val="0"/>
                <w:bCs w:val="0"/>
                <w:color w:val="000000"/>
                <w:kern w:val="0"/>
                <w:sz w:val="15"/>
                <w:szCs w:val="15"/>
              </w:rPr>
              <w:t>考察预算编制是否充分、合理的预计项目支出并完整反应</w:t>
            </w:r>
            <w:r>
              <w:rPr>
                <w:rFonts w:hint="eastAsia" w:asciiTheme="minorEastAsia" w:hAnsiTheme="minorEastAsia" w:eastAsiaTheme="minorEastAsia" w:cstheme="minorEastAsia"/>
                <w:b w:val="0"/>
                <w:bCs w:val="0"/>
                <w:color w:val="000000"/>
                <w:kern w:val="0"/>
                <w:sz w:val="15"/>
                <w:szCs w:val="15"/>
                <w:lang w:eastAsia="zh-CN"/>
              </w:rPr>
              <w:t>。</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合理得满分；存在一项不合理，扣0.5分，扣完为止</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预算分析、预算批复</w:t>
            </w:r>
          </w:p>
        </w:tc>
      </w:tr>
      <w:tr>
        <w:tblPrEx>
          <w:tblLayout w:type="fixed"/>
          <w:tblCellMar>
            <w:top w:w="0" w:type="dxa"/>
            <w:left w:w="108" w:type="dxa"/>
            <w:bottom w:w="0" w:type="dxa"/>
            <w:right w:w="108" w:type="dxa"/>
          </w:tblCellMar>
        </w:tblPrEx>
        <w:trPr>
          <w:trHeight w:val="81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B12.预算调整规范性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考察存在预算调整时是否按照相关规定执行调整程序。</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规范，得满分；部分规范，扣0.5分；不规范，不得分。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预算调整文件</w:t>
            </w:r>
          </w:p>
        </w:tc>
      </w:tr>
      <w:tr>
        <w:tblPrEx>
          <w:tblLayout w:type="fixed"/>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B13.预算执行率</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考察项目预算执行的进度。预算执行率=实际支出金额/项目预算金额×100%（按招标定价）</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预算执行率95%以上，得满分；低于95%，每下降1%扣权重的1%；预算执行率60%以下，不计分。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绩效目标申报表、支付指令、合同、财务凭证</w:t>
            </w:r>
          </w:p>
        </w:tc>
      </w:tr>
      <w:tr>
        <w:tblPrEx>
          <w:tblLayout w:type="fixed"/>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B2.财务管理（6%）</w:t>
            </w: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B21.资金使用情况</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考察项目资金使用是否符合预算批复的用途，是否存在截留、挤占、挪用、虚列支出等情况。</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合规，得满分；存在一项不合规，扣1分，扣完为止。</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绩效目标申报表、支付指令，合同、财务凭证</w:t>
            </w:r>
          </w:p>
        </w:tc>
      </w:tr>
      <w:tr>
        <w:tblPrEx>
          <w:tblLayout w:type="fixed"/>
          <w:tblCellMar>
            <w:top w:w="0" w:type="dxa"/>
            <w:left w:w="108" w:type="dxa"/>
            <w:bottom w:w="0" w:type="dxa"/>
            <w:right w:w="108" w:type="dxa"/>
          </w:tblCellMar>
        </w:tblPrEx>
        <w:trPr>
          <w:trHeight w:val="228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B22.财务管理制度健全性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考察项目的财务制度是否健全、完善、有效。</w:t>
            </w:r>
          </w:p>
        </w:tc>
        <w:tc>
          <w:tcPr>
            <w:tcW w:w="1955" w:type="dxa"/>
            <w:tcBorders>
              <w:top w:val="nil"/>
              <w:left w:val="nil"/>
              <w:bottom w:val="single" w:color="auto" w:sz="4" w:space="0"/>
              <w:right w:val="single" w:color="auto" w:sz="4" w:space="0"/>
            </w:tcBorders>
            <w:vAlign w:val="top"/>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a.是否已制定或具有相应的财务管理办法；                         b.项目财务管理办法是否符合相关财务会计制度的规定；                                              c.是否存在需要完善的风险控制环节。                            符合所有条件，得满分； 一项不符合，扣0.5分，扣完为止。</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财务管理制度</w:t>
            </w:r>
          </w:p>
        </w:tc>
      </w:tr>
      <w:tr>
        <w:tblPrEx>
          <w:tblLayout w:type="fixed"/>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B23.财务监控有效性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B231.资金拨付程序完整性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考察资金拨付是否具有完整的审批程序和手续，是否符合相关制度规定。</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资金拨付申请、审批手续完整，得满分；存在一例手续不完整，不得分。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支付申请单、支付指令</w:t>
            </w:r>
          </w:p>
        </w:tc>
      </w:tr>
      <w:tr>
        <w:tblPrEx>
          <w:tblLayout w:type="fixed"/>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B232财务制度执行有效性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考察是否存在违反相关财务管理制度的情况。</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不存在，得满分；存在1例，不得分。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财务管理制度、访谈、会计凭证</w:t>
            </w:r>
          </w:p>
        </w:tc>
      </w:tr>
      <w:tr>
        <w:tblPrEx>
          <w:tblLayout w:type="fixed"/>
          <w:tblCellMar>
            <w:top w:w="0" w:type="dxa"/>
            <w:left w:w="108" w:type="dxa"/>
            <w:bottom w:w="0" w:type="dxa"/>
            <w:right w:w="108" w:type="dxa"/>
          </w:tblCellMar>
        </w:tblPrEx>
        <w:trPr>
          <w:trHeight w:val="120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B3.项目实施（10%）</w:t>
            </w:r>
          </w:p>
        </w:tc>
        <w:tc>
          <w:tcPr>
            <w:tcW w:w="1134"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B31.项目管理制度健全性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B311.项目实施单位管理制度健全性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项目实施单位为保障项目顺利实施制订的与项目直接相关的业务管理制度是否健全、完善和有效。</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制订相关制度或采取措施，得满分；制度不完善或者措施不明确，得权重的60%；没有相关制度或措施，不得分。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项目实施单位管理制度、访谈、现场调查</w:t>
            </w:r>
          </w:p>
        </w:tc>
      </w:tr>
      <w:tr>
        <w:tblPrEx>
          <w:tblLayout w:type="fixed"/>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B312.管理方监管措施健全性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考察项目主管部门为保障项目顺利实施采取的监管措施是否明确，是否存在需要完善的风险控制环节。</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监管措施明确、完善，得满分；每存在一项需要完善的风险控制点，扣权重的30%，扣完为止。</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管理制度、访谈、现场调查</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B32.项目管理制度执行有效性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B321.项目实施单位管理制度执行情况</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考察项目实施单位制订的管理制度是否有效执行。</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有效执行，得满分；部分执行，得权重的60%；未执行，不得分。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项目实施单位管理制度、现场调查</w:t>
            </w:r>
          </w:p>
        </w:tc>
      </w:tr>
      <w:tr>
        <w:tblPrEx>
          <w:tblLayout w:type="fixed"/>
          <w:tblCellMar>
            <w:top w:w="0" w:type="dxa"/>
            <w:left w:w="108" w:type="dxa"/>
            <w:bottom w:w="0" w:type="dxa"/>
            <w:right w:w="108" w:type="dxa"/>
          </w:tblCellMar>
        </w:tblPrEx>
        <w:trPr>
          <w:trHeight w:val="94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B322.监管措施执行情况</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项目主管部门所制订的监管措施是否有效执行。</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有效执行，得满分；部分执行，得权重的60%；未执行，不得分。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管理制度、现场调查</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B323.合同执行情况</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考察与项目相关的合同是否有效执行。</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有效执行，得满分；部分执行，得权重的60%；未执行，不得分。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合同、现场调查</w:t>
            </w:r>
          </w:p>
        </w:tc>
      </w:tr>
      <w:tr>
        <w:tblPrEx>
          <w:tblLayout w:type="fixed"/>
          <w:tblCellMar>
            <w:top w:w="0" w:type="dxa"/>
            <w:left w:w="108" w:type="dxa"/>
            <w:bottom w:w="0" w:type="dxa"/>
            <w:right w:w="108" w:type="dxa"/>
          </w:tblCellMar>
        </w:tblPrEx>
        <w:trPr>
          <w:trHeight w:val="78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B324.台账记录规范性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2</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考察项目实施过程中的相关台账记录是否完整，并符合要求。</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规范，得满分；部分规范，得权重的60%；不规范，不得分。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台账记录</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B33.政府采购规范性</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B331.采购方式合规性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考察采购方式是否符合中央、省、市、区的相关要求。</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符合相关要求，得满分；一项不符合，不得分。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政府采购相关材料</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B332.采购流程规范性</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考察采购流程是否符合相关规定。</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符合相关要求，得满分；一项不符合，不得分。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政府采购相关材料</w:t>
            </w:r>
          </w:p>
        </w:tc>
      </w:tr>
      <w:tr>
        <w:tblPrEx>
          <w:tblLayout w:type="fixed"/>
          <w:tblCellMar>
            <w:top w:w="0" w:type="dxa"/>
            <w:left w:w="108" w:type="dxa"/>
            <w:bottom w:w="0" w:type="dxa"/>
            <w:right w:w="108" w:type="dxa"/>
          </w:tblCellMar>
        </w:tblPrEx>
        <w:trPr>
          <w:trHeight w:val="1200" w:hRule="atLeast"/>
        </w:trPr>
        <w:tc>
          <w:tcPr>
            <w:tcW w:w="84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C.项目绩效（60%）</w:t>
            </w:r>
          </w:p>
        </w:tc>
        <w:tc>
          <w:tcPr>
            <w:tcW w:w="102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C1.项目产出（30%））</w:t>
            </w:r>
          </w:p>
        </w:tc>
        <w:tc>
          <w:tcPr>
            <w:tcW w:w="1134"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C11.桥梁检测工作完成情况</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C111.检测工作完成</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8</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8</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lang w:val="en-US" w:eastAsia="zh-CN"/>
              </w:rPr>
              <w:t>2021</w:t>
            </w:r>
            <w:r>
              <w:rPr>
                <w:rFonts w:hint="eastAsia" w:asciiTheme="minorEastAsia" w:hAnsiTheme="minorEastAsia" w:eastAsiaTheme="minorEastAsia" w:cstheme="minorEastAsia"/>
                <w:b w:val="0"/>
                <w:bCs w:val="0"/>
                <w:color w:val="000000"/>
                <w:kern w:val="0"/>
                <w:sz w:val="15"/>
                <w:szCs w:val="15"/>
              </w:rPr>
              <w:t>年严格按照年初计划完成招标检测工作</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全部处理，得满分；每降低1%，扣权重的3%，扣完为止。</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r>
      <w:tr>
        <w:tblPrEx>
          <w:tblLayout w:type="fixed"/>
          <w:tblCellMar>
            <w:top w:w="0" w:type="dxa"/>
            <w:left w:w="108" w:type="dxa"/>
            <w:bottom w:w="0" w:type="dxa"/>
            <w:right w:w="108" w:type="dxa"/>
          </w:tblCellMar>
        </w:tblPrEx>
        <w:trPr>
          <w:trHeight w:val="82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C112.检测报告</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8</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8</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中标单位及时提供检测报告</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全部及时处理，得满分；存在一次未及时处理的，扣权重的10%，扣完为止。</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提供检测报告</w:t>
            </w:r>
          </w:p>
        </w:tc>
      </w:tr>
      <w:tr>
        <w:tblPrEx>
          <w:tblLayout w:type="fixed"/>
          <w:tblCellMar>
            <w:top w:w="0" w:type="dxa"/>
            <w:left w:w="108" w:type="dxa"/>
            <w:bottom w:w="0" w:type="dxa"/>
            <w:right w:w="108" w:type="dxa"/>
          </w:tblCellMar>
        </w:tblPrEx>
        <w:trPr>
          <w:trHeight w:val="8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C113.检测信息及时上报</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9</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9</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根据检测结果及时向上级反馈。</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全部合格，得满分；存在一次超标，扣权重的10%，扣完为止。</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检测报告</w:t>
            </w:r>
          </w:p>
        </w:tc>
      </w:tr>
      <w:tr>
        <w:tblPrEx>
          <w:tblLayout w:type="fixed"/>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C14.桥梁安全检测成本控制</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C141. 桥梁安全检测成本控制</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5</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5</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考察通过桥梁安全检测资金成本控制</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完成招标文件工作内容，资金控制在政府资金范围内的满分</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成本核查分析</w:t>
            </w:r>
          </w:p>
        </w:tc>
      </w:tr>
      <w:tr>
        <w:tblPrEx>
          <w:tblLayout w:type="fixed"/>
          <w:tblCellMar>
            <w:top w:w="0" w:type="dxa"/>
            <w:left w:w="108" w:type="dxa"/>
            <w:bottom w:w="0" w:type="dxa"/>
            <w:right w:w="108" w:type="dxa"/>
          </w:tblCellMar>
        </w:tblPrEx>
        <w:trPr>
          <w:trHeight w:val="271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restart"/>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C2.项目效益（30%）（</w:t>
            </w: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C21.社会效益</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C211.满足市民安全出行的需要为社会经济建设提供有力保障</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15</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14</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考察是否因桥梁检测工作安排不及时不合理而造成不良社会影响</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满足满足市民安全出行的需要为社会经济建设提供有力保障</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报表、会议纪要、访谈</w:t>
            </w:r>
          </w:p>
        </w:tc>
      </w:tr>
      <w:tr>
        <w:tblPrEx>
          <w:tblLayout w:type="fixed"/>
          <w:tblCellMar>
            <w:top w:w="0" w:type="dxa"/>
            <w:left w:w="108" w:type="dxa"/>
            <w:bottom w:w="0" w:type="dxa"/>
            <w:right w:w="108" w:type="dxa"/>
          </w:tblCellMar>
        </w:tblPrEx>
        <w:trPr>
          <w:trHeight w:val="232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26" w:type="dxa"/>
            <w:vMerge w:val="continue"/>
            <w:tcBorders>
              <w:top w:val="nil"/>
              <w:left w:val="single" w:color="auto" w:sz="4" w:space="0"/>
              <w:bottom w:val="single" w:color="000000"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C22.生态效益</w:t>
            </w: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C221.在检测过程中保证严格遵守规范要求，不破坏生态，不污染环境</w:t>
            </w: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15</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14</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.在检测过程中保证严格遵守规范要求，不破坏生态，不污染环境，减少一次性材料使用</w:t>
            </w: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在检测过程中保证严格遵守规范要求，不破坏生态，不污染环境，减少一次性材料使用发生市民投诉一次扣10%，直至扣完为止</w:t>
            </w: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r>
      <w:tr>
        <w:tblPrEx>
          <w:tblLayout w:type="fixed"/>
          <w:tblCellMar>
            <w:top w:w="0" w:type="dxa"/>
            <w:left w:w="108" w:type="dxa"/>
            <w:bottom w:w="0" w:type="dxa"/>
            <w:right w:w="108" w:type="dxa"/>
          </w:tblCellMar>
        </w:tblPrEx>
        <w:trPr>
          <w:trHeight w:val="540" w:hRule="atLeast"/>
        </w:trPr>
        <w:tc>
          <w:tcPr>
            <w:tcW w:w="846" w:type="dxa"/>
            <w:tcBorders>
              <w:top w:val="nil"/>
              <w:left w:val="single" w:color="auto" w:sz="4" w:space="0"/>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合计</w:t>
            </w:r>
          </w:p>
        </w:tc>
        <w:tc>
          <w:tcPr>
            <w:tcW w:w="102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100%</w:t>
            </w:r>
          </w:p>
        </w:tc>
        <w:tc>
          <w:tcPr>
            <w:tcW w:w="1134"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08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499"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100分</w:t>
            </w:r>
          </w:p>
        </w:tc>
        <w:tc>
          <w:tcPr>
            <w:tcW w:w="566"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r>
              <w:rPr>
                <w:rFonts w:hint="eastAsia" w:asciiTheme="minorEastAsia" w:hAnsiTheme="minorEastAsia" w:eastAsiaTheme="minorEastAsia" w:cstheme="minorEastAsia"/>
                <w:b w:val="0"/>
                <w:bCs w:val="0"/>
                <w:color w:val="000000"/>
                <w:kern w:val="0"/>
                <w:sz w:val="15"/>
                <w:szCs w:val="15"/>
              </w:rPr>
              <w:t>98</w:t>
            </w:r>
          </w:p>
        </w:tc>
        <w:tc>
          <w:tcPr>
            <w:tcW w:w="2092"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955"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c>
          <w:tcPr>
            <w:tcW w:w="1208" w:type="dxa"/>
            <w:tcBorders>
              <w:top w:val="nil"/>
              <w:left w:val="nil"/>
              <w:bottom w:val="single" w:color="auto" w:sz="4" w:space="0"/>
              <w:right w:val="single" w:color="auto" w:sz="4" w:space="0"/>
            </w:tcBorders>
            <w:vAlign w:val="center"/>
          </w:tcPr>
          <w:p>
            <w:pPr>
              <w:widowControl/>
              <w:spacing w:line="360" w:lineRule="auto"/>
              <w:jc w:val="left"/>
              <w:rPr>
                <w:rFonts w:hint="eastAsia" w:asciiTheme="minorEastAsia" w:hAnsiTheme="minorEastAsia" w:eastAsiaTheme="minorEastAsia" w:cstheme="minorEastAsia"/>
                <w:b w:val="0"/>
                <w:bCs w:val="0"/>
                <w:color w:val="000000"/>
                <w:kern w:val="0"/>
                <w:sz w:val="15"/>
                <w:szCs w:val="15"/>
              </w:rPr>
            </w:pPr>
          </w:p>
        </w:tc>
      </w:tr>
    </w:tbl>
    <w:p>
      <w:pPr>
        <w:spacing w:line="360" w:lineRule="auto"/>
        <w:ind w:left="630" w:hanging="900" w:hangingChars="300"/>
        <w:jc w:val="left"/>
        <w:rPr>
          <w:rFonts w:hint="eastAsia" w:ascii="仿宋_GB2312" w:hAnsi="仿宋_GB2312" w:eastAsia="仿宋_GB2312" w:cs="仿宋_GB2312"/>
          <w:b w:val="0"/>
          <w:bCs w:val="0"/>
          <w:sz w:val="30"/>
          <w:szCs w:val="30"/>
          <w:lang w:eastAsia="zh-CN"/>
        </w:rPr>
      </w:pPr>
    </w:p>
    <w:p>
      <w:pPr>
        <w:widowControl/>
        <w:numPr>
          <w:ilvl w:val="0"/>
          <w:numId w:val="2"/>
        </w:numPr>
        <w:wordWrap w:val="0"/>
        <w:topLinePunct/>
        <w:adjustRightInd w:val="0"/>
        <w:spacing w:line="360" w:lineRule="auto"/>
        <w:ind w:left="720"/>
        <w:jc w:val="left"/>
        <w:textAlignment w:val="baseline"/>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rPr>
        <w:t>基础数据表（进行成本效益分析需采集的数据）</w:t>
      </w:r>
      <w:r>
        <w:rPr>
          <w:rFonts w:hint="eastAsia" w:ascii="仿宋_GB2312" w:hAnsi="仿宋_GB2312" w:eastAsia="仿宋_GB2312" w:cs="仿宋_GB2312"/>
          <w:b/>
          <w:bCs/>
          <w:sz w:val="30"/>
          <w:szCs w:val="30"/>
          <w:lang w:eastAsia="zh-CN"/>
        </w:rPr>
        <w:t>：</w:t>
      </w:r>
    </w:p>
    <w:p>
      <w:pPr>
        <w:widowControl/>
        <w:numPr>
          <w:ilvl w:val="0"/>
          <w:numId w:val="3"/>
        </w:numPr>
        <w:wordWrap w:val="0"/>
        <w:topLinePunct/>
        <w:adjustRightInd w:val="0"/>
        <w:spacing w:line="360" w:lineRule="auto"/>
        <w:jc w:val="left"/>
        <w:textAlignment w:val="baseline"/>
        <w:rPr>
          <w:rFonts w:hint="eastAsia"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寺瓦立交桥</w:t>
      </w:r>
      <w:r>
        <w:rPr>
          <w:rFonts w:hint="eastAsia" w:ascii="仿宋_GB2312" w:hAnsi="仿宋_GB2312" w:eastAsia="仿宋_GB2312" w:cs="仿宋_GB2312"/>
          <w:b w:val="0"/>
          <w:bCs w:val="0"/>
          <w:color w:val="auto"/>
          <w:sz w:val="30"/>
          <w:szCs w:val="30"/>
        </w:rPr>
        <w:t>：</w:t>
      </w:r>
      <w:r>
        <w:rPr>
          <w:rFonts w:hint="eastAsia" w:ascii="仿宋_GB2312" w:hAnsi="仿宋_GB2312" w:eastAsia="仿宋_GB2312" w:cs="仿宋_GB2312"/>
          <w:b w:val="0"/>
          <w:bCs w:val="0"/>
          <w:color w:val="auto"/>
          <w:sz w:val="30"/>
          <w:szCs w:val="30"/>
          <w:lang w:val="en-US" w:eastAsia="zh-CN"/>
        </w:rPr>
        <w:t>位于昆明市盘龙区东三环上，跨越金瓦路。该桥为预应力混凝土简支梁桥，桥梁全长104.47m，共4跨，跨径组合为4X25m，分为左右两幅，单幅桥宽为17m，单幅桥面横向布置为：左侧防撞护栏（0.53m）+行车道（15.44m）+右侧防撞护栏（0.53m）+右侧伸出防撞墙的部分（0.5m）。</w:t>
      </w:r>
    </w:p>
    <w:p>
      <w:pPr>
        <w:widowControl/>
        <w:numPr>
          <w:ilvl w:val="0"/>
          <w:numId w:val="3"/>
        </w:numPr>
        <w:wordWrap w:val="0"/>
        <w:topLinePunct/>
        <w:adjustRightInd w:val="0"/>
        <w:spacing w:line="360" w:lineRule="auto"/>
        <w:jc w:val="left"/>
        <w:textAlignment w:val="baseline"/>
        <w:rPr>
          <w:rFonts w:hint="eastAsia"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北京路凤凰村人行天桥：位于盘龙区北京路凤凰村公交站口处，为钢结构人行天桥，上跨北京路，桥下净空4.5m。主桥采用1跨门式钢结构梁并加装饰拱，跨径31m，两侧各悬挑2m、1.4m，桥宽为4.0m。</w:t>
      </w:r>
    </w:p>
    <w:p>
      <w:pPr>
        <w:widowControl/>
        <w:numPr>
          <w:ilvl w:val="0"/>
          <w:numId w:val="3"/>
        </w:numPr>
        <w:wordWrap w:val="0"/>
        <w:topLinePunct/>
        <w:adjustRightInd w:val="0"/>
        <w:spacing w:line="360" w:lineRule="auto"/>
        <w:jc w:val="left"/>
        <w:textAlignment w:val="baseline"/>
        <w:rPr>
          <w:rFonts w:hint="eastAsia"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联盟路口人行天桥：位于北京路与联盟路交叉口处，为钢结构人行天桥，上跨北京路，桥下净空4.5m。主桥长49m，宽4.5m，净宽4m，共布置3跨，跨径组合为18.5m+13m+18.m。</w:t>
      </w:r>
    </w:p>
    <w:p>
      <w:pPr>
        <w:widowControl/>
        <w:numPr>
          <w:ilvl w:val="0"/>
          <w:numId w:val="3"/>
        </w:numPr>
        <w:wordWrap w:val="0"/>
        <w:topLinePunct/>
        <w:adjustRightInd w:val="0"/>
        <w:spacing w:line="360" w:lineRule="auto"/>
        <w:jc w:val="left"/>
        <w:textAlignment w:val="baseline"/>
        <w:rPr>
          <w:rFonts w:hint="eastAsia"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昆纺人行天桥：位于盘龙区白塔路与白龙路交叉口北侧，为钢结构人行天桥，桥面布置呈H型，上跨白塔路，桥下净空5m。主桥全长27.5m，宽5.0m，桥型为单孔23.8m的变截面抛物线下乘式钢结构拱桥，主桥两侧均设有人行道梯道，梯道全宽2.5m。</w:t>
      </w:r>
    </w:p>
    <w:p>
      <w:pPr>
        <w:widowControl/>
        <w:numPr>
          <w:ilvl w:val="0"/>
          <w:numId w:val="3"/>
        </w:numPr>
        <w:wordWrap w:val="0"/>
        <w:topLinePunct/>
        <w:adjustRightInd w:val="0"/>
        <w:spacing w:line="360" w:lineRule="auto"/>
        <w:jc w:val="left"/>
        <w:textAlignment w:val="baseline"/>
        <w:rPr>
          <w:rFonts w:hint="eastAsia"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霖雨桥（拱桥）：位于罗丈村北盘龙江上端，跨越盘龙江，该桥为圬工拱桥，桥梁全长35m，共3跨，跨径组合为3*11.6m，桥宽为10.36m，桥下净空3m。</w:t>
      </w:r>
    </w:p>
    <w:p>
      <w:pPr>
        <w:widowControl/>
        <w:numPr>
          <w:ilvl w:val="0"/>
          <w:numId w:val="3"/>
        </w:numPr>
        <w:wordWrap w:val="0"/>
        <w:topLinePunct/>
        <w:adjustRightInd w:val="0"/>
        <w:spacing w:line="360" w:lineRule="auto"/>
        <w:jc w:val="left"/>
        <w:textAlignment w:val="baseline"/>
        <w:rPr>
          <w:rFonts w:hint="eastAsia"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霖雨桥（霖雨路）：位于霖雨路上，上跨盘龙江，该桥为钢筋混凝土简支梁桥，桥梁共3跨，跨径组合为10m+13m+10m，桥宽为31.88m。桥面铺装为沥青混凝土铺装，人行道护栏为钢筋混凝土护栏。</w:t>
      </w:r>
    </w:p>
    <w:p>
      <w:pPr>
        <w:widowControl/>
        <w:numPr>
          <w:ilvl w:val="0"/>
          <w:numId w:val="3"/>
        </w:numPr>
        <w:wordWrap w:val="0"/>
        <w:topLinePunct/>
        <w:adjustRightInd w:val="0"/>
        <w:spacing w:line="360" w:lineRule="auto"/>
        <w:jc w:val="left"/>
        <w:textAlignment w:val="baseline"/>
        <w:rPr>
          <w:rFonts w:hint="eastAsia"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南太桥：位于盘龙区东风东路上，跨越盘龙江，该桥为上乘式圬工拱桥，桥梁全长31m，共4跨，跨径组合为4*6.4m，桥宽为41m，桥面铺装采用沥青混凝土铺装。</w:t>
      </w:r>
    </w:p>
    <w:p>
      <w:pPr>
        <w:numPr>
          <w:ilvl w:val="0"/>
          <w:numId w:val="2"/>
        </w:numPr>
        <w:spacing w:line="360" w:lineRule="auto"/>
        <w:ind w:left="720" w:leftChars="0" w:firstLine="0" w:firstLineChars="0"/>
        <w:jc w:val="left"/>
        <w:rPr>
          <w:rFonts w:hint="eastAsia" w:ascii="仿宋_GB2312" w:hAnsi="仿宋_GB2312" w:eastAsia="仿宋_GB2312" w:cs="仿宋_GB2312"/>
          <w:b w:val="0"/>
          <w:bCs w:val="0"/>
          <w:sz w:val="30"/>
          <w:szCs w:val="30"/>
          <w:lang w:eastAsia="zh-CN"/>
        </w:rPr>
      </w:pPr>
      <w:r>
        <w:rPr>
          <w:rFonts w:hint="eastAsia" w:ascii="仿宋_GB2312" w:hAnsi="仿宋_GB2312" w:eastAsia="仿宋_GB2312" w:cs="仿宋_GB2312"/>
          <w:b w:val="0"/>
          <w:bCs w:val="0"/>
          <w:sz w:val="30"/>
          <w:szCs w:val="30"/>
        </w:rPr>
        <w:t>访谈分析报告</w:t>
      </w:r>
      <w:r>
        <w:rPr>
          <w:rFonts w:hint="eastAsia" w:ascii="仿宋_GB2312" w:hAnsi="仿宋_GB2312" w:eastAsia="仿宋_GB2312" w:cs="仿宋_GB2312"/>
          <w:b w:val="0"/>
          <w:bCs w:val="0"/>
          <w:sz w:val="30"/>
          <w:szCs w:val="30"/>
          <w:lang w:eastAsia="zh-CN"/>
        </w:rPr>
        <w:t>：</w:t>
      </w:r>
    </w:p>
    <w:p>
      <w:pPr>
        <w:numPr>
          <w:ilvl w:val="0"/>
          <w:numId w:val="2"/>
        </w:numPr>
        <w:spacing w:line="360" w:lineRule="auto"/>
        <w:ind w:left="720" w:leftChars="0" w:firstLine="0" w:firstLineChars="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bCs/>
          <w:sz w:val="30"/>
          <w:szCs w:val="30"/>
          <w:highlight w:val="none"/>
        </w:rPr>
        <w:t>《20</w:t>
      </w:r>
      <w:r>
        <w:rPr>
          <w:rFonts w:hint="eastAsia" w:ascii="仿宋_GB2312" w:hAnsi="仿宋_GB2312" w:eastAsia="仿宋_GB2312" w:cs="仿宋_GB2312"/>
          <w:b/>
          <w:bCs/>
          <w:sz w:val="30"/>
          <w:szCs w:val="30"/>
          <w:highlight w:val="none"/>
          <w:lang w:val="en-US" w:eastAsia="zh-CN"/>
        </w:rPr>
        <w:t>21</w:t>
      </w:r>
      <w:r>
        <w:rPr>
          <w:rFonts w:hint="eastAsia" w:ascii="仿宋_GB2312" w:hAnsi="仿宋_GB2312" w:eastAsia="仿宋_GB2312" w:cs="仿宋_GB2312"/>
          <w:b/>
          <w:bCs/>
          <w:sz w:val="30"/>
          <w:szCs w:val="30"/>
          <w:highlight w:val="none"/>
        </w:rPr>
        <w:t>年桥梁安全检测</w:t>
      </w:r>
      <w:r>
        <w:rPr>
          <w:rFonts w:hint="eastAsia" w:ascii="仿宋_GB2312" w:hAnsi="仿宋_GB2312" w:eastAsia="仿宋_GB2312" w:cs="仿宋_GB2312"/>
          <w:b/>
          <w:bCs/>
          <w:sz w:val="30"/>
          <w:szCs w:val="30"/>
          <w:highlight w:val="none"/>
          <w:lang w:val="en-US" w:eastAsia="zh-CN"/>
        </w:rPr>
        <w:t>项目检测报告</w:t>
      </w:r>
      <w:r>
        <w:rPr>
          <w:rFonts w:hint="eastAsia" w:ascii="仿宋_GB2312" w:hAnsi="仿宋_GB2312" w:eastAsia="仿宋_GB2312" w:cs="仿宋_GB2312"/>
          <w:b/>
          <w:bCs/>
          <w:sz w:val="30"/>
          <w:szCs w:val="30"/>
          <w:highlight w:val="none"/>
        </w:rPr>
        <w:t>》</w:t>
      </w:r>
      <w:r>
        <w:rPr>
          <w:rFonts w:hint="eastAsia" w:ascii="仿宋_GB2312" w:hAnsi="仿宋_GB2312" w:eastAsia="仿宋_GB2312" w:cs="仿宋_GB2312"/>
          <w:b/>
          <w:bCs/>
          <w:sz w:val="30"/>
          <w:szCs w:val="30"/>
          <w:highlight w:val="none"/>
          <w:lang w:val="en-US" w:eastAsia="zh-CN"/>
        </w:rPr>
        <w:t>评审会专家评审意见</w:t>
      </w:r>
      <w:r>
        <w:rPr>
          <w:rFonts w:hint="eastAsia" w:ascii="仿宋_GB2312" w:hAnsi="仿宋_GB2312" w:eastAsia="仿宋_GB2312" w:cs="仿宋_GB2312"/>
          <w:b w:val="0"/>
          <w:bCs w:val="0"/>
          <w:sz w:val="30"/>
          <w:szCs w:val="30"/>
        </w:rPr>
        <w:drawing>
          <wp:inline distT="0" distB="0" distL="0" distR="0">
            <wp:extent cx="5274310" cy="7481570"/>
            <wp:effectExtent l="0" t="0" r="6350" b="12700"/>
            <wp:docPr id="1" name="图片 1" descr="C:\Users\tedxutst\AppData\Local\Temp\WeChat Files\a85e6d1428adcc70f354f5b47fd58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tedxutst\AppData\Local\Temp\WeChat Files\a85e6d1428adcc70f354f5b47fd58e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74310" cy="7481706"/>
                    </a:xfrm>
                    <a:prstGeom prst="rect">
                      <a:avLst/>
                    </a:prstGeom>
                    <a:noFill/>
                    <a:ln>
                      <a:noFill/>
                    </a:ln>
                  </pic:spPr>
                </pic:pic>
              </a:graphicData>
            </a:graphic>
          </wp:inline>
        </w:drawing>
      </w:r>
    </w:p>
    <w:p>
      <w:pPr>
        <w:spacing w:line="360" w:lineRule="auto"/>
        <w:ind w:left="72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1） 市政府相关决策：</w:t>
      </w:r>
    </w:p>
    <w:p>
      <w:pPr>
        <w:pStyle w:val="3"/>
        <w:spacing w:line="360" w:lineRule="auto"/>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昆明市城市道路养护维修管理办法</w:t>
      </w:r>
    </w:p>
    <w:p>
      <w:pPr>
        <w:pStyle w:val="3"/>
        <w:spacing w:line="360" w:lineRule="auto"/>
        <w:ind w:firstLine="600" w:firstLineChars="200"/>
        <w:jc w:val="left"/>
        <w:rPr>
          <w:rFonts w:hint="eastAsia" w:ascii="仿宋_GB2312" w:hAnsi="仿宋_GB2312" w:eastAsia="仿宋_GB2312" w:cs="仿宋_GB2312"/>
          <w:b w:val="0"/>
          <w:bCs w:val="0"/>
          <w:sz w:val="30"/>
          <w:szCs w:val="30"/>
        </w:rPr>
      </w:pP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第一条  为加强我市城市道路的养护维修工作，保证我市城市道路的安全、完好和畅通，使城市道路更好地服务于经济社会发展，根据国务院《城市道路管理条例》、建设部《城市桥梁检测和养护维修管理办法》、《云南省城市建设管理条例》和《昆明市城市道路管理条例》、《昆明市建设工程竣工验收管理办法》等有关规定，结合我市实际，制定本办法。</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第二条  本办法所称城市道路，是指经规划行政主管部门审批，按城市道路相关规范进行设计、施工，由市和县（市、区）政府、开发（度假）园区管委会投资，或者由市和县（市、区）政府、开发（度假）园区管委会通过投融资渠道投资建设，具备一定技术条件，并通过竣工验收投入使用的道路、桥梁、隧道及其附属设施。</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第三条  本市五华、盘龙、官渡、西山、呈贡、高新、经开、度假区辖区内的城市道路养护维修工作，应当遵照本办法的规定执行。</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第四条  市城市管理综合行政执法部门是全市城市道路行政主管部门。负责对全市城市道路养护维修工作的指导、检查；负责制订或者修订全市城市道路养护维修定额或者估算指标；具体负责对主城区内重要城市道路的养护维修管理和桥梁的定期、特殊检测工作。</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县（市、区）城市管理综合行政执法部门是辖区城市道路的行政主管部门。负责辖区内除市管外的其它城市道路的养护维修和管理，并接受市城市管理综合行政执法部门的监督检查。</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县（市、区）城市道路养护维修管理职能因政府机构设置原因未设置在城市管理综合行政执法部门的，由本级政府（管委会）指定的管理机构行使城市管理综合行政执法部门相同的道路养护维修管理职能。</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规划、住建、公安、环保、交通、滇管、水务、园林绿化、消防部门，以及供电、供水、排水、通讯、燃气等单位，应当积极配合做好城市道路的养护维修管理工作。</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第五条  本市城市道路养护维修管理工作实行管养分级、行业集中的模式。</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市和县（市、区）政府（管委会）应当保障对辖区城市道路养护维修工作的经费投入，保证工作的正常开展。</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第六条  城市道路养护维修工作分为保养小修、中修工程、大修工程和改扩建工程。市和县（市、区）城市管理综合行政执法部门根据职责分工，做好养护维修范围内设施的保养小修和中、大修工作。改扩建工程按部门职责分工组织实施。</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城市道路桥梁养护类别分为Ⅰ类养护桥梁、Ⅱ类养护桥梁、Ⅲ类养护桥梁、Ⅳ类养护桥梁、Ⅴ类养护桥梁。城市道路桥梁的养护工作分为保养小修、中修工程、大修工程和加固改扩建工程。</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第七条  城市道路的路基、路面，城市桥梁的上、下部结构以及隧道的整体结构，由城市道路行政主管部门或者委托的单位进行养护维修和管理。</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城市道路附属的交通、照明、环卫、绿化、消防、雨（污）水、再生水、管沟、各类泵站等设施，由设施行政主管部门或者其委托的单位进行养护维修和管理。</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城市道路附属的电力、燃气、通讯等地下管线（沟）设施和路面的检查井井盖，由设施产权单位负责养护维修和管理。地下管线（沟）建设为综合管沟的，由综合管沟产权单位或者经营单位负责养护维修和管理；产权或者经营权形式为共有的，由产权和经营权共有单位共同负责养护维修和管理。</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第八条  符合下列条件的城市道路，由市城市管理综合行政执法部门负责养护维修和管理：</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（一）同时位于三个以上（含三个）辖区，且里程超过20公里以上的城市道路，以及沿线特殊结构的桥梁和隧道；</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（二）经市政府明确由市城市管理综合行政执法部门进行养护维修和管理的城市道路。</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第九条  符合下列条件的城市道路，由县（市、区）城市管理综合行政执法部门负责养护维修和管理：</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（一）除由市城市管理综合行政执法部门负责养护维修管理的城市道路外的其它城市道路；</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（二）由县（市、区）级投、融资平台投资，或者由县（市、区）级财政安排资金投资新建的城市道路；</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（三）市政府明确交各县（市、区）政府或高新、经开、度假区管委会进行养护维修和管理的城市道路、桥梁和隧道。</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第十条  市和县（市、区）城市管理综合行政执法部门报经同级政府或管委会研究同意后，可以将养护维修工作依法委托给市和县（市、区）所属设施管养维护单位，受委托的设施管养维护单位应当严格按照城市道路养护维修规范和标准组织实施。城市道路路政管理、执法，占用、挖掘城市道路的审批工作不得实施委托。</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城市道路养护维修工作实施委托后，市和县（市、区）城市管理综合行政执法部门要加强对受委托的设施管养维护单位养护维修工作的监督和检查，对出现不符合或者不满足相关规范要求情况的，应当要求设施管养维护单位立即进行整改。</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第十一条  新建城市道路竣工验收时，建设业主应当按《昆明市城市道路及附属设施移交管理实施细则》的有关规定，组织市和县（市、区）城市管理综合行政执法部门以及道路附属设施的行业主管单位、产权单位或者相关接管单位对城市道路及其附属设施进行验收移交。</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对符合移交条件的，市和县（市、区）城市管理综合行政执法部门在竣工验收合格后30个工作日内完成移交和接管工作，并按相关标准和规范对移交城市道路进行管养维护和管理。对不符合移交条件的，城市道路行政主管部门不予接管，但应在5个工作日内书面向建设业主反馈整改意见。建设业主完成整改后，再次组织移交。</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第十二条  城市道路工程质量保修期依照国务院《城市道路管理条例》、《昆明市城市道路管理条例》、《昆明市建设工程竣工验收管理办法》的有关规定执行。</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城市道路建设工程施工合同中对工程质量保修期有明确约定的，从其约定，但城市道路工程质量保修期不得少于一年。</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第十三条  市和县（市、区）城市管理综合行政执法部门应当严格遵照《城镇道路养护技术规范》（CJJ36-2006）和《城市桥梁养护技术规范》（CJJ99-2003）等规范和行业标准的要求，加强对城市道路、桥梁和隧道的养护维修和管理工作。</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第十四条  城市道路的日常养护工作，应当建立经常性巡查、定期检测和特殊检测的制度，并定期对路面技术状况进行评价，以评价结果作为养护维修的依据。</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城市桥梁、隧道的日常养护工作，应当建立经常性检查、定期检测、特殊检测的制度，并定期对城市桥梁技术状况进行评估，以评估结果作为确定日常养护维修工作和加固、维修任务量的依据。</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第十五条  根据《城镇道路养护技术规范》要求，市和县（市、区）城市管理综合行政执法部门在城市道路经常性巡查过程中，应当对检查情况进行记录，并填写《城镇道路巡查表》。</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第十六条  出现下列情况的，应当按保养小修或者中修标准对城市道路进行系统养护维修：</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（一）沥青路面状况指数（PCI）和路面行驶质量指数（RQI）同时分别被评定为B和C级（含B级和C级）以上路面的；</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（二）水泥路面状况指数（PCI）被评定为B级（含B级）以上路面的；</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（三）人行道路状况指数(FCI)被评定为B级（含B级）以上路面的；</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（四）严重影响道路通行的路面局部坑槽（洼）、沉陷、拥包、车辙、断板、开裂、桥头跳车等病害。</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第十七条  通过对城市道路的技术评估，出现下列情况的，应当按大、中修的标准对城市道路进行养护维修：</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（一）沥青路面状况指数（PCI）和路面行驶质量指数（RQI）同时分别被评定为C级或者D级以下路面的；</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（二）水泥路面状况指数（PCI）被评定为C级路面的；</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（三）人行道路状况指数(FCI)被评定为C级或者D级路面的；</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（四）严重影响道路通行的路面大面积坑槽（洼）、沉陷、拥包、车辙、断板、开裂、桥头跳车等病害。</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第十八条  通过对城市道路的技术评估，出现下列情况的，应当及时向相关职能部门建议进行改扩建：</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（一）沥青路面状况指数（PCI）和路面行驶质量指数（RQI）同时分别被评定为D级，路表回弹弯沉值、抗滑系数（BPN或SFC）评定为D级，且结构强度不能满足使用的路面；</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（二）水泥路面状况指数（PCI）被评定为D级路面的；</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（三）人行道路状况指数(FCI)被评定为D级路面，且下沉、拱胀严重，严重影响行人通行的路面；</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（四）市和县（市、区）政府（管委会）决定进行改扩建的城市道路。</w:t>
      </w:r>
    </w:p>
    <w:p>
      <w:pPr>
        <w:pStyle w:val="3"/>
        <w:spacing w:line="360" w:lineRule="auto"/>
        <w:ind w:firstLine="600" w:firstLineChars="200"/>
        <w:jc w:val="left"/>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sz w:val="30"/>
          <w:szCs w:val="30"/>
        </w:rPr>
        <w:t>第十九条  市和县（市、区）城市管理综合行政执法部门在城市桥梁和隧道的经常性检查过程中，应当对检查情况进行记录。桥梁和隧道的经常性检查应当填写《城市桥梁日常巡检日报表》。</w:t>
      </w:r>
    </w:p>
    <w:p>
      <w:pPr>
        <w:pStyle w:val="3"/>
        <w:spacing w:line="360" w:lineRule="auto"/>
        <w:ind w:firstLine="600" w:firstLineChars="200"/>
        <w:jc w:val="left"/>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sz w:val="30"/>
          <w:szCs w:val="30"/>
        </w:rPr>
        <w:t>第二十条  市和县（市、区）城市管理综合行政执法部门应当加强对城市桥梁和隧道的定期、特殊检测，编制辖区城市桥梁和隧道的定期检测计划。Ⅰ类养护桥梁应当1至2年进行一次定期检测；Ⅱ至Ⅴ类养护桥梁应当6至10年进行一次定期检测。</w:t>
      </w:r>
    </w:p>
    <w:p>
      <w:pPr>
        <w:pStyle w:val="3"/>
        <w:spacing w:line="360" w:lineRule="auto"/>
        <w:ind w:firstLine="600" w:firstLineChars="200"/>
        <w:jc w:val="left"/>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sz w:val="30"/>
          <w:szCs w:val="30"/>
        </w:rPr>
        <w:t>第二十一条  经桥梁、隧道安全检测被确定为不合格级或者D级（含D级）以下桥梁、隧道的，市和县（市、区）城市管理综合行政执法部门应当立即报同级政府（管委会），申请加固、维修或者抢险经费，尽快开展加固和维护工作，确保桥梁、隧道的安全运行。</w:t>
      </w:r>
    </w:p>
    <w:p>
      <w:pPr>
        <w:pStyle w:val="3"/>
        <w:spacing w:line="360" w:lineRule="auto"/>
        <w:ind w:firstLine="600" w:firstLineChars="200"/>
        <w:jc w:val="left"/>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sz w:val="30"/>
          <w:szCs w:val="30"/>
        </w:rPr>
        <w:t>第二十二条  经过检测评估，确定城市桥梁的承载能力下降，但尚未构成危桥的，在对桥梁进行加固维护前，市和县（市、区）城市管理综合行政执法部门应当积极会同公安交通管理部门，对存在隐患的桥梁设置警示标志，并采取限载、限行的措施。</w:t>
      </w:r>
    </w:p>
    <w:p>
      <w:pPr>
        <w:pStyle w:val="3"/>
        <w:spacing w:line="360" w:lineRule="auto"/>
        <w:ind w:firstLine="600" w:firstLineChars="200"/>
        <w:jc w:val="left"/>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sz w:val="30"/>
          <w:szCs w:val="30"/>
        </w:rPr>
        <w:t>第二十三条  市和县（市、区）城市管理综合行政执法部门应当将养护范围内的城市桥梁的限高、限重参数，主动与公安交通管理部门共享，在桥梁上设置、完善限高、限重标志。</w:t>
      </w:r>
    </w:p>
    <w:p>
      <w:pPr>
        <w:pStyle w:val="3"/>
        <w:spacing w:line="360" w:lineRule="auto"/>
        <w:ind w:firstLine="600" w:firstLineChars="200"/>
        <w:jc w:val="left"/>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sz w:val="30"/>
          <w:szCs w:val="30"/>
        </w:rPr>
        <w:t>第二十四条  市和县（市、区）城市管理综合行政执法部门应当于每年第四季度前，根据管养范围内城市道路设施量，按定额或者估算指标，编制次年城市道路日常养护维修计划并预算次年大、中修工程专项计划和预算，聘请经财政部门认可且具有相关资质的专业机构进行审核后，上报市和县（市、区）财政审定年度预算。</w:t>
      </w:r>
    </w:p>
    <w:p>
      <w:pPr>
        <w:pStyle w:val="3"/>
        <w:spacing w:line="360" w:lineRule="auto"/>
        <w:ind w:firstLine="600" w:firstLineChars="200"/>
        <w:jc w:val="left"/>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sz w:val="30"/>
          <w:szCs w:val="30"/>
        </w:rPr>
        <w:t>市和县（市、区）城市管理综合行政执法部门应当于每年第四季度前，根据城市道路日常巡查和检查情况，对城市道路进行评估后，编制次年大、中修工程专项计划和预算，聘请经财政部门认可且具有相关资质的专业机构进行审核，向市和县（市、区）财政上报大、中修工程专项计划和预算。</w:t>
      </w:r>
    </w:p>
    <w:p>
      <w:pPr>
        <w:pStyle w:val="3"/>
        <w:spacing w:line="360" w:lineRule="auto"/>
        <w:ind w:firstLine="600" w:firstLineChars="200"/>
        <w:jc w:val="left"/>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sz w:val="30"/>
          <w:szCs w:val="30"/>
        </w:rPr>
        <w:t>第二十五条  市和县（市、区）城市管理综合行政执法部门根据对城市桥梁、隧道的经常性检查和评估情况，编制年度桥梁、隧道安全检测计划和预算，由市和县（市、区）财政安排桥梁和隧道安全检测经费。</w:t>
      </w:r>
    </w:p>
    <w:p>
      <w:pPr>
        <w:pStyle w:val="3"/>
        <w:spacing w:line="360" w:lineRule="auto"/>
        <w:ind w:firstLine="600" w:firstLineChars="200"/>
        <w:jc w:val="left"/>
        <w:rPr>
          <w:rFonts w:hint="eastAsia" w:ascii="仿宋_GB2312" w:hAnsi="仿宋_GB2312" w:eastAsia="仿宋_GB2312" w:cs="仿宋_GB2312"/>
          <w:b w:val="0"/>
          <w:bCs w:val="0"/>
          <w:color w:val="000000"/>
          <w:sz w:val="30"/>
          <w:szCs w:val="30"/>
        </w:rPr>
      </w:pPr>
      <w:r>
        <w:rPr>
          <w:rFonts w:hint="eastAsia" w:ascii="仿宋_GB2312" w:hAnsi="仿宋_GB2312" w:eastAsia="仿宋_GB2312" w:cs="仿宋_GB2312"/>
          <w:b w:val="0"/>
          <w:bCs w:val="0"/>
          <w:color w:val="000000"/>
          <w:sz w:val="30"/>
          <w:szCs w:val="30"/>
        </w:rPr>
        <w:t>第二十六条  市和县（市、区）财政部门，对经财政部门认可且具有相关资质的专业机构审定的年度日常养护维修预算和大、中修工程专项预算进行审定，审定结果列入财政年度预算给予保障。</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第二十七条  城市道路养护维修工作委托给所属设施管养维护单位实施的，其养护维修经费由设施管养维护单位按定额或者估算指标和委托养护维修的设施量编制预算，上报市和县（市、区）城市管理综合行政执法部门，经市和县（市、区）城市管理综合行政执法部门审核后，上报市和县（市、区）财政审定，作为专项工作经费在年度预算中统一安排。</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第二十八条  违反本办法相关规定的，由城市道路行政主管部门依据国务院《城市道路管理条例》、建设部《城市桥梁检测和养护维修管理办法》和《昆明市城市道路管理条例》等相关法规和规章的规定进行处罚。</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第二十九条  城市道路行政主管部门在养护维修管理过程中，因玩忽职守、滥用职权、徇私舞弊，或者因养护维修管理工作不到位，造成安全隐患的，由有关机关依法给予行政处分；发生安全事故、涉嫌犯罪的，依法移送司法机关。</w:t>
      </w:r>
    </w:p>
    <w:p>
      <w:pPr>
        <w:pStyle w:val="3"/>
        <w:spacing w:line="360" w:lineRule="auto"/>
        <w:ind w:firstLine="600" w:firstLineChars="200"/>
        <w:jc w:val="left"/>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第三十条  本办法自发布之日起施行。</w:t>
      </w:r>
    </w:p>
    <w:p>
      <w:pPr>
        <w:spacing w:line="220" w:lineRule="atLeast"/>
      </w:pPr>
    </w:p>
    <w:p>
      <w:pPr>
        <w:spacing w:line="220" w:lineRule="atLeast"/>
      </w:pPr>
    </w:p>
    <w:p>
      <w:pPr>
        <w:spacing w:line="220" w:lineRule="atLeast"/>
      </w:pPr>
    </w:p>
    <w:p>
      <w:pPr>
        <w:pStyle w:val="3"/>
        <w:spacing w:line="360" w:lineRule="auto"/>
        <w:ind w:firstLine="600" w:firstLineChars="200"/>
        <w:jc w:val="right"/>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lang w:val="en-US" w:eastAsia="zh-CN"/>
        </w:rPr>
        <w:t>昆明市盘龙区市政基础设施建设管理处</w:t>
      </w:r>
    </w:p>
    <w:p>
      <w:pPr>
        <w:pStyle w:val="3"/>
        <w:spacing w:line="360" w:lineRule="auto"/>
        <w:ind w:firstLine="600" w:firstLineChars="200"/>
        <w:jc w:val="center"/>
        <w:rPr>
          <w:rFonts w:hint="default"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lang w:val="en-US" w:eastAsia="zh-CN"/>
        </w:rPr>
        <w:t xml:space="preserve">                   2022年4月18日</w:t>
      </w: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等线">
    <w:altName w:val="Arial Unicode MS"/>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8305DFF"/>
    <w:multiLevelType w:val="singleLevel"/>
    <w:tmpl w:val="98305DFF"/>
    <w:lvl w:ilvl="0" w:tentative="0">
      <w:start w:val="2"/>
      <w:numFmt w:val="decimal"/>
      <w:lvlText w:val="%1."/>
      <w:lvlJc w:val="left"/>
      <w:pPr>
        <w:tabs>
          <w:tab w:val="left" w:pos="312"/>
        </w:tabs>
      </w:pPr>
    </w:lvl>
  </w:abstractNum>
  <w:abstractNum w:abstractNumId="1">
    <w:nsid w:val="137DCE67"/>
    <w:multiLevelType w:val="singleLevel"/>
    <w:tmpl w:val="137DCE67"/>
    <w:lvl w:ilvl="0" w:tentative="0">
      <w:start w:val="1"/>
      <w:numFmt w:val="decimal"/>
      <w:suff w:val="nothing"/>
      <w:lvlText w:val="（%1）"/>
      <w:lvlJc w:val="left"/>
    </w:lvl>
  </w:abstractNum>
  <w:abstractNum w:abstractNumId="2">
    <w:nsid w:val="52FADC79"/>
    <w:multiLevelType w:val="singleLevel"/>
    <w:tmpl w:val="52FADC79"/>
    <w:lvl w:ilvl="0" w:tentative="0">
      <w:start w:val="3"/>
      <w:numFmt w:val="decimal"/>
      <w:lvlText w:val="%1."/>
      <w:lvlJc w:val="left"/>
      <w:pPr>
        <w:tabs>
          <w:tab w:val="left" w:pos="312"/>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2"/>
  </w:compat>
  <w:rsids>
    <w:rsidRoot w:val="00D31D50"/>
    <w:rsid w:val="00323B43"/>
    <w:rsid w:val="003D37D8"/>
    <w:rsid w:val="00426133"/>
    <w:rsid w:val="004358AB"/>
    <w:rsid w:val="006B0879"/>
    <w:rsid w:val="008B7726"/>
    <w:rsid w:val="00D31D50"/>
    <w:rsid w:val="033A13B5"/>
    <w:rsid w:val="04034B95"/>
    <w:rsid w:val="057E39A5"/>
    <w:rsid w:val="06EA4373"/>
    <w:rsid w:val="07D91965"/>
    <w:rsid w:val="09EB54FA"/>
    <w:rsid w:val="0AC27289"/>
    <w:rsid w:val="0B362364"/>
    <w:rsid w:val="0C652B84"/>
    <w:rsid w:val="0D194F33"/>
    <w:rsid w:val="0D1E1FFD"/>
    <w:rsid w:val="0DFA4872"/>
    <w:rsid w:val="10BD5A10"/>
    <w:rsid w:val="14121FE6"/>
    <w:rsid w:val="1414704B"/>
    <w:rsid w:val="145B0A18"/>
    <w:rsid w:val="14664858"/>
    <w:rsid w:val="148D41AD"/>
    <w:rsid w:val="14C44354"/>
    <w:rsid w:val="17797938"/>
    <w:rsid w:val="17D4114B"/>
    <w:rsid w:val="1935716D"/>
    <w:rsid w:val="1B172B18"/>
    <w:rsid w:val="1CCC3FA6"/>
    <w:rsid w:val="20741485"/>
    <w:rsid w:val="223C5C09"/>
    <w:rsid w:val="22761828"/>
    <w:rsid w:val="23603227"/>
    <w:rsid w:val="25163C93"/>
    <w:rsid w:val="287D7D0C"/>
    <w:rsid w:val="29DC08FD"/>
    <w:rsid w:val="2D02408D"/>
    <w:rsid w:val="2EEA3B2A"/>
    <w:rsid w:val="304F0A22"/>
    <w:rsid w:val="35103016"/>
    <w:rsid w:val="35F12541"/>
    <w:rsid w:val="36A97C11"/>
    <w:rsid w:val="3714687C"/>
    <w:rsid w:val="377A1E90"/>
    <w:rsid w:val="38B67777"/>
    <w:rsid w:val="38F42972"/>
    <w:rsid w:val="39F97634"/>
    <w:rsid w:val="3BE4509D"/>
    <w:rsid w:val="3CAC66AB"/>
    <w:rsid w:val="3DD87C1B"/>
    <w:rsid w:val="3E747E22"/>
    <w:rsid w:val="41891129"/>
    <w:rsid w:val="41F556A9"/>
    <w:rsid w:val="42FF6E3D"/>
    <w:rsid w:val="44965FDD"/>
    <w:rsid w:val="46957C1F"/>
    <w:rsid w:val="47A014D1"/>
    <w:rsid w:val="48AD3E20"/>
    <w:rsid w:val="49B3577D"/>
    <w:rsid w:val="49B43716"/>
    <w:rsid w:val="4A3A50A8"/>
    <w:rsid w:val="4D443E77"/>
    <w:rsid w:val="4E8C77B0"/>
    <w:rsid w:val="4EF24544"/>
    <w:rsid w:val="4F3D70A6"/>
    <w:rsid w:val="4F437B9E"/>
    <w:rsid w:val="4F4A61FB"/>
    <w:rsid w:val="50BD5EC2"/>
    <w:rsid w:val="530F7299"/>
    <w:rsid w:val="541C2EBF"/>
    <w:rsid w:val="553C6D8A"/>
    <w:rsid w:val="55CD6D3F"/>
    <w:rsid w:val="57C72650"/>
    <w:rsid w:val="5B1E2376"/>
    <w:rsid w:val="5B5D7E1A"/>
    <w:rsid w:val="5C6D49B2"/>
    <w:rsid w:val="5F4854A1"/>
    <w:rsid w:val="60116B05"/>
    <w:rsid w:val="61361250"/>
    <w:rsid w:val="64254F1A"/>
    <w:rsid w:val="643B3017"/>
    <w:rsid w:val="6AEF704E"/>
    <w:rsid w:val="6C4B48FF"/>
    <w:rsid w:val="6CE57EA9"/>
    <w:rsid w:val="6EF83965"/>
    <w:rsid w:val="6FC66F5B"/>
    <w:rsid w:val="6FC82564"/>
    <w:rsid w:val="702228A5"/>
    <w:rsid w:val="716C5352"/>
    <w:rsid w:val="71B80DE6"/>
    <w:rsid w:val="71CD7B70"/>
    <w:rsid w:val="7250721E"/>
    <w:rsid w:val="734E1D65"/>
    <w:rsid w:val="747B7C0F"/>
    <w:rsid w:val="79DE7317"/>
    <w:rsid w:val="7BC52D7B"/>
    <w:rsid w:val="7C7121CC"/>
    <w:rsid w:val="7F850CE4"/>
    <w:rsid w:val="7FFC6485"/>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rules v:ext="edit">
        <o:r id="V:Rule1" type="connector" idref="#_x0000_s2050"/>
        <o:r id="V:Rule2" type="connector" idref="#_x0000_s2051"/>
        <o:r id="V:Rule3" type="connector" idref="#_x0000_s2052"/>
        <o:r id="V:Rule4" type="connector" idref="#_x0000_s2053"/>
        <o:r id="V:Rule5" type="connector" idref="#_x0000_s2054"/>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3">
    <w:name w:val="Plain Text"/>
    <w:basedOn w:val="1"/>
    <w:qFormat/>
    <w:uiPriority w:val="0"/>
    <w:rPr>
      <w:rFonts w:ascii="宋体" w:hAnsi="Courier New"/>
      <w:kern w:val="0"/>
      <w:sz w:val="20"/>
      <w:szCs w:val="21"/>
    </w:rPr>
  </w:style>
  <w:style w:type="paragraph" w:styleId="4">
    <w:name w:val="footer"/>
    <w:basedOn w:val="1"/>
    <w:unhideWhenUsed/>
    <w:qFormat/>
    <w:uiPriority w:val="99"/>
    <w:pPr>
      <w:tabs>
        <w:tab w:val="center" w:pos="4153"/>
        <w:tab w:val="right" w:pos="8306"/>
      </w:tabs>
      <w:snapToGrid w:val="0"/>
      <w:jc w:val="left"/>
    </w:pPr>
    <w:rPr>
      <w:rFonts w:ascii="等线" w:hAnsi="等线" w:eastAsia="等线"/>
      <w:kern w:val="0"/>
      <w:sz w:val="18"/>
      <w:szCs w:val="18"/>
    </w:rPr>
  </w:style>
  <w:style w:type="paragraph" w:customStyle="1" w:styleId="7">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8">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paragraph" w:customStyle="1" w:styleId="9">
    <w:name w:val="List Paragraph"/>
    <w:basedOn w:val="1"/>
    <w:qFormat/>
    <w:uiPriority w:val="34"/>
    <w:pPr>
      <w:ind w:firstLine="420" w:firstLineChars="200"/>
    </w:pPr>
  </w:style>
  <w:style w:type="character" w:customStyle="1" w:styleId="10">
    <w:name w:val="font01"/>
    <w:basedOn w:val="5"/>
    <w:qFormat/>
    <w:uiPriority w:val="0"/>
    <w:rPr>
      <w:rFonts w:hint="eastAsia" w:ascii="宋体" w:hAnsi="宋体" w:eastAsia="宋体" w:cs="宋体"/>
      <w:b/>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0"/>
    <customShpInfo spid="_x0000_s2051"/>
    <customShpInfo spid="_x0000_s2052"/>
    <customShpInfo spid="_x0000_s2053"/>
    <customShpInfo spid="_x0000_s2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0</TotalTime>
  <ScaleCrop>false</ScaleCrop>
  <LinksUpToDate>false</LinksUpToDate>
  <CharactersWithSpaces>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user</cp:lastModifiedBy>
  <dcterms:modified xsi:type="dcterms:W3CDTF">2022-04-28T07:25:18Z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