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桥梁安全检测项目支出绩效评价共性指标体系框架</w:t>
      </w:r>
    </w:p>
    <w:tbl>
      <w:tblPr>
        <w:tblStyle w:val="2"/>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846"/>
        <w:gridCol w:w="1026"/>
        <w:gridCol w:w="1134"/>
        <w:gridCol w:w="1086"/>
        <w:gridCol w:w="499"/>
        <w:gridCol w:w="566"/>
        <w:gridCol w:w="2092"/>
        <w:gridCol w:w="1955"/>
        <w:gridCol w:w="1208"/>
      </w:tblGrid>
      <w:tr>
        <w:tblPrEx>
          <w:tblLayout w:type="fixed"/>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一级</w:t>
            </w:r>
          </w:p>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指标</w:t>
            </w:r>
          </w:p>
        </w:tc>
        <w:tc>
          <w:tcPr>
            <w:tcW w:w="1026" w:type="dxa"/>
            <w:tcBorders>
              <w:top w:val="single" w:color="auto" w:sz="4" w:space="0"/>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二级指标</w:t>
            </w:r>
          </w:p>
        </w:tc>
        <w:tc>
          <w:tcPr>
            <w:tcW w:w="1134" w:type="dxa"/>
            <w:tcBorders>
              <w:top w:val="single" w:color="auto" w:sz="4" w:space="0"/>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三级指标</w:t>
            </w:r>
          </w:p>
        </w:tc>
        <w:tc>
          <w:tcPr>
            <w:tcW w:w="1086" w:type="dxa"/>
            <w:tcBorders>
              <w:top w:val="single" w:color="auto" w:sz="4" w:space="0"/>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四级指标</w:t>
            </w:r>
          </w:p>
        </w:tc>
        <w:tc>
          <w:tcPr>
            <w:tcW w:w="499" w:type="dxa"/>
            <w:tcBorders>
              <w:top w:val="single" w:color="auto" w:sz="4" w:space="0"/>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分值</w:t>
            </w:r>
          </w:p>
        </w:tc>
        <w:tc>
          <w:tcPr>
            <w:tcW w:w="566" w:type="dxa"/>
            <w:tcBorders>
              <w:top w:val="single" w:color="auto" w:sz="4" w:space="0"/>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得分</w:t>
            </w:r>
          </w:p>
        </w:tc>
        <w:tc>
          <w:tcPr>
            <w:tcW w:w="2092" w:type="dxa"/>
            <w:tcBorders>
              <w:top w:val="single" w:color="auto" w:sz="4" w:space="0"/>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指标解释</w:t>
            </w:r>
          </w:p>
        </w:tc>
        <w:tc>
          <w:tcPr>
            <w:tcW w:w="1955" w:type="dxa"/>
            <w:tcBorders>
              <w:top w:val="single" w:color="auto" w:sz="4" w:space="0"/>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评分标准</w:t>
            </w:r>
          </w:p>
        </w:tc>
        <w:tc>
          <w:tcPr>
            <w:tcW w:w="1208" w:type="dxa"/>
            <w:tcBorders>
              <w:top w:val="single" w:color="auto" w:sz="4" w:space="0"/>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数据来源</w:t>
            </w:r>
          </w:p>
        </w:tc>
      </w:tr>
      <w:tr>
        <w:tblPrEx>
          <w:tblLayout w:type="fixed"/>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A.项目决策（20%）</w:t>
            </w:r>
          </w:p>
        </w:tc>
        <w:tc>
          <w:tcPr>
            <w:tcW w:w="1026"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A1.项目立项（8%）</w:t>
            </w:r>
          </w:p>
        </w:tc>
        <w:tc>
          <w:tcPr>
            <w:tcW w:w="1134"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A11.与部门中长期规划目标适应性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A111.与部门中长期规划目标匹配性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考察项目与部门中长期目标是否匹配（2020、2021、2022检测计划）</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匹配，得满分；不匹配，不得分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部门中长期规划目标</w:t>
            </w:r>
          </w:p>
        </w:tc>
      </w:tr>
      <w:tr>
        <w:tblPrEx>
          <w:tblLayout w:type="fixed"/>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A12.立项依据充分性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A121.与市政府相关规划、决策匹配性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考察项目是否符合区政府相关发展规划和政府决策</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符合，得满分；不符合，不得分。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区政府相关规划、决策、批复</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A122.与部门职责适应性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考察项目是否与部门职责密切相关。</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部门职责文件</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A13.项目立项规范性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A131.前期调研情况</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考察项目立项是否经过前期调研。（</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桥梁设施建成及使用时间，现有病害表现及</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A132.立项程序规范性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考察项目的申请、设立过程是否符合相关要求。</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立项申请、批复文件</w:t>
            </w:r>
          </w:p>
        </w:tc>
      </w:tr>
      <w:tr>
        <w:tblPrEx>
          <w:tblLayout w:type="fixed"/>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A2.项目目标（12%）</w:t>
            </w:r>
          </w:p>
        </w:tc>
        <w:tc>
          <w:tcPr>
            <w:tcW w:w="1134"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A21.绩效目标设定的合理性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A211.绩效目标相关性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考察设定的绩效目标是否与事业发展规划相关。</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绩效目标申报表、部门规划、年度工作目标</w:t>
            </w:r>
          </w:p>
        </w:tc>
      </w:tr>
      <w:tr>
        <w:tblPrEx>
          <w:tblLayout w:type="fixed"/>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A212.绩效目标完整性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考察设定的绩效目标是否完整地反应预期产出和效果</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绩效目标申报表、年度工作目标、立项申请、批复文件</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A213.目标与预算的匹配性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考察设定的绩效目标是否与年度预算相匹配。</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A22.绩效指标设定的明确性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A221.指标细化分解情况</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3</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考察是否将绩效目标细化分解为清晰、可衡量的绩效指标。</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绩效目标申报表、立项申请、批复文件</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A222.指标与目标的匹配性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3</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考察设定的绩效指标是否与年度工作任务相对应。</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绩效目标申报表、年度工作任务</w:t>
            </w:r>
          </w:p>
        </w:tc>
      </w:tr>
      <w:tr>
        <w:tblPrEx>
          <w:tblLayout w:type="fixed"/>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B.项目管理（20%）</w:t>
            </w:r>
          </w:p>
        </w:tc>
        <w:tc>
          <w:tcPr>
            <w:tcW w:w="1026"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B1.投入管理（4%）</w:t>
            </w:r>
          </w:p>
        </w:tc>
        <w:tc>
          <w:tcPr>
            <w:tcW w:w="1134"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B11.预算编制合理性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考察预算编制是否充分、合理的预计项目支出并完整反应</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合理得满分；存在一项不合理，扣0.5分，扣完为止</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预算分析、预算批复</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B12.预算调整规范性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考察存在预算调整时是否按照相关规定执行调整程序。</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规范，得满分；部分规范，扣0.5分；不规范，不得分。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预算调整文件</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B13.预算执行率</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考察项目预算执行的进度。预算执行率=实际支出金额/项目预算金额×100%（按招标定价）</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预算执行率95%以上，得满分；低于95%，每下降1%扣权重的1%；预算执行率60%以下，不计分。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绩效目标申报表、支付指令、合同、财务凭证</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B2.财务管理（6%）</w:t>
            </w:r>
          </w:p>
        </w:tc>
        <w:tc>
          <w:tcPr>
            <w:tcW w:w="1134"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B21.资金使用情况</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考察项目资金使用是否符合预算批复的用途，是否存在截留、挤占、挪用、虚列支出等情况。</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合规，得满分；存在一项不合规，扣1分，扣完为止。</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绩效目标申报表、支付指令，合同、财务凭证</w:t>
            </w:r>
          </w:p>
        </w:tc>
      </w:tr>
      <w:tr>
        <w:tblPrEx>
          <w:tblLayout w:type="fixed"/>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B22.财务管理制度健全性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考察项目的财务制度是否健全、完善、有效。</w:t>
            </w:r>
          </w:p>
        </w:tc>
        <w:tc>
          <w:tcPr>
            <w:tcW w:w="1955" w:type="dxa"/>
            <w:tcBorders>
              <w:top w:val="nil"/>
              <w:left w:val="nil"/>
              <w:bottom w:val="single" w:color="auto" w:sz="4" w:space="0"/>
              <w:right w:val="single" w:color="auto" w:sz="4" w:space="0"/>
            </w:tcBorders>
            <w:noWrap w:val="0"/>
            <w:vAlign w:val="top"/>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a.是否已制定或具有相应的财务管理办法；                         b.项目财务管理办法是否符合相关财务会计制度的规定；                                              c.是否存在需要完善的风险控制环节。                            符合所有条件，得满分； 一项不符合，扣0.5分，扣完为止。</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财务管理制度</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B23.财务监控有效性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B231.资金拨付程序完整性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考察资金拨付是否具有完整的审批程序和手续，是否符合相关制度规定。</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资金拨付申请、审批手续完整，得满分；存在一例手续不完整，不得分。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支付申请单、支付指令</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B232财务制度执行有效性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考察是否存在违反相关财务管理制度的情况。</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不存在，得满分；存在1例，不得分。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财务管理制度、访谈、会计凭证</w:t>
            </w:r>
          </w:p>
        </w:tc>
      </w:tr>
      <w:tr>
        <w:tblPrEx>
          <w:tblLayout w:type="fixed"/>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B3.项目实施（10%）</w:t>
            </w:r>
          </w:p>
        </w:tc>
        <w:tc>
          <w:tcPr>
            <w:tcW w:w="1134"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B31.项目管理制度健全性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B311.项目实施单位管理制度健全性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项目实施单位为保障项目顺利实施制订的与项目直接相关的业务管理制度是否健全、完善和有效。</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制订相关制度或采取措施，得满分；制度不完善或者措施不明确，得权重的60%；没有相关制度或措施，不得分。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B312.管理方监管措施健全性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考察项目主管部门为保障项目顺利实施采取的监管措施是否明确，是否存在需要完善的风险控制环节。</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监管措施明确、完善，得满分；每存在一项需要完善的风险控制点，扣权重的30%，扣完为止。</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管理制度、访谈、现场调查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B32.项目管理制度执行有效性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B321.项目实施单位管理制度执行情况</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考察项目实施单位制订的管理制度是否有效执行。</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有效执行，得满分；部分执行，得权重的60%；未执行，不得分。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项目实施单位管理制度、现场调查</w:t>
            </w:r>
          </w:p>
        </w:tc>
      </w:tr>
      <w:tr>
        <w:tblPrEx>
          <w:tblLayout w:type="fixed"/>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B322.监管措施执行情况</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项目主管部门所制订的监管措施是否有效执行。</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有效执行，得满分；部分执行，得权重的60%；未执行，不得分。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管理制度、现场调查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B323.合同执行情况</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考察与项目相关的合同是否有效执行。</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有效执行，得满分；部分执行，得权重的60%；未执行，不得分。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合同、现场调查</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B324.台账记录规范性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考察项目实施过程中的相关台账记录是否完整，并符合要求。</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规范，得满分；部分规范，得权重的60%；不规范，不得分。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台账记录</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B33.政府采购规范性</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B331.采购方式合规性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考察采购方式是否符合中央、省、市、区的相关要求。</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符合相关要求，得满分；一项不符合，不得分。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政府采购相关材料</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B332.采购流程规范性</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考察采购流程是否符合相关规定。</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符合相关要求，得满分；一项不符合，不得分。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政府采购相关材料</w:t>
            </w:r>
          </w:p>
        </w:tc>
      </w:tr>
      <w:tr>
        <w:tblPrEx>
          <w:tblLayout w:type="fixed"/>
          <w:tblCellMar>
            <w:top w:w="0" w:type="dxa"/>
            <w:left w:w="108" w:type="dxa"/>
            <w:bottom w:w="0" w:type="dxa"/>
            <w:right w:w="108" w:type="dxa"/>
          </w:tblCellMar>
        </w:tblPrEx>
        <w:trPr>
          <w:trHeight w:val="1200" w:hRule="atLeast"/>
        </w:trPr>
        <w:tc>
          <w:tcPr>
            <w:tcW w:w="846"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C.项目绩效（60%）</w:t>
            </w:r>
          </w:p>
        </w:tc>
        <w:tc>
          <w:tcPr>
            <w:tcW w:w="1026"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C1.项目产出（30%））</w:t>
            </w:r>
          </w:p>
        </w:tc>
        <w:tc>
          <w:tcPr>
            <w:tcW w:w="1134"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C11.桥梁检测工作完成情况</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C111.检测工作完成</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8</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8</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20</w:t>
            </w:r>
            <w:r>
              <w:rPr>
                <w:rFonts w:hint="eastAsia" w:asciiTheme="majorEastAsia" w:hAnsiTheme="majorEastAsia" w:eastAsiaTheme="majorEastAsia" w:cstheme="majorEastAsia"/>
                <w:b w:val="0"/>
                <w:bCs w:val="0"/>
                <w:color w:val="000000"/>
                <w:kern w:val="0"/>
                <w:sz w:val="15"/>
                <w:szCs w:val="15"/>
                <w:lang w:val="en-US" w:eastAsia="zh-CN"/>
              </w:rPr>
              <w:t>21</w:t>
            </w:r>
            <w:r>
              <w:rPr>
                <w:rFonts w:hint="eastAsia" w:asciiTheme="majorEastAsia" w:hAnsiTheme="majorEastAsia" w:eastAsiaTheme="majorEastAsia" w:cstheme="majorEastAsia"/>
                <w:b w:val="0"/>
                <w:bCs w:val="0"/>
                <w:color w:val="000000"/>
                <w:kern w:val="0"/>
                <w:sz w:val="15"/>
                <w:szCs w:val="15"/>
              </w:rPr>
              <w:t>年严格按照年初计划完成招标检测工作</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全部处理，得满分；每降低1%，扣权重的3%，扣完为止。</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C112.检测报告</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8</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8</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中标单位及时提供检测报告</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全部及时处理，得满分；存在一次未及时处理的，扣权重的10%，扣完为止。</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提供检测报告</w:t>
            </w:r>
          </w:p>
        </w:tc>
      </w:tr>
      <w:tr>
        <w:tblPrEx>
          <w:tblLayout w:type="fixed"/>
          <w:tblCellMar>
            <w:top w:w="0" w:type="dxa"/>
            <w:left w:w="108" w:type="dxa"/>
            <w:bottom w:w="0" w:type="dxa"/>
            <w:right w:w="108" w:type="dxa"/>
          </w:tblCellMar>
        </w:tblPrEx>
        <w:trPr>
          <w:trHeight w:val="84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C113.检测信息及时上报</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9</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9</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根据检测结果及时向上级反馈。</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全部合格，得满分；存在一次超标，扣权重的10%，扣完为止。</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检测报告</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C14.桥梁安全检测成本控制</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C141. 桥梁安全检测成本控制</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5</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5</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考察通过桥梁安全检测资金成本控制</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完成招标文件工作内容，资金控制在政府资金范围内的满分</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成本核查分析</w:t>
            </w:r>
          </w:p>
        </w:tc>
      </w:tr>
      <w:tr>
        <w:tblPrEx>
          <w:tblLayout w:type="fixed"/>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C2.项目效益（30%）（</w:t>
            </w:r>
          </w:p>
        </w:tc>
        <w:tc>
          <w:tcPr>
            <w:tcW w:w="1134"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C21.社会效益</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C211.满足市民安全出行的需要为社会经济建设提供有力保障</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15</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14</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考察是否因桥梁检测工作安排不及时不合理而造成不良社会影响</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满足满足市民安全出行的需要为社会经济建设提供有力保障</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报表、会议纪要</w:t>
            </w:r>
          </w:p>
        </w:tc>
      </w:tr>
      <w:tr>
        <w:tblPrEx>
          <w:tblLayout w:type="fixed"/>
          <w:tblCellMar>
            <w:top w:w="0" w:type="dxa"/>
            <w:left w:w="108" w:type="dxa"/>
            <w:bottom w:w="0" w:type="dxa"/>
            <w:right w:w="108" w:type="dxa"/>
          </w:tblCellMar>
        </w:tblPrEx>
        <w:trPr>
          <w:trHeight w:val="232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C22.生态效益</w:t>
            </w: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C221.在检测过程中保证严格遵守规范要求，不破坏生态，不污染环境</w:t>
            </w: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15</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14</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.在检测过程中保证严格遵守规范要求，不破坏生态，不污染环境，减少一次性材料使用</w:t>
            </w: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在检测过程中保证严格遵守规范要求，不破坏生态，不污染环境，减少一次性材料使用发生市民投诉一次扣10%，直至扣完为止</w:t>
            </w: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r>
      <w:tr>
        <w:tblPrEx>
          <w:tblLayout w:type="fixed"/>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合计</w:t>
            </w:r>
          </w:p>
        </w:tc>
        <w:tc>
          <w:tcPr>
            <w:tcW w:w="102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100%</w:t>
            </w:r>
          </w:p>
        </w:tc>
        <w:tc>
          <w:tcPr>
            <w:tcW w:w="1134"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100分</w:t>
            </w:r>
          </w:p>
        </w:tc>
        <w:tc>
          <w:tcPr>
            <w:tcW w:w="566"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98</w:t>
            </w:r>
          </w:p>
        </w:tc>
        <w:tc>
          <w:tcPr>
            <w:tcW w:w="2092"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955"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208" w:type="dxa"/>
            <w:tcBorders>
              <w:top w:val="nil"/>
              <w:left w:val="nil"/>
              <w:bottom w:val="single" w:color="auto" w:sz="4" w:space="0"/>
              <w:right w:val="single" w:color="auto" w:sz="4" w:space="0"/>
            </w:tcBorders>
            <w:noWrap w:val="0"/>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r>
    </w:tbl>
    <w:p>
      <w:pPr>
        <w:spacing w:line="220" w:lineRule="atLeast"/>
      </w:pPr>
      <w:bookmarkStart w:id="0" w:name="_GoBack"/>
      <w:bookmarkEnd w:id="0"/>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ocumentProtection w:enforcement="0"/>
  <w:defaultTabStop w:val="720"/>
  <w:characterSpacingControl w:val="doNotCompress"/>
  <w:compat>
    <w:useFELayout/>
    <w:compatSetting w:name="compatibilityMode" w:uri="http://schemas.microsoft.com/office/word" w:val="12"/>
  </w:compat>
  <w:rsids>
    <w:rsidRoot w:val="00D31D50"/>
    <w:rsid w:val="00323B43"/>
    <w:rsid w:val="003D37D8"/>
    <w:rsid w:val="00426133"/>
    <w:rsid w:val="004358AB"/>
    <w:rsid w:val="008B7726"/>
    <w:rsid w:val="00D31D50"/>
    <w:rsid w:val="324D0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万万</cp:lastModifiedBy>
  <dcterms:modified xsi:type="dcterms:W3CDTF">2022-04-01T08:16:42Z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