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关于对昆明川玉财务咨询有限公司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</w:t>
      </w:r>
      <w:r>
        <w:rPr>
          <w:rFonts w:hint="eastAsia" w:ascii="仿宋_GB2312" w:hAnsi="宋体" w:eastAsia="仿宋_GB2312" w:cs="宋体"/>
          <w:sz w:val="32"/>
          <w:szCs w:val="32"/>
        </w:rPr>
        <w:t>昆明川玉财务咨询有限公司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bookmarkStart w:id="2" w:name="_Hlk88123544"/>
      <w:bookmarkStart w:id="3" w:name="_Hlk88123615"/>
      <w:r>
        <w:rPr>
          <w:rFonts w:hint="eastAsia" w:ascii="仿宋_GB2312" w:hAnsi="宋体" w:eastAsia="仿宋_GB2312"/>
          <w:sz w:val="32"/>
          <w:szCs w:val="32"/>
        </w:rPr>
        <w:t>（1）昆明川玉财务咨询有限公司，统一社会信用代码：</w:t>
      </w:r>
      <w:r>
        <w:rPr>
          <w:rFonts w:ascii="仿宋_GB2312" w:hAnsi="宋体" w:eastAsia="仿宋_GB2312"/>
          <w:sz w:val="32"/>
          <w:szCs w:val="32"/>
        </w:rPr>
        <w:t>91530103MA6QB0WR6Q</w:t>
      </w:r>
      <w:r>
        <w:rPr>
          <w:rFonts w:hint="eastAsia" w:ascii="仿宋_GB2312" w:hAnsi="宋体" w:eastAsia="仿宋_GB2312"/>
          <w:sz w:val="32"/>
          <w:szCs w:val="32"/>
        </w:rPr>
        <w:t>，该公司于2021年7月6日申请取得《代理记账许可证书》，注册地址为：云南省昆明市盘龙区东华街道新迎小区十组团158幢2单元602号。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经查：实际办公经营地址为云南省昆明市盘龙区东华街道新迎小区十组团158幢2单元602号，注册地址与实际办公经营地址相符；公司已经完成2021年代理记账机构年度备案。</w:t>
      </w:r>
    </w:p>
    <w:bookmarkEnd w:id="2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（2）该公司专职从业人员3名；主管代理记账业务的负责人具有中级会计师职称，从事会计工作大于三年。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经查：3名专职人员已参加2021年会计人员继续教育；</w:t>
      </w:r>
      <w:bookmarkEnd w:id="3"/>
      <w:r>
        <w:rPr>
          <w:rFonts w:hint="eastAsia" w:ascii="仿宋_GB2312" w:hAnsi="宋体" w:eastAsia="仿宋_GB2312"/>
          <w:sz w:val="32"/>
          <w:szCs w:val="32"/>
        </w:rPr>
        <w:t>公司建立了《代理记账业务内部规范》、《业务质量控制规范》、《业务档案管理办法》、《会计工作交接制度》、《电脑记账操作管理制度》等内部管理制度。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该公司2021年5月24日成立，因遇到疫情影响，一直未</w:t>
      </w:r>
      <w:r>
        <w:rPr>
          <w:rFonts w:hint="eastAsia"/>
        </w:rPr>
        <w:t>经营，未开展业务，营业收入为0元，代理客户数量0户；公</w:t>
      </w:r>
      <w:r>
        <w:rPr>
          <w:rFonts w:hint="eastAsia" w:ascii="仿宋_GB2312" w:hAnsi="宋体" w:eastAsia="仿宋_GB2312"/>
          <w:sz w:val="32"/>
          <w:szCs w:val="32"/>
        </w:rPr>
        <w:t>司报税按规定正常申报，做0申报处理。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经现场检查，该公司未经营，未开展业务，未设置客户的会计账簿。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bookmarkStart w:id="4" w:name="_GoBack"/>
      <w:bookmarkEnd w:id="4"/>
      <w:r>
        <w:rPr>
          <w:rFonts w:hint="eastAsia"/>
          <w:sz w:val="32"/>
          <w:szCs w:val="32"/>
          <w:lang w:eastAsia="zh-CN"/>
        </w:rPr>
        <w:t>加强业务开展，合法经营。</w:t>
      </w:r>
    </w:p>
    <w:p>
      <w:pPr>
        <w:numPr>
          <w:ilvl w:val="0"/>
          <w:numId w:val="0"/>
        </w:numPr>
        <w:spacing w:line="600" w:lineRule="exact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88601C6"/>
    <w:rsid w:val="0EC84A4C"/>
    <w:rsid w:val="19D3539D"/>
    <w:rsid w:val="1D184148"/>
    <w:rsid w:val="21A21B53"/>
    <w:rsid w:val="24DF298D"/>
    <w:rsid w:val="2839631F"/>
    <w:rsid w:val="2AEA5497"/>
    <w:rsid w:val="2B724511"/>
    <w:rsid w:val="332919E9"/>
    <w:rsid w:val="39F42744"/>
    <w:rsid w:val="43417AC0"/>
    <w:rsid w:val="45FF06D4"/>
    <w:rsid w:val="460E2754"/>
    <w:rsid w:val="49DA5566"/>
    <w:rsid w:val="4A715849"/>
    <w:rsid w:val="5E51260E"/>
    <w:rsid w:val="62460370"/>
    <w:rsid w:val="65726B88"/>
    <w:rsid w:val="668F505B"/>
    <w:rsid w:val="74CB4323"/>
    <w:rsid w:val="74EE765F"/>
    <w:rsid w:val="7B493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2022-06-07T06:49:15Z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