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关于对昆明慧民经济信息咨询有限公司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</w:t>
      </w:r>
      <w:r>
        <w:rPr>
          <w:rFonts w:hint="eastAsia" w:ascii="仿宋_GB2312" w:hAnsi="宋体" w:eastAsia="仿宋_GB2312"/>
          <w:sz w:val="32"/>
          <w:szCs w:val="32"/>
        </w:rPr>
        <w:t>、合规性进行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检查，并评价其会计核算及代理记账业务的规范性。昆明慧民经济信息咨询有限公司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</w:pPr>
      <w:r>
        <w:rPr>
          <w:rFonts w:hint="eastAsia" w:ascii="仿宋_GB2312" w:hAnsi="宋体" w:eastAsia="仿宋_GB2312"/>
          <w:sz w:val="32"/>
          <w:szCs w:val="32"/>
        </w:rPr>
        <w:t>（1）昆明慧民经济信息咨询有限公司，统一社会信用代码</w:t>
      </w:r>
      <w:r>
        <w:rPr>
          <w:rFonts w:hint="eastAsia"/>
        </w:rPr>
        <w:t>：</w:t>
      </w:r>
      <w:r>
        <w:t>91530103MA6K7C6D1T</w:t>
      </w:r>
      <w:r>
        <w:rPr>
          <w:rFonts w:hint="eastAsia"/>
        </w:rPr>
        <w:t>，该公司于</w:t>
      </w:r>
      <w:r>
        <w:t>20</w:t>
      </w:r>
      <w:r>
        <w:rPr>
          <w:rFonts w:hint="eastAsia"/>
        </w:rPr>
        <w:t>18年4月8日申请取得《代理记账许可证书》，注册地址为：云南省昆明市盘龙区官城四季花语7幢4单元302号。</w:t>
      </w:r>
    </w:p>
    <w:p>
      <w:pPr>
        <w:ind w:firstLine="640"/>
      </w:pPr>
      <w:r>
        <w:rPr>
          <w:rFonts w:hint="eastAsia"/>
        </w:rPr>
        <w:t>经查：实际办公经营地址为云南省昆明市盘龙区官城四季花语7幢4单元302号，注册地址与实际办公经营地址相符；公司已经完成2021年代理记账机构年度备案。</w:t>
      </w:r>
    </w:p>
    <w:p>
      <w:pPr>
        <w:ind w:firstLine="640"/>
      </w:pPr>
      <w:r>
        <w:rPr>
          <w:rFonts w:hint="eastAsia"/>
        </w:rPr>
        <w:t>（2）该公司专职从业人员4名；主管代理记账业务的负责人具有会计从业资格证书，从事会计工作大于三年。</w:t>
      </w:r>
    </w:p>
    <w:p>
      <w:pPr>
        <w:ind w:firstLine="640"/>
      </w:pPr>
      <w:r>
        <w:rPr>
          <w:rFonts w:hint="eastAsia"/>
        </w:rPr>
        <w:t>经查：专职人员2人已完成2021年度会计人员继续教育，其他2人还在进行未完成；公司建立了《代理记账业务内部规范》、《业务质量控制规范》、《业务档案管理办法》、《会计工作交接制度》、《电脑记账操作管理制度》等内部管理制度。</w:t>
      </w:r>
    </w:p>
    <w:p>
      <w:pPr>
        <w:ind w:firstLine="640"/>
      </w:pPr>
      <w:r>
        <w:rPr>
          <w:rFonts w:hint="eastAsia"/>
        </w:rPr>
        <w:t>2.代理记账机构收入等情况</w:t>
      </w:r>
    </w:p>
    <w:p>
      <w:pPr>
        <w:ind w:firstLine="640"/>
      </w:pPr>
      <w:r>
        <w:rPr>
          <w:rFonts w:hint="eastAsia"/>
        </w:rPr>
        <w:t>该公司2021年度营业收入160,422.80元，其中：代理记账业务收入160,422.80元；代理客户数量50户。</w:t>
      </w:r>
    </w:p>
    <w:p>
      <w:pPr>
        <w:ind w:firstLine="640"/>
      </w:pPr>
      <w:r>
        <w:rPr>
          <w:rFonts w:hint="eastAsia"/>
        </w:rPr>
        <w:t>3.代理记账机构从事的代理记账业务情况</w:t>
      </w:r>
    </w:p>
    <w:p>
      <w:pPr>
        <w:ind w:firstLine="640"/>
      </w:pPr>
      <w:r>
        <w:rPr>
          <w:rFonts w:hint="eastAsia"/>
        </w:rPr>
        <w:t>在现场检查过程中，该公司从事的代理记账业务设置了各个客户的会计账簿；会计核算符合《会计法》和国家统一的会计制度的规定；有会计凭证的交叉复核规定；2021年度的会计凭证已按规定装订；与代理的客户均已签订书面代理记账合同；代理客户的财务资料已分类、并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B560185"/>
    <w:rsid w:val="1D184148"/>
    <w:rsid w:val="39043C9B"/>
    <w:rsid w:val="42D16EC3"/>
    <w:rsid w:val="43417AC0"/>
    <w:rsid w:val="49DA5566"/>
    <w:rsid w:val="4A715849"/>
    <w:rsid w:val="5E51260E"/>
    <w:rsid w:val="65726B88"/>
    <w:rsid w:val="668F505B"/>
    <w:rsid w:val="6B5304E4"/>
    <w:rsid w:val="74CB4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2022-06-07T03:23:09Z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