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关于对昆明相悦财务咨询服务中心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检查，并评价其会计核算及代理记账业务的规范性。昆明相悦财务咨询服务中心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（1）昆明相悦财务咨询服务中心，统一社会信用代码：</w:t>
      </w:r>
      <w:r>
        <w:rPr>
          <w:rFonts w:ascii="仿宋_GB2312" w:hAnsi="宋体" w:eastAsia="仿宋_GB2312"/>
          <w:sz w:val="32"/>
          <w:szCs w:val="32"/>
        </w:rPr>
        <w:t>91530103MA6P74026D</w:t>
      </w:r>
      <w:r>
        <w:rPr>
          <w:rFonts w:hint="eastAsia" w:ascii="仿宋_GB2312" w:hAnsi="宋体" w:eastAsia="仿宋_GB2312"/>
          <w:sz w:val="32"/>
          <w:szCs w:val="32"/>
        </w:rPr>
        <w:t>，该公司于20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日申请取得《代理记账许可证书》，注册地址为：云南省昆明市盘龙区穿金路263号2幢801。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经查：实际办公经营地址为云南省昆明市盘龙区穿金路263号2幢801，注册地址与实际办公经营地址相符；公司已经完成202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（2）该公司专职从业人员3名；主管代理记账业务的负责人，从事会计工作大于三年。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经查：主3名专职人员有1名已参加202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年会计人员继续教育，2人</w:t>
      </w:r>
      <w:r>
        <w:rPr>
          <w:rFonts w:ascii="仿宋_GB2312" w:hAnsi="宋体" w:eastAsia="仿宋_GB2312"/>
          <w:sz w:val="32"/>
          <w:szCs w:val="32"/>
        </w:rPr>
        <w:t>待参加</w:t>
      </w:r>
      <w:r>
        <w:rPr>
          <w:rFonts w:hint="eastAsia" w:ascii="仿宋_GB2312" w:hAnsi="宋体" w:eastAsia="仿宋_GB2312"/>
          <w:sz w:val="32"/>
          <w:szCs w:val="32"/>
        </w:rPr>
        <w:t>。公司除建立了《代理记账业务内部规范》和</w:t>
      </w:r>
      <w:r>
        <w:rPr>
          <w:rFonts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财务</w:t>
      </w:r>
      <w:r>
        <w:rPr>
          <w:rFonts w:ascii="仿宋_GB2312" w:hAnsi="宋体" w:eastAsia="仿宋_GB2312"/>
          <w:sz w:val="32"/>
          <w:szCs w:val="32"/>
        </w:rPr>
        <w:t>和人员</w:t>
      </w:r>
      <w:r>
        <w:rPr>
          <w:rFonts w:hint="eastAsia" w:ascii="仿宋_GB2312" w:hAnsi="宋体" w:eastAsia="仿宋_GB2312"/>
          <w:sz w:val="32"/>
          <w:szCs w:val="32"/>
        </w:rPr>
        <w:t>管理</w:t>
      </w:r>
      <w:r>
        <w:rPr>
          <w:rFonts w:ascii="仿宋_GB2312" w:hAnsi="宋体" w:eastAsia="仿宋_GB2312"/>
          <w:sz w:val="32"/>
          <w:szCs w:val="32"/>
        </w:rPr>
        <w:t>办法》</w:t>
      </w:r>
      <w:r>
        <w:rPr>
          <w:rFonts w:hint="eastAsia" w:ascii="仿宋_GB2312" w:hAnsi="宋体" w:eastAsia="仿宋_GB2312"/>
          <w:sz w:val="32"/>
          <w:szCs w:val="32"/>
        </w:rPr>
        <w:t>外，未提供会计档案管理制度、合同管理制度。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年度营业收入</w:t>
      </w:r>
      <w:r>
        <w:rPr>
          <w:rFonts w:ascii="仿宋_GB2312" w:hAnsi="宋体" w:eastAsia="仿宋_GB2312"/>
          <w:sz w:val="32"/>
          <w:szCs w:val="32"/>
        </w:rPr>
        <w:t>126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ascii="仿宋_GB2312" w:hAnsi="宋体" w:eastAsia="仿宋_GB2312"/>
          <w:sz w:val="32"/>
          <w:szCs w:val="32"/>
        </w:rPr>
        <w:t>336.62</w:t>
      </w:r>
      <w:r>
        <w:rPr>
          <w:rFonts w:hint="eastAsia" w:ascii="仿宋_GB2312" w:hAnsi="宋体" w:eastAsia="仿宋_GB2312"/>
          <w:sz w:val="32"/>
          <w:szCs w:val="32"/>
        </w:rPr>
        <w:t>元,代理记账业务收入</w:t>
      </w:r>
      <w:r>
        <w:rPr>
          <w:rFonts w:ascii="仿宋_GB2312" w:hAnsi="宋体" w:eastAsia="仿宋_GB2312"/>
          <w:sz w:val="32"/>
          <w:szCs w:val="32"/>
        </w:rPr>
        <w:t>59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ascii="仿宋_GB2312" w:hAnsi="宋体" w:eastAsia="仿宋_GB2312"/>
          <w:sz w:val="32"/>
          <w:szCs w:val="32"/>
        </w:rPr>
        <w:t>405.92</w:t>
      </w:r>
      <w:r>
        <w:rPr>
          <w:rFonts w:hint="eastAsia" w:ascii="仿宋_GB2312" w:hAnsi="宋体" w:eastAsia="仿宋_GB2312"/>
          <w:sz w:val="32"/>
          <w:szCs w:val="32"/>
        </w:rPr>
        <w:t>元；代理客户数量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家。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在进行现场检查过程中，该公司从事的代理记账业务设置了各个客户的会计账簿；202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年的会计凭证、会计账簿已装订，并</w:t>
      </w:r>
      <w:r>
        <w:rPr>
          <w:rFonts w:ascii="仿宋_GB2312" w:hAnsi="宋体" w:eastAsia="仿宋_GB2312"/>
          <w:sz w:val="32"/>
          <w:szCs w:val="32"/>
        </w:rPr>
        <w:t>已移交给</w:t>
      </w:r>
      <w:r>
        <w:rPr>
          <w:rFonts w:hint="eastAsia" w:ascii="仿宋_GB2312" w:hAnsi="宋体" w:eastAsia="仿宋_GB2312"/>
          <w:sz w:val="32"/>
          <w:szCs w:val="32"/>
        </w:rPr>
        <w:t>客户</w:t>
      </w:r>
      <w:r>
        <w:rPr>
          <w:rFonts w:ascii="仿宋_GB2312" w:hAnsi="宋体" w:eastAsia="仿宋_GB2312"/>
          <w:sz w:val="32"/>
          <w:szCs w:val="32"/>
        </w:rPr>
        <w:t>保管</w:t>
      </w:r>
      <w:r>
        <w:rPr>
          <w:rFonts w:hint="eastAsia" w:ascii="仿宋_GB2312" w:hAnsi="宋体" w:eastAsia="仿宋_GB2312"/>
          <w:sz w:val="32"/>
          <w:szCs w:val="32"/>
        </w:rPr>
        <w:t>；会计核算符合《会计法》和国家统一的会计制度的规定；有会计凭证的交叉复核规定，会计凭证上有复核人的签章；与代理的客户均已签订书面代理记账合同；代理客户的财务资料已分类、并完整存放;</w:t>
      </w:r>
      <w:bookmarkStart w:id="2" w:name="_Hlk88573907"/>
      <w:r>
        <w:rPr>
          <w:rFonts w:hint="eastAsia" w:ascii="仿宋_GB2312" w:hAnsi="宋体" w:eastAsia="仿宋_GB2312"/>
          <w:sz w:val="32"/>
          <w:szCs w:val="32"/>
        </w:rPr>
        <w:t>因2021年</w:t>
      </w:r>
      <w:r>
        <w:rPr>
          <w:rFonts w:ascii="仿宋_GB2312" w:hAnsi="宋体" w:eastAsia="仿宋_GB2312"/>
          <w:sz w:val="32"/>
          <w:szCs w:val="32"/>
        </w:rPr>
        <w:t>的凭证、账簿等资料</w:t>
      </w:r>
      <w:r>
        <w:rPr>
          <w:rFonts w:hint="eastAsia" w:ascii="仿宋_GB2312" w:hAnsi="宋体" w:eastAsia="仿宋_GB2312"/>
          <w:sz w:val="32"/>
          <w:szCs w:val="32"/>
        </w:rPr>
        <w:t>已</w:t>
      </w:r>
      <w:r>
        <w:rPr>
          <w:rFonts w:ascii="仿宋_GB2312" w:hAnsi="宋体" w:eastAsia="仿宋_GB2312"/>
          <w:sz w:val="32"/>
          <w:szCs w:val="32"/>
        </w:rPr>
        <w:t>移交</w:t>
      </w:r>
      <w:r>
        <w:rPr>
          <w:rFonts w:hint="eastAsia" w:ascii="仿宋_GB2312" w:hAnsi="宋体" w:eastAsia="仿宋_GB2312"/>
          <w:sz w:val="32"/>
          <w:szCs w:val="32"/>
        </w:rPr>
        <w:t>给</w:t>
      </w:r>
      <w:r>
        <w:rPr>
          <w:rFonts w:ascii="仿宋_GB2312" w:hAnsi="宋体" w:eastAsia="仿宋_GB2312"/>
          <w:sz w:val="32"/>
          <w:szCs w:val="32"/>
        </w:rPr>
        <w:t>客户，</w:t>
      </w:r>
      <w:r>
        <w:rPr>
          <w:rFonts w:hint="eastAsia" w:ascii="仿宋_GB2312" w:hAnsi="宋体" w:eastAsia="仿宋_GB2312"/>
          <w:sz w:val="32"/>
          <w:szCs w:val="32"/>
        </w:rPr>
        <w:t>现场抽查了其代理的客户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某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2022年1-3月的会计凭证，</w:t>
      </w:r>
      <w:bookmarkStart w:id="3" w:name="_Hlk88818446"/>
      <w:r>
        <w:rPr>
          <w:rFonts w:hint="eastAsia" w:ascii="仿宋_GB2312" w:hAnsi="宋体" w:eastAsia="仿宋_GB2312"/>
          <w:sz w:val="32"/>
          <w:szCs w:val="32"/>
        </w:rPr>
        <w:t>未发现账务处理不规范的事项。</w:t>
      </w:r>
      <w:bookmarkEnd w:id="2"/>
      <w:bookmarkEnd w:id="3"/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4" w:name="_GoBack"/>
      <w:bookmarkEnd w:id="4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EC84A4C"/>
    <w:rsid w:val="1D184148"/>
    <w:rsid w:val="24DF298D"/>
    <w:rsid w:val="2839631F"/>
    <w:rsid w:val="2E422305"/>
    <w:rsid w:val="332919E9"/>
    <w:rsid w:val="39F42744"/>
    <w:rsid w:val="43417AC0"/>
    <w:rsid w:val="460E2754"/>
    <w:rsid w:val="4659561F"/>
    <w:rsid w:val="49DA5566"/>
    <w:rsid w:val="4A715849"/>
    <w:rsid w:val="53B66F57"/>
    <w:rsid w:val="57E9204B"/>
    <w:rsid w:val="5E51260E"/>
    <w:rsid w:val="65726B88"/>
    <w:rsid w:val="668F505B"/>
    <w:rsid w:val="68A77789"/>
    <w:rsid w:val="74CB4323"/>
    <w:rsid w:val="74EE7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