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关于对企多多财务信息咨询（云南）有限公司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检查，并评价其会计核算及代理记账业务的规范性。企多多财务信息咨询（云南）有限公司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（1）企多多财务信息咨询（云南）有限公司，统一社会信用代码：</w:t>
      </w:r>
      <w:r>
        <w:rPr>
          <w:rFonts w:ascii="仿宋_GB2312" w:hAnsi="宋体" w:eastAsia="仿宋_GB2312"/>
          <w:sz w:val="32"/>
          <w:szCs w:val="32"/>
        </w:rPr>
        <w:t>91530103MA6PDJ1F2P</w:t>
      </w:r>
      <w:r>
        <w:rPr>
          <w:rFonts w:hint="eastAsia" w:ascii="仿宋_GB2312" w:hAnsi="宋体" w:eastAsia="仿宋_GB2312"/>
          <w:sz w:val="32"/>
          <w:szCs w:val="32"/>
        </w:rPr>
        <w:t>，该公司于2021年8月02日申请取得《代理记账许可证书》，注册地址为：云南省昆明市盘龙区溪畔丽景11栋803室。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经查：实际办公经营地址为云南省昆明市盘龙区金色家园</w:t>
      </w:r>
      <w:r>
        <w:rPr>
          <w:rFonts w:ascii="仿宋_GB2312" w:hAnsi="宋体" w:eastAsia="仿宋_GB2312"/>
          <w:sz w:val="32"/>
          <w:szCs w:val="32"/>
        </w:rPr>
        <w:t>锐空间</w:t>
      </w:r>
      <w:r>
        <w:rPr>
          <w:rFonts w:hint="eastAsia" w:ascii="仿宋_GB2312" w:hAnsi="宋体" w:eastAsia="仿宋_GB2312"/>
          <w:sz w:val="32"/>
          <w:szCs w:val="32"/>
        </w:rPr>
        <w:t>8栋3单元1005室，注册地址与实际办公经营地址不相符；公司已经完成202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年代理记账机构年度备案。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（2）该公司专职从业人员3名；主管代理记账业务的负责人专职从事会计工作大于三年。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经查：3名专职人员1</w:t>
      </w:r>
      <w:r>
        <w:rPr>
          <w:rFonts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</w:rPr>
        <w:t>已参加2021年会计人员继续教育，2人</w:t>
      </w:r>
      <w:r>
        <w:rPr>
          <w:rFonts w:ascii="仿宋_GB2312" w:hAnsi="宋体" w:eastAsia="仿宋_GB2312"/>
          <w:sz w:val="32"/>
          <w:szCs w:val="32"/>
        </w:rPr>
        <w:t>待参加。</w:t>
      </w:r>
      <w:r>
        <w:rPr>
          <w:rFonts w:hint="eastAsia" w:ascii="仿宋_GB2312" w:hAnsi="宋体" w:eastAsia="仿宋_GB2312"/>
          <w:sz w:val="32"/>
          <w:szCs w:val="32"/>
        </w:rPr>
        <w:t>公司除建立了《代理记账业务规范》（含</w:t>
      </w:r>
      <w:r>
        <w:rPr>
          <w:rFonts w:ascii="仿宋_GB2312" w:hAnsi="宋体" w:eastAsia="仿宋_GB2312"/>
          <w:sz w:val="32"/>
          <w:szCs w:val="32"/>
        </w:rPr>
        <w:t>档案管理办法</w:t>
      </w:r>
      <w:r>
        <w:rPr>
          <w:rFonts w:hint="eastAsia" w:ascii="仿宋_GB2312" w:hAnsi="宋体" w:eastAsia="仿宋_GB2312"/>
          <w:sz w:val="32"/>
          <w:szCs w:val="32"/>
        </w:rPr>
        <w:t>）外，未提供财务管理制度、合同管理制度。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2.代理记账机构收入等情况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该公司2021年度营业收入</w:t>
      </w:r>
      <w:r>
        <w:rPr>
          <w:rFonts w:ascii="仿宋_GB2312" w:hAnsi="宋体" w:eastAsia="仿宋_GB2312"/>
          <w:sz w:val="32"/>
          <w:szCs w:val="32"/>
        </w:rPr>
        <w:t>326</w:t>
      </w:r>
      <w:r>
        <w:rPr>
          <w:rFonts w:hint="eastAsia" w:ascii="仿宋_GB2312" w:hAnsi="宋体" w:eastAsia="仿宋_GB2312"/>
          <w:sz w:val="32"/>
          <w:szCs w:val="32"/>
        </w:rPr>
        <w:t>,</w:t>
      </w:r>
      <w:r>
        <w:rPr>
          <w:rFonts w:ascii="仿宋_GB2312" w:hAnsi="宋体" w:eastAsia="仿宋_GB2312"/>
          <w:sz w:val="32"/>
          <w:szCs w:val="32"/>
        </w:rPr>
        <w:t>749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ascii="仿宋_GB2312" w:hAnsi="宋体" w:eastAsia="仿宋_GB2312"/>
          <w:sz w:val="32"/>
          <w:szCs w:val="32"/>
        </w:rPr>
        <w:t>40</w:t>
      </w:r>
      <w:r>
        <w:rPr>
          <w:rFonts w:hint="eastAsia" w:ascii="仿宋_GB2312" w:hAnsi="宋体" w:eastAsia="仿宋_GB2312"/>
          <w:sz w:val="32"/>
          <w:szCs w:val="32"/>
        </w:rPr>
        <w:t>元，其中：代理记账业务收入</w:t>
      </w:r>
      <w:r>
        <w:rPr>
          <w:rFonts w:ascii="仿宋_GB2312" w:hAnsi="宋体" w:eastAsia="仿宋_GB2312"/>
          <w:sz w:val="32"/>
          <w:szCs w:val="32"/>
        </w:rPr>
        <w:t>326</w:t>
      </w:r>
      <w:r>
        <w:rPr>
          <w:rFonts w:hint="eastAsia" w:ascii="仿宋_GB2312" w:hAnsi="宋体" w:eastAsia="仿宋_GB2312"/>
          <w:sz w:val="32"/>
          <w:szCs w:val="32"/>
        </w:rPr>
        <w:t>,</w:t>
      </w:r>
      <w:r>
        <w:rPr>
          <w:rFonts w:ascii="仿宋_GB2312" w:hAnsi="宋体" w:eastAsia="仿宋_GB2312"/>
          <w:sz w:val="32"/>
          <w:szCs w:val="32"/>
        </w:rPr>
        <w:t>749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ascii="仿宋_GB2312" w:hAnsi="宋体" w:eastAsia="仿宋_GB2312"/>
          <w:sz w:val="32"/>
          <w:szCs w:val="32"/>
        </w:rPr>
        <w:t>40</w:t>
      </w:r>
      <w:r>
        <w:rPr>
          <w:rFonts w:hint="eastAsia" w:ascii="仿宋_GB2312" w:hAnsi="宋体" w:eastAsia="仿宋_GB2312"/>
          <w:sz w:val="32"/>
          <w:szCs w:val="32"/>
        </w:rPr>
        <w:t>元，代理客户数量</w:t>
      </w:r>
      <w:r>
        <w:rPr>
          <w:rFonts w:ascii="仿宋_GB2312" w:hAnsi="宋体" w:eastAsia="仿宋_GB2312"/>
          <w:sz w:val="32"/>
          <w:szCs w:val="32"/>
        </w:rPr>
        <w:t>100</w:t>
      </w:r>
      <w:r>
        <w:rPr>
          <w:rFonts w:hint="eastAsia" w:ascii="仿宋_GB2312" w:hAnsi="宋体" w:eastAsia="仿宋_GB2312"/>
          <w:sz w:val="32"/>
          <w:szCs w:val="32"/>
        </w:rPr>
        <w:t>家。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3.代理记账机构从事的代理记账业务情况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在进行现场检查过程中，该公司从事的代理记账业务设置了各个客户的会计账簿；202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的会计凭证、会计账簿已装订；会计核算符合《会计法》和国家统一的会计制度的规定；有会计凭证的交叉复核规定，但会计凭证上无复核人的签章；与代理的客户均已签订书面代理记账合同，代理客户的财务资料已分类、并完整存放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审计发现：该公司代理的记账业务中存在以下问题： 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（1）附件不完整。如代理的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某</w:t>
      </w:r>
      <w:r>
        <w:rPr>
          <w:rFonts w:ascii="仿宋_GB2312" w:hAnsi="宋体" w:eastAsia="仿宋_GB2312"/>
          <w:sz w:val="32"/>
          <w:szCs w:val="32"/>
        </w:rPr>
        <w:t>公司2021年4月</w:t>
      </w:r>
      <w:r>
        <w:rPr>
          <w:rFonts w:hint="eastAsia" w:ascii="仿宋_GB2312" w:hAnsi="宋体" w:eastAsia="仿宋_GB2312"/>
          <w:sz w:val="32"/>
          <w:szCs w:val="32"/>
        </w:rPr>
        <w:t>记13</w:t>
      </w:r>
      <w:r>
        <w:rPr>
          <w:rFonts w:ascii="仿宋_GB2312" w:hAnsi="宋体" w:eastAsia="仿宋_GB2312"/>
          <w:sz w:val="32"/>
          <w:szCs w:val="32"/>
        </w:rPr>
        <w:t>号凭证记录向法人借入现金 3,500.00元，</w:t>
      </w:r>
      <w:r>
        <w:rPr>
          <w:rFonts w:hint="eastAsia" w:ascii="仿宋_GB2312" w:hAnsi="宋体" w:eastAsia="仿宋_GB2312"/>
          <w:sz w:val="32"/>
          <w:szCs w:val="32"/>
        </w:rPr>
        <w:t>只有</w:t>
      </w:r>
      <w:r>
        <w:rPr>
          <w:rFonts w:ascii="仿宋_GB2312" w:hAnsi="宋体" w:eastAsia="仿宋_GB2312"/>
          <w:sz w:val="32"/>
          <w:szCs w:val="32"/>
        </w:rPr>
        <w:t>银行入账回单，未附借款合同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（2）原始凭证填制不规范。如代理的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某</w:t>
      </w:r>
      <w:r>
        <w:rPr>
          <w:rFonts w:ascii="仿宋_GB2312" w:hAnsi="宋体" w:eastAsia="仿宋_GB2312"/>
          <w:sz w:val="32"/>
          <w:szCs w:val="32"/>
        </w:rPr>
        <w:t>公司2021年4月</w:t>
      </w:r>
      <w:r>
        <w:rPr>
          <w:rFonts w:hint="eastAsia" w:ascii="仿宋_GB2312" w:hAnsi="宋体" w:eastAsia="仿宋_GB2312"/>
          <w:sz w:val="32"/>
          <w:szCs w:val="32"/>
        </w:rPr>
        <w:t>记9</w:t>
      </w:r>
      <w:r>
        <w:rPr>
          <w:rFonts w:ascii="仿宋_GB2312" w:hAnsi="宋体" w:eastAsia="仿宋_GB2312"/>
          <w:sz w:val="32"/>
          <w:szCs w:val="32"/>
        </w:rPr>
        <w:t>号现金发放工资1,000.00 元，</w:t>
      </w:r>
      <w:r>
        <w:rPr>
          <w:rFonts w:hint="eastAsia" w:ascii="仿宋_GB2312" w:hAnsi="宋体" w:eastAsia="仿宋_GB2312"/>
          <w:sz w:val="32"/>
          <w:szCs w:val="32"/>
        </w:rPr>
        <w:t>原始</w:t>
      </w:r>
      <w:r>
        <w:rPr>
          <w:rFonts w:ascii="仿宋_GB2312" w:hAnsi="宋体" w:eastAsia="仿宋_GB2312"/>
          <w:sz w:val="32"/>
          <w:szCs w:val="32"/>
        </w:rPr>
        <w:t>凭证无审批人和领款人签字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记账凭证无</w:t>
      </w:r>
      <w:r>
        <w:rPr>
          <w:rFonts w:hint="eastAsia" w:ascii="仿宋_GB2312" w:hAnsi="宋体" w:eastAsia="仿宋_GB2312"/>
          <w:sz w:val="32"/>
          <w:szCs w:val="32"/>
        </w:rPr>
        <w:t>制单</w:t>
      </w:r>
      <w:r>
        <w:rPr>
          <w:rFonts w:ascii="仿宋_GB2312" w:hAnsi="宋体" w:eastAsia="仿宋_GB2312"/>
          <w:sz w:val="32"/>
          <w:szCs w:val="32"/>
        </w:rPr>
        <w:t>人和审核人签字。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（四）对代理记账机构经营地址与注册地址不一致的，应及时进行变更登记；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1DF1CBF"/>
    <w:rsid w:val="0BDC082F"/>
    <w:rsid w:val="0EC84A4C"/>
    <w:rsid w:val="1D184148"/>
    <w:rsid w:val="1DDB0988"/>
    <w:rsid w:val="24953360"/>
    <w:rsid w:val="332919E9"/>
    <w:rsid w:val="3D17603D"/>
    <w:rsid w:val="43417AC0"/>
    <w:rsid w:val="48855788"/>
    <w:rsid w:val="49DA5566"/>
    <w:rsid w:val="4A715849"/>
    <w:rsid w:val="4C706458"/>
    <w:rsid w:val="5C293100"/>
    <w:rsid w:val="5E51260E"/>
    <w:rsid w:val="65726B88"/>
    <w:rsid w:val="668F505B"/>
    <w:rsid w:val="6E054F34"/>
    <w:rsid w:val="74CB4323"/>
    <w:rsid w:val="7E8C0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6AA90-2662-42E5-AB3B-4FA98FD009B0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B7AC123A-C6A1-4177-9B10-922397832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2022-06-07T03:38:37Z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