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sz w:val="52"/>
          <w:szCs w:val="52"/>
        </w:rPr>
      </w:pPr>
      <w:r>
        <w:rPr>
          <w:rFonts w:hint="eastAsia" w:ascii="黑体" w:hAnsi="黑体" w:eastAsia="黑体" w:cs="黑体"/>
          <w:bCs/>
          <w:sz w:val="52"/>
          <w:szCs w:val="52"/>
        </w:rPr>
        <w:t>“一窗式”人员配置经费项目支出绩效自评报告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 2021年度）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2337435</wp:posOffset>
                </wp:positionH>
                <wp:positionV relativeFrom="paragraph">
                  <wp:posOffset>232410</wp:posOffset>
                </wp:positionV>
                <wp:extent cx="2495550" cy="0"/>
                <wp:effectExtent l="0" t="0" r="19050" b="1905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4.05pt;margin-top:18.3pt;height:0pt;width:196.5pt;z-index:251659264;mso-width-relative:page;mso-height-relative:page;" filled="f" stroked="t" coordsize="21600,21600" o:gfxdata="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BsA+btYAAAAJAQAADwAAAAAAAAAB&#10;ACAAAAAiAAAAZHJzL2Rvd25yZXYueG1sUEsBAhQAFAAAAAgAh07iQPZxkPDZAQAAcAMAAA4AAAAA&#10;AAAAAQAgAAAAJQEAAGRycy9lMm9Eb2MueG1sUEsFBgAAAAAGAAYAWQEAAHA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9525" t="12065" r="9525" b="6985"/>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xhF2DXAAAACQEAAA8AAAAAAAAA&#10;AQAgAAAAIgAAAGRycy9kb3ducmV2LnhtbFBLAQIUABQAAAAIAIdO4kDYTeOo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项目单位：盘龙区政务服务管理局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U//L+toBAABwAwAADgAA&#10;AAAAAAABACAAAAAm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Qgv7vXAAAACQEAAA8AAAAAAAAA&#10;AQAgAAAAIgAAAGRycy9kb3ducmV2LnhtbFBLAQIUABQAAAAIAIdO4kB9w7ii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项目名称：“一窗式”人员配置经费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tCC/u9cAAAAJAQAADwAAAAAAAAAB&#10;ACAAAAAiAAAAZHJzL2Rvd25yZXYueG1sUEsBAhQAFAAAAAgAh07iQA+HLUrYAQAAcAMAAA4AAAAA&#10;AAAAAQAgAAAAJgEAAGRycy9lMm9Eb2MueG1sUEsFBgAAAAAGAAYAWQEAAHA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2022年4月25日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spacing w:line="360" w:lineRule="auto"/>
        <w:rPr>
          <w:rFonts w:ascii="黑体" w:hAnsi="黑体" w:eastAsia="黑体"/>
          <w:color w:val="000000"/>
          <w:sz w:val="24"/>
          <w:szCs w:val="24"/>
          <w:u w:color="000000"/>
          <w:lang w:val="zh-TW" w:eastAsia="zh-TW"/>
        </w:rPr>
      </w:pPr>
      <w:r>
        <w:rPr>
          <w:rFonts w:hint="eastAsia" w:ascii="黑体" w:hAnsi="黑体" w:eastAsia="黑体" w:cs="黑体"/>
          <w:color w:val="000000"/>
          <w:sz w:val="24"/>
          <w:szCs w:val="24"/>
          <w:u w:color="000000"/>
          <w:lang w:val="zh-TW" w:eastAsia="zh-TW"/>
        </w:rPr>
        <w:t>评价小组成员：</w:t>
      </w:r>
    </w:p>
    <w:tbl>
      <w:tblPr>
        <w:tblStyle w:val="6"/>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评价小组</w:t>
            </w: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机构职位</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姓名</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职务/职称</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所属</w:t>
            </w: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单位/处室</w:t>
            </w:r>
          </w:p>
        </w:tc>
        <w:tc>
          <w:tcPr>
            <w:tcW w:w="2268"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组  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周  英</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陈  媛</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许正文</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3"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吴海燕</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胡  旭</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办公室主任</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高  雄</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信息科科长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孔祥龙</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审改科科长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1579" w:type="dxa"/>
            <w:vAlign w:val="center"/>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范茂康</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窗口科科长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安  龙</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审批科科长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吴皓荒</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公管科科长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报告撰写人（签字）：</w:t>
            </w: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0"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评价工作负责人（签字）：</w:t>
            </w:r>
          </w:p>
          <w:p>
            <w:pPr>
              <w:spacing w:line="360" w:lineRule="auto"/>
              <w:jc w:val="center"/>
              <w:rPr>
                <w:rFonts w:ascii="黑体" w:hAnsi="黑体" w:eastAsia="黑体" w:cs="黑体"/>
                <w:color w:val="000000"/>
                <w:sz w:val="24"/>
                <w:szCs w:val="24"/>
                <w:u w:color="000000"/>
                <w:lang w:val="zh-TW"/>
              </w:rPr>
            </w:pPr>
          </w:p>
          <w:p>
            <w:pPr>
              <w:spacing w:line="360" w:lineRule="auto"/>
              <w:jc w:val="center"/>
              <w:rPr>
                <w:rFonts w:ascii="黑体" w:hAnsi="黑体" w:eastAsia="黑体" w:cs="黑体"/>
                <w:color w:val="000000"/>
                <w:sz w:val="24"/>
                <w:szCs w:val="24"/>
                <w:u w:color="000000"/>
                <w:lang w:val="zh-TW"/>
              </w:rPr>
            </w:pP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bl>
    <w:p>
      <w:pPr>
        <w:pStyle w:val="10"/>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摘要</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 项目基本情况</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（一）项目立项背景</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（二）项目立项依据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（三）项目实施内容</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（四）项目实施计划及完成情况</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（五）项目的组织及管理</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（六）项目绩效目标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二、绩效评价工作情况</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(一)评价的目的和依据</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(二)绩效评价工作方案制定过程</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(三)绩效评价原则、评价方法等</w:t>
      </w:r>
      <w:r>
        <w:rPr>
          <w:rFonts w:hint="eastAsia" w:ascii="仿宋" w:hAnsi="仿宋" w:eastAsia="仿宋"/>
          <w:sz w:val="32"/>
          <w:szCs w:val="32"/>
        </w:rPr>
        <w:tab/>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(四)绩效评价实施过程</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(五)绩效评价的局限性</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三、评价结论及绩效分析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(一)评价结论</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(二)绩效分析</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四、项目主要经验及做法、存在的问题和建议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(一)主要经验及做法</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(二)存在的问题</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(三)建议和改进措施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五、附件</w:t>
      </w:r>
      <w:r>
        <w:rPr>
          <w:rFonts w:hint="eastAsia" w:ascii="仿宋" w:hAnsi="仿宋" w:eastAsia="仿宋"/>
          <w:sz w:val="32"/>
          <w:szCs w:val="32"/>
        </w:rPr>
        <w:tab/>
      </w:r>
      <w:r>
        <w:rPr>
          <w:rFonts w:hint="eastAsia" w:ascii="仿宋" w:hAnsi="仿宋" w:eastAsia="仿宋"/>
          <w:sz w:val="32"/>
          <w:szCs w:val="32"/>
        </w:rPr>
        <w:t xml:space="preserve"> </w:t>
      </w:r>
    </w:p>
    <w:p>
      <w:pPr>
        <w:spacing w:line="540" w:lineRule="exact"/>
        <w:ind w:firstLine="640" w:firstLineChars="200"/>
        <w:rPr>
          <w:rFonts w:ascii="仿宋" w:hAnsi="仿宋" w:eastAsia="仿宋"/>
          <w:sz w:val="32"/>
          <w:szCs w:val="32"/>
        </w:rPr>
      </w:pPr>
      <w:r>
        <w:rPr>
          <w:rFonts w:hint="eastAsia" w:ascii="仿宋" w:hAnsi="仿宋" w:eastAsia="仿宋"/>
          <w:sz w:val="32"/>
          <w:szCs w:val="32"/>
        </w:rPr>
        <w:t>(一)附件2：项目支出绩效评价共性指标体系框架</w:t>
      </w:r>
    </w:p>
    <w:p>
      <w:pPr>
        <w:spacing w:line="540" w:lineRule="exact"/>
        <w:rPr>
          <w:rFonts w:ascii="仿宋" w:hAnsi="仿宋" w:eastAsia="仿宋"/>
          <w:sz w:val="32"/>
          <w:szCs w:val="32"/>
        </w:rPr>
      </w:pPr>
    </w:p>
    <w:p>
      <w:pPr>
        <w:spacing w:line="540" w:lineRule="exact"/>
        <w:rPr>
          <w:rFonts w:ascii="仿宋" w:hAnsi="仿宋" w:eastAsia="仿宋"/>
          <w:sz w:val="32"/>
          <w:szCs w:val="32"/>
        </w:rPr>
      </w:pPr>
    </w:p>
    <w:p>
      <w:pPr>
        <w:spacing w:line="540" w:lineRule="exact"/>
        <w:rPr>
          <w:rFonts w:ascii="仿宋" w:hAnsi="仿宋" w:eastAsia="仿宋"/>
          <w:sz w:val="32"/>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topLinePunct/>
        <w:spacing w:line="440" w:lineRule="exact"/>
        <w:ind w:firstLine="1100" w:firstLineChars="250"/>
        <w:jc w:val="center"/>
        <w:rPr>
          <w:rFonts w:ascii="方正小标宋_GBK" w:eastAsia="方正小标宋_GBK"/>
          <w:sz w:val="44"/>
          <w:szCs w:val="44"/>
        </w:rPr>
      </w:pPr>
      <w:r>
        <w:rPr>
          <w:rFonts w:hint="eastAsia" w:ascii="方正小标宋_GBK" w:eastAsia="方正小标宋_GBK"/>
          <w:sz w:val="44"/>
          <w:szCs w:val="44"/>
        </w:rPr>
        <w:t>“一窗式”人员配置经费项目支出绩效</w:t>
      </w:r>
    </w:p>
    <w:p>
      <w:pPr>
        <w:topLinePunct/>
        <w:spacing w:line="440" w:lineRule="exact"/>
        <w:ind w:firstLine="1100" w:firstLineChars="250"/>
        <w:jc w:val="center"/>
        <w:rPr>
          <w:rFonts w:ascii="黑体" w:eastAsia="黑体"/>
          <w:sz w:val="32"/>
          <w:szCs w:val="32"/>
        </w:rPr>
      </w:pPr>
      <w:r>
        <w:rPr>
          <w:rFonts w:hint="eastAsia" w:ascii="方正小标宋_GBK" w:eastAsia="方正小标宋_GBK"/>
          <w:sz w:val="44"/>
          <w:szCs w:val="44"/>
        </w:rPr>
        <w:t>自评报告</w:t>
      </w:r>
    </w:p>
    <w:p>
      <w:pPr>
        <w:topLinePunct/>
        <w:spacing w:line="440" w:lineRule="exact"/>
        <w:ind w:firstLine="800" w:firstLineChars="250"/>
        <w:rPr>
          <w:rFonts w:ascii="黑体" w:eastAsia="黑体"/>
          <w:sz w:val="32"/>
          <w:szCs w:val="32"/>
        </w:rPr>
      </w:pPr>
      <w:r>
        <w:rPr>
          <w:rFonts w:hint="eastAsia" w:ascii="黑体" w:eastAsia="黑体"/>
          <w:sz w:val="32"/>
          <w:szCs w:val="32"/>
        </w:rPr>
        <w:t>一、项目基本情况</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（一）项目概况。</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1.立项背景及目的。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盘龙区关于加强政务服务工作推进政务服务“一窗式”综合办理和网上审批平台建设的实施方案》（盘政办通〔2016〕84号）工作要求，2016年盘龙区率先在全省启动“互联网+政务服务”和“一窗式”三级联动综合办理体系建设，为进一步优化政务服务软环境，提高窗口办事效率，以政府购买服务方式公开统一招聘窗口工作人员117人，招聘工资标准参照社区干部工资进行发放。2018年，按照《昆明市人民政府关于昆明市加快推进“互联网+政务服务+公共资源交易+投资服务”的实施意见》（昆政发〔2017〕35号）和《昆明市盘龙区人民政府办公室关于印发&lt;盘龙区压缩企业开办时间工作方案&gt;的通知》（盘政办通〔2018〕118号）工作要求，为压缩企业开办时间，优化营商环境，新增了10名窗口工作人员。并于2021年7月13日接到昆明市盘龙区人力资源和社会保障局《关于核定编外用工指标的通知》的文件，昆明市盘龙区政务服务管理局经2021 年7 月13 日政务大厅建设专题调研会议研究同意，核定我局编外用工指标127 个，用工经费按原标准、原渠道给予保障。编外人员的管理和使用严格按照《盘龙区机关事业单位辅助性岗位用工管理暂行办法》规定执行。</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2.项目实施情况。</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全年经费由财政下达后根据实际聘用人员人数，按我局的《纪律考勤管理制度》 (盘政务局［2017］59号)和《盘龙区政务服务管理局劳务派遣人员绩效考核管理办法（试行办法）》(盘政务局［2021］4号)规定进行严格考核，据实拨付资金，所需费用从“一窗式人员”配置专项经费中列支。每月初需将本月社会保险费及管理费、上月聘用人员工资和每季度末将季度绩效考核奖拨到第三方劳务派遣公司账户，确保辅助性岗位人员工资、社保缴费及绩效奖正常发放，更好地完成我局经费支出进度。</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3.资金来源及使用情况。</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昆明市盘龙区政务服务管理局以委托第三方劳务派遣公司的方式公开统一招聘窗口工作人员127人，按盘龙区202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年财政补助人员定额标准预算，比照社区工作人员进行。其中人员工资：工资标准3400元/人/月*127人/月*13个月=5,613,400元；社会保险缴费：社保缴费基数1</w:t>
      </w:r>
      <w:r>
        <w:rPr>
          <w:rFonts w:hint="eastAsia" w:ascii="Times New Roman" w:hAnsi="Times New Roman" w:eastAsia="仿宋_GB2312"/>
          <w:sz w:val="32"/>
          <w:szCs w:val="32"/>
          <w:lang w:val="en-US" w:eastAsia="zh-CN"/>
        </w:rPr>
        <w:t>417</w:t>
      </w:r>
      <w:r>
        <w:rPr>
          <w:rFonts w:hint="eastAsia" w:ascii="Times New Roman" w:hAnsi="Times New Roman" w:eastAsia="仿宋_GB2312"/>
          <w:sz w:val="32"/>
          <w:szCs w:val="32"/>
        </w:rPr>
        <w:t>元/人/月*127人/月*12个月=</w:t>
      </w:r>
      <w:r>
        <w:rPr>
          <w:rFonts w:hint="eastAsia" w:ascii="Times New Roman" w:hAnsi="Times New Roman" w:eastAsia="仿宋_GB2312"/>
          <w:sz w:val="32"/>
          <w:szCs w:val="32"/>
          <w:lang w:val="en-US" w:eastAsia="zh-CN"/>
        </w:rPr>
        <w:t>2</w:t>
      </w:r>
      <w:bookmarkStart w:id="0" w:name="_GoBack"/>
      <w:bookmarkEnd w:id="0"/>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159</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508</w:t>
      </w:r>
      <w:r>
        <w:rPr>
          <w:rFonts w:hint="eastAsia" w:ascii="Times New Roman" w:hAnsi="Times New Roman" w:eastAsia="仿宋_GB2312"/>
          <w:sz w:val="32"/>
          <w:szCs w:val="32"/>
        </w:rPr>
        <w:t>元；绩效考核奖励经费：340元/人/月*127人/月*12个月=518,160元，由区财政局安排资金拨付。2021年全年支付“一窗式”劳务派遣人员经费</w:t>
      </w:r>
      <w:r>
        <w:rPr>
          <w:rFonts w:ascii="Times New Roman" w:hAnsi="Times New Roman" w:eastAsia="仿宋_GB2312"/>
          <w:sz w:val="32"/>
          <w:szCs w:val="32"/>
        </w:rPr>
        <w:t>748.75</w:t>
      </w:r>
      <w:r>
        <w:rPr>
          <w:rFonts w:hint="eastAsia" w:ascii="Times New Roman" w:hAnsi="Times New Roman" w:eastAsia="仿宋_GB2312"/>
          <w:sz w:val="32"/>
          <w:szCs w:val="32"/>
        </w:rPr>
        <w:t>万元。</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4.组织及管理情况。包括项目组织情况、项目实施流程、资金拨付流程。</w:t>
      </w:r>
    </w:p>
    <w:p>
      <w:pPr>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2</w:t>
      </w:r>
      <w:r>
        <w:rPr>
          <w:rFonts w:ascii="Times New Roman" w:hAnsi="Times New Roman" w:eastAsia="楷体_GB2312"/>
          <w:sz w:val="32"/>
          <w:szCs w:val="32"/>
        </w:rPr>
        <w:t>）项目监督</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昆明市盘龙区政务服务管理局职能配置、内设机构和人员编制规定》的相关要求以及我局内控制度，严格开展项目支出绩效自评，将项目支出后的实际状况与申报的绩效目标对比，从项目的经济性、效率性、有效性和可持续性等方面进行量化、具体分析。并按规定内容、规定时限对与预算、执行、决算、监督、绩效等管理相关的预决算信息进行信息公开，各项支出基础数据信息和会计信息资料具有真实性、完整性、准确性。完成预期的绩效目标，切实做到用实、用好财政资金。</w:t>
      </w:r>
    </w:p>
    <w:p>
      <w:pPr>
        <w:spacing w:line="560" w:lineRule="exact"/>
        <w:ind w:firstLine="640" w:firstLineChars="200"/>
        <w:rPr>
          <w:rFonts w:ascii="Times New Roman" w:hAnsi="Times New Roman" w:eastAsia="仿宋_GB2312"/>
          <w:sz w:val="32"/>
          <w:szCs w:val="32"/>
        </w:rPr>
      </w:pPr>
      <w:r>
        <w:rPr>
          <w:rFonts w:hint="eastAsia" w:ascii="楷体" w:hAnsi="楷体" w:eastAsia="楷体"/>
          <w:sz w:val="32"/>
          <w:szCs w:val="32"/>
        </w:rPr>
        <w:t>（二）绩效目标。</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1.总目标。</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2021-2023年辅助性岗位人员薪酬预算为23,149.560元，包括127名劳务派遣人员，包括工资、社会保险缴费、绩效考核奖励经费三项。其中：：工资5,613,400元(含第13个的工资)、社会保险缴费2,159,508元（1,040元/月人）按月支付；绩效考核奖励经费518,160元（340元/月人）按季考核支付。其人员配置经费比照社区人员标准执行。年合计金额为7,716,520元。三年共完成支出金额为23,149.560元。</w:t>
      </w:r>
    </w:p>
    <w:p>
      <w:pPr>
        <w:topLinePunct/>
        <w:spacing w:line="440" w:lineRule="exact"/>
        <w:ind w:firstLine="640" w:firstLineChars="200"/>
        <w:rPr>
          <w:rFonts w:ascii="仿宋_GB2312" w:hAnsi="楷体" w:eastAsia="仿宋_GB2312"/>
          <w:sz w:val="32"/>
          <w:szCs w:val="32"/>
        </w:rPr>
      </w:pPr>
      <w:r>
        <w:rPr>
          <w:rFonts w:hint="eastAsia" w:ascii="仿宋_GB2312" w:hAnsi="楷体" w:eastAsia="仿宋_GB2312"/>
          <w:sz w:val="32"/>
          <w:szCs w:val="32"/>
        </w:rPr>
        <w:t>2.年度目标。</w:t>
      </w:r>
    </w:p>
    <w:p>
      <w:pPr>
        <w:topLinePunct/>
        <w:spacing w:line="440" w:lineRule="exact"/>
        <w:ind w:firstLine="640" w:firstLineChars="200"/>
        <w:rPr>
          <w:rFonts w:ascii="仿宋_GB2312" w:hAnsi="楷体" w:eastAsia="仿宋_GB2312"/>
          <w:sz w:val="32"/>
          <w:szCs w:val="32"/>
        </w:rPr>
      </w:pPr>
      <w:r>
        <w:rPr>
          <w:rFonts w:hint="eastAsia" w:ascii="仿宋_GB2312" w:hAnsi="楷体" w:eastAsia="仿宋_GB2312"/>
          <w:sz w:val="32"/>
          <w:szCs w:val="32"/>
        </w:rPr>
        <w:t>根据盘龙区人民政府15-74常务会议纪要，2021年辅助性岗位人员127名，薪酬预算7,716,520元，人数。包括工资、社会保险缴费、绩效考核奖励经费三项。绩效目标完成方式分别为：工资5,613,400元(含第13个的工资)、社会保险缴费2,159,508元（1,040元/月人）按月支付；绩效考核奖励经费518,160元（340元/月人）按季考核支付。其人员配置经费比照社区人员标准执行（盘民关【2018】187号）。合计金额为7,716,520元。</w:t>
      </w:r>
      <w:r>
        <w:rPr>
          <w:rFonts w:hint="eastAsia" w:ascii="仿宋" w:hAnsi="仿宋" w:eastAsia="仿宋"/>
          <w:sz w:val="32"/>
          <w:szCs w:val="32"/>
        </w:rPr>
        <w:t>加强“一窗式”人员经费保障，</w:t>
      </w:r>
    </w:p>
    <w:p>
      <w:pPr>
        <w:spacing w:line="560" w:lineRule="exact"/>
        <w:rPr>
          <w:rFonts w:ascii="仿宋" w:hAnsi="仿宋" w:eastAsia="仿宋"/>
          <w:sz w:val="32"/>
          <w:szCs w:val="32"/>
        </w:rPr>
      </w:pPr>
      <w:r>
        <w:rPr>
          <w:rFonts w:hint="eastAsia" w:ascii="仿宋" w:hAnsi="仿宋" w:eastAsia="仿宋"/>
          <w:sz w:val="32"/>
          <w:szCs w:val="32"/>
        </w:rPr>
        <w:t>确保辅助性人员队伍稳定，保障我局各科室、各片区工作顺利开展，大厅正常运转。</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（一）绩效评价目的。</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（二）绩效评价工作方案制定过程。</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1.前期调研。</w:t>
      </w:r>
    </w:p>
    <w:p>
      <w:pPr>
        <w:topLinePunct/>
        <w:spacing w:line="44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区政务局绩效自评小组，由党政主要领导任组长，各业务科室相关负责人任组员。</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2.研究文件。</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依据《盘政务局〔2021〕4号盘龙区人民政府政务服务劳务派遣人员绩效考核管理办法》、《盘龙区政务服务管理局“评优、评先”评选工作方案》定期开展评价。</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3.绩效评价指标体系及工作方案的设计。</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“一窗式”人员配置经费项目支出绩效采用共性指标体系进行绩效评价，主要包括预算编制和执行情况，财务管理状况，资产配置、使用、处置及收益管理情况以及社会效益、经济效益等。</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（三）绩效评价原则、评价方法</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1.绩效评价原则。</w:t>
      </w:r>
    </w:p>
    <w:p>
      <w:pPr>
        <w:topLinePunct/>
        <w:spacing w:line="440" w:lineRule="exact"/>
        <w:ind w:firstLine="640" w:firstLineChars="200"/>
        <w:rPr>
          <w:rFonts w:ascii="仿宋" w:hAnsi="仿宋" w:eastAsia="仿宋"/>
          <w:sz w:val="32"/>
          <w:szCs w:val="32"/>
        </w:rPr>
      </w:pPr>
      <w:r>
        <w:rPr>
          <w:rFonts w:hint="eastAsia" w:ascii="仿宋_GB2312" w:hAnsi="楷体" w:eastAsia="仿宋_GB2312"/>
          <w:sz w:val="32"/>
          <w:szCs w:val="32"/>
        </w:rPr>
        <w:t>“一窗式”人员配置经费项目支出绩效围绕绩效目标、针对具体支出及其产出绩效进行，评价结果应清晰反映支出和产出绩效之间</w:t>
      </w:r>
      <w:r>
        <w:rPr>
          <w:rFonts w:hint="eastAsia" w:ascii="仿宋" w:hAnsi="仿宋" w:eastAsia="仿宋"/>
          <w:sz w:val="32"/>
          <w:szCs w:val="32"/>
        </w:rPr>
        <w:t>的对应关系；严格执行规定的程序，按照科学可行的要求，采用定量与定性分析相结合的方式；</w:t>
      </w:r>
      <w:r>
        <w:rPr>
          <w:rFonts w:hint="eastAsia" w:ascii="仿宋_GB2312" w:hAnsi="楷体" w:eastAsia="仿宋_GB2312"/>
          <w:sz w:val="32"/>
          <w:szCs w:val="32"/>
        </w:rPr>
        <w:t>符合真实、客观、公正的要求，按照规定公开并接受社会监督；绩效自评结果运用于预算安排和预算执行中，不断提高部门预算管理水平。</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2.绩效评价方法。</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绩效自评结果采取量化评分的形式，量化分值一般为百分制。可分为四个等级：优（得分≧90）；良（90﹥得分≧80）；中（80﹥得分≧60）；差（得分﹤60）；。</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（四）绩效评价实施过程</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1.数据填报和采集。</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依据区委、区政府方针政策及部门预算管理制度、项目及财务管理办法，按照部门职能职责、中长期发展规划及年度工作计划设立此项目。</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2.社会调查。</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部门申请预算时提出的绩效目标及其他相关材料。</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3.数据分析和撰写报告。</w:t>
      </w:r>
    </w:p>
    <w:p>
      <w:pPr>
        <w:topLinePunct/>
        <w:spacing w:line="440" w:lineRule="exact"/>
        <w:ind w:firstLine="800" w:firstLineChars="250"/>
        <w:rPr>
          <w:rFonts w:ascii="仿宋_GB2312" w:hAnsi="楷体" w:eastAsia="仿宋_GB2312"/>
          <w:sz w:val="32"/>
          <w:szCs w:val="32"/>
        </w:rPr>
      </w:pPr>
      <w:r>
        <w:rPr>
          <w:rFonts w:hint="eastAsia" w:ascii="仿宋_GB2312" w:eastAsia="仿宋_GB2312"/>
          <w:sz w:val="32"/>
          <w:szCs w:val="32"/>
        </w:rPr>
        <w:t>预算批复，年度预算执行情况，年度决算报告。</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（五）本次绩效评价的局限性。</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无</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三、评价结论和绩效分析</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（一）评价结论。</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1.评价结果。</w:t>
      </w:r>
      <w:r>
        <w:rPr>
          <w:rFonts w:ascii="仿宋_GB2312" w:hAnsi="仿宋" w:eastAsia="仿宋_GB2312"/>
          <w:sz w:val="32"/>
          <w:szCs w:val="32"/>
        </w:rPr>
        <w:br w:type="textWrapping"/>
      </w:r>
      <w:r>
        <w:rPr>
          <w:rFonts w:hint="eastAsia" w:ascii="仿宋_GB2312" w:hAnsi="楷体" w:eastAsia="仿宋_GB2312"/>
          <w:sz w:val="32"/>
          <w:szCs w:val="32"/>
        </w:rPr>
        <w:t>盘龙区政务服务管理局2021年“一窗式”人员配置经费项目支出绩效自评分96.00分，自评结果为优秀，达到了预期的绩效目标，切实做到了用实、用好财政资金。</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2.主要绩效。</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通过项目实施，完成窗口人员基础保障工作，确保局机关及大厅各项工作平稳正常运行，提高政务服务大厅窗口服务专业化水平。优化政务服务大厅人员构成，按厉行节约原则及相关管理制度合法、合规、完整，得到有效执行，提高资金使用效率。</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（二）具体绩效分析。</w:t>
      </w:r>
    </w:p>
    <w:p>
      <w:pPr>
        <w:topLinePunct/>
        <w:spacing w:line="440" w:lineRule="exact"/>
        <w:ind w:firstLine="800" w:firstLineChars="250"/>
        <w:rPr>
          <w:rFonts w:ascii="仿宋" w:hAnsi="仿宋" w:eastAsia="仿宋"/>
          <w:sz w:val="32"/>
          <w:szCs w:val="32"/>
        </w:rPr>
      </w:pPr>
      <w:r>
        <w:rPr>
          <w:rFonts w:hint="eastAsia" w:ascii="仿宋" w:hAnsi="仿宋" w:eastAsia="仿宋"/>
          <w:sz w:val="32"/>
          <w:szCs w:val="32"/>
        </w:rPr>
        <w:t>对照绩效评价指标体系逐项进行分析、评价并打分。确定2021年“一窗式”人员配置经费项目支出绩效自评结果为优，作为下一年度预算项目经费的依据，继续使用。</w:t>
      </w:r>
      <w:r>
        <w:rPr>
          <w:rFonts w:ascii="仿宋" w:hAnsi="仿宋" w:eastAsia="仿宋"/>
          <w:sz w:val="32"/>
          <w:szCs w:val="32"/>
        </w:rPr>
        <w:t xml:space="preserve"> </w:t>
      </w:r>
    </w:p>
    <w:p>
      <w:pPr>
        <w:spacing w:line="440" w:lineRule="exact"/>
        <w:ind w:firstLine="640" w:firstLineChars="200"/>
        <w:rPr>
          <w:rFonts w:ascii="黑体" w:hAnsi="黑体" w:eastAsia="黑体"/>
          <w:sz w:val="32"/>
          <w:szCs w:val="32"/>
        </w:rPr>
      </w:pPr>
      <w:r>
        <w:rPr>
          <w:rFonts w:hint="eastAsia" w:ascii="黑体" w:hAnsi="黑体" w:eastAsia="黑体"/>
          <w:sz w:val="32"/>
          <w:szCs w:val="32"/>
        </w:rPr>
        <w:t>四、成本效益分析。</w:t>
      </w:r>
    </w:p>
    <w:p>
      <w:pPr>
        <w:spacing w:line="440" w:lineRule="exact"/>
        <w:ind w:firstLine="640" w:firstLineChars="200"/>
        <w:rPr>
          <w:rFonts w:ascii="仿宋_GB2312" w:hAnsi="黑体" w:eastAsia="仿宋_GB2312"/>
          <w:sz w:val="32"/>
          <w:szCs w:val="32"/>
        </w:rPr>
      </w:pPr>
      <w:r>
        <w:rPr>
          <w:rFonts w:hint="eastAsia" w:ascii="仿宋_GB2312" w:hAnsi="仿宋" w:eastAsia="仿宋_GB2312"/>
          <w:sz w:val="32"/>
          <w:szCs w:val="32"/>
        </w:rPr>
        <w:t>通过对2021年“一窗式”人员配置经费项目的支出与效益进行对比分析，资金使用方向、资金收入和支出结构、项目和资金管理情况、资金的节约性及资金使用效果分析。确定此项目评价绩效目标实现程度以及下年年度预算变化趋势。</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五、主要经验及做法、存在的问题和建议</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（一）主要经验及做法</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强化领导，建立健全绩效自评组织体系。结合实际，确定自评范围及考评指标，在充分发挥历年开展目标考核经验的基础上结合实际，研究确定年度绩效考核范围和考评指标。</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（二）存在的问题</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通过对2021年“一窗式”人员配置经费项目支出绩效跟踪情况，达成预期的绩效目标。但还存在项目支出预算下达的任务与实际完成存在差距，执行率不高、支出进度延迟情况，项目绩效指标体系还不够细化等问题。</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（三）建议和改进措施</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措施到位，扎实推进绩效自评工作。落实责任，明确目标，强化工作结果。细化各业务科室考评指标，让各科室更明确自己的工作任务。制定指标做到全面、合理、公正，坚持定性与定量相结合，以定量为主，80%以上的指标进行量化。在绩效目标管理上存在的问题，做到及时整改。不断完善管理，提高预算支出绩效。</w:t>
      </w:r>
    </w:p>
    <w:p>
      <w:pPr>
        <w:rPr>
          <w:sz w:val="32"/>
          <w:szCs w:val="32"/>
        </w:rPr>
      </w:pPr>
    </w:p>
    <w:p>
      <w:pPr>
        <w:rPr>
          <w:sz w:val="32"/>
          <w:szCs w:val="32"/>
        </w:rPr>
      </w:pPr>
    </w:p>
    <w:p>
      <w:pPr>
        <w:rPr>
          <w:sz w:val="32"/>
          <w:szCs w:val="32"/>
        </w:rPr>
      </w:pPr>
    </w:p>
    <w:p>
      <w:pPr>
        <w:rPr>
          <w:sz w:val="32"/>
          <w:szCs w:val="32"/>
        </w:rPr>
      </w:pPr>
    </w:p>
    <w:p>
      <w:pPr>
        <w:topLinePunct/>
        <w:spacing w:line="520" w:lineRule="exact"/>
        <w:ind w:firstLine="800" w:firstLineChars="250"/>
        <w:jc w:val="right"/>
        <w:rPr>
          <w:rFonts w:ascii="仿宋" w:hAnsi="仿宋" w:eastAsia="仿宋"/>
          <w:sz w:val="32"/>
          <w:szCs w:val="32"/>
        </w:rPr>
      </w:pPr>
      <w:r>
        <w:rPr>
          <w:rFonts w:hint="eastAsia" w:ascii="仿宋" w:hAnsi="仿宋" w:eastAsia="仿宋"/>
          <w:sz w:val="32"/>
          <w:szCs w:val="32"/>
        </w:rPr>
        <w:t>昆明市盘龙区政务服务管理局</w:t>
      </w:r>
    </w:p>
    <w:p>
      <w:pPr>
        <w:topLinePunct/>
        <w:spacing w:line="520" w:lineRule="exact"/>
        <w:ind w:right="640" w:firstLine="800" w:firstLineChars="250"/>
        <w:jc w:val="right"/>
        <w:rPr>
          <w:rFonts w:ascii="仿宋" w:hAnsi="仿宋" w:eastAsia="仿宋" w:cs="宋体"/>
          <w:kern w:val="0"/>
          <w:sz w:val="32"/>
          <w:szCs w:val="32"/>
        </w:rPr>
      </w:pPr>
      <w:r>
        <w:rPr>
          <w:rFonts w:hint="eastAsia" w:ascii="仿宋" w:hAnsi="仿宋" w:eastAsia="仿宋"/>
          <w:sz w:val="32"/>
          <w:szCs w:val="32"/>
        </w:rPr>
        <w:t>2022年4月25日</w:t>
      </w:r>
    </w:p>
    <w:p>
      <w:pPr>
        <w:rPr>
          <w:sz w:val="32"/>
          <w:szCs w:val="32"/>
        </w:rPr>
      </w:pPr>
    </w:p>
    <w:p>
      <w:pPr>
        <w:rPr>
          <w:sz w:val="32"/>
          <w:szCs w:val="32"/>
        </w:rPr>
      </w:pPr>
    </w:p>
    <w:p>
      <w:pPr>
        <w:rPr>
          <w:sz w:val="32"/>
          <w:szCs w:val="32"/>
        </w:rPr>
      </w:pPr>
    </w:p>
    <w:p>
      <w:pPr>
        <w:widowControl/>
        <w:jc w:val="center"/>
        <w:rPr>
          <w:rFonts w:ascii="方正小标宋_GBK" w:eastAsia="方正小标宋_GBK"/>
          <w:sz w:val="28"/>
          <w:szCs w:val="28"/>
        </w:rPr>
      </w:pPr>
      <w:r>
        <w:rPr>
          <w:rFonts w:hint="eastAsia" w:ascii="方正小标宋_GBK" w:eastAsia="方正小标宋_GBK"/>
          <w:sz w:val="28"/>
          <w:szCs w:val="28"/>
        </w:rPr>
        <w:t>附件2：项目支出绩效评价共性指标体系框架</w:t>
      </w:r>
    </w:p>
    <w:tbl>
      <w:tblPr>
        <w:tblStyle w:val="6"/>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971"/>
        <w:gridCol w:w="1143"/>
        <w:gridCol w:w="1091"/>
        <w:gridCol w:w="593"/>
        <w:gridCol w:w="709"/>
        <w:gridCol w:w="1866"/>
        <w:gridCol w:w="1975"/>
        <w:gridCol w:w="121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5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18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C.“一窗式”人员配置经费项目绩效（60%）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C1.项目产出（30%）（说明：该指标主要反映部门（单位）项目工作任务的完成情况。三、四级指标以各部门（单位）在绩效自评工作中要结合项目特征设置个性化的三、四级指标。）</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C11.“一窗式”人员配置经费</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C111.配置数量指标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包括人员工资、社会保险费和绩效考核奖4项，共计127人。</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全部招满，得满分；每降低1%，扣权重的3%，扣完为止。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年初预算项目标申报表、立项申请、批复文件、区政府相关规划、决策、批复</w:t>
            </w:r>
          </w:p>
        </w:tc>
      </w:tr>
      <w:tr>
        <w:tblPrEx>
          <w:tblLayout w:type="fixed"/>
          <w:tblCellMar>
            <w:top w:w="0" w:type="dxa"/>
            <w:left w:w="108" w:type="dxa"/>
            <w:bottom w:w="0" w:type="dxa"/>
            <w:right w:w="108" w:type="dxa"/>
          </w:tblCellMar>
        </w:tblPrEx>
        <w:trPr>
          <w:trHeight w:val="825"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C112.配置人员质量指标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5</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通过招用劳务派遣人员，进入窗口服务群众，完善“一窗式”综合服务功能，提高政务服务水平。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保障政务大厅正常运转，得满分；存在一次未及时处理的，扣权重的10%，扣完为止。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每季度考核台账</w:t>
            </w:r>
          </w:p>
        </w:tc>
      </w:tr>
      <w:tr>
        <w:tblPrEx>
          <w:tblLayout w:type="fixed"/>
          <w:tblCellMar>
            <w:top w:w="0" w:type="dxa"/>
            <w:left w:w="108" w:type="dxa"/>
            <w:bottom w:w="0" w:type="dxa"/>
            <w:right w:w="108" w:type="dxa"/>
          </w:tblCellMar>
        </w:tblPrEx>
        <w:trPr>
          <w:trHeight w:val="840"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C113.配置人员时效指标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“一窗式”人员配置经费是否按月支付工资及社保费，按季度支付绩效考核奖。</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全部合格，得满分；存在一次超标，扣权重的10%，扣完为止。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每月工资发放情况及季度考核台账</w:t>
            </w:r>
          </w:p>
        </w:tc>
      </w:tr>
      <w:tr>
        <w:tblPrEx>
          <w:tblLayout w:type="fixed"/>
          <w:tblCellMar>
            <w:top w:w="0" w:type="dxa"/>
            <w:left w:w="108" w:type="dxa"/>
            <w:bottom w:w="0" w:type="dxa"/>
            <w:right w:w="108" w:type="dxa"/>
          </w:tblCellMar>
        </w:tblPrEx>
        <w:trPr>
          <w:trHeight w:val="705"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C114.配置人员成本指标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“一窗式”人员配置经费是否按相关预算标准支出。</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全部合格，得满分；存在超标，扣权重的1%，扣完为止。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年底决算支出数</w:t>
            </w:r>
          </w:p>
        </w:tc>
      </w:tr>
      <w:tr>
        <w:tblPrEx>
          <w:tblLayout w:type="fixed"/>
          <w:tblCellMar>
            <w:top w:w="0" w:type="dxa"/>
            <w:left w:w="108" w:type="dxa"/>
            <w:bottom w:w="0" w:type="dxa"/>
            <w:right w:w="108" w:type="dxa"/>
          </w:tblCellMar>
        </w:tblPrEx>
        <w:trPr>
          <w:trHeight w:val="2715"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20%）（说明：该指标主要反映部门（单位）项目的实施效果。三、四级指标以XX年度污泥厂经费支出绩效评价为例设置，供各部门（单位）参考。各部门（单位）在绩效自评工作中要结合项目特征设置个性化的三、四级指标。）</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C211.服务企业及群众</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提升打造一流的政务服务大厅，提升政务服务环境，为办事企业和群众</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及时提供企业及群众需求，得满分；存在一次不能满足的情况，扣权重的30%，扣完为止。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考核情况及投诉满意率台账</w:t>
            </w:r>
          </w:p>
        </w:tc>
      </w:tr>
      <w:tr>
        <w:tblPrEx>
          <w:tblLayout w:type="fixed"/>
          <w:tblCellMar>
            <w:top w:w="0" w:type="dxa"/>
            <w:left w:w="108" w:type="dxa"/>
            <w:bottom w:w="0" w:type="dxa"/>
            <w:right w:w="108" w:type="dxa"/>
          </w:tblCellMar>
        </w:tblPrEx>
        <w:trPr>
          <w:trHeight w:val="2325"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C221.服务企业及群众，解决企业及群众需求</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8</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是否达到预期打造一流的政务服务大厅，提升政务服务环境，为办事企业和群众服务效果。</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高于80%，得满分；</w:t>
            </w:r>
            <w:r>
              <w:rPr>
                <w:rFonts w:ascii="宋体" w:hAnsi="宋体" w:cs="宋体"/>
                <w:color w:val="000000"/>
                <w:kern w:val="0"/>
                <w:sz w:val="18"/>
                <w:szCs w:val="18"/>
              </w:rPr>
              <w:t xml:space="preserve"> </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评价记录本测评情况及投诉率</w:t>
            </w:r>
          </w:p>
        </w:tc>
      </w:tr>
      <w:tr>
        <w:tblPrEx>
          <w:tblLayout w:type="fixed"/>
          <w:tblCellMar>
            <w:top w:w="0" w:type="dxa"/>
            <w:left w:w="108" w:type="dxa"/>
            <w:bottom w:w="0" w:type="dxa"/>
            <w:right w:w="108" w:type="dxa"/>
          </w:tblCellMar>
        </w:tblPrEx>
        <w:trPr>
          <w:trHeight w:val="540" w:hRule="atLeast"/>
        </w:trPr>
        <w:tc>
          <w:tcPr>
            <w:tcW w:w="846"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C3.项目满意度（10%）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w:t>
            </w:r>
            <w:r>
              <w:rPr>
                <w:rFonts w:hint="eastAsia" w:ascii="宋体" w:hAnsi="宋体" w:cs="宋体"/>
                <w:color w:val="000000"/>
                <w:kern w:val="0"/>
                <w:sz w:val="18"/>
                <w:szCs w:val="18"/>
              </w:rPr>
              <w:t>1.服务对象的满意度</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C31</w:t>
            </w:r>
            <w:r>
              <w:rPr>
                <w:rFonts w:hint="eastAsia" w:ascii="宋体" w:hAnsi="宋体" w:cs="宋体"/>
                <w:color w:val="000000"/>
                <w:kern w:val="0"/>
                <w:sz w:val="18"/>
                <w:szCs w:val="18"/>
              </w:rPr>
              <w:t>1.群众满意度</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评价记录本测评群众满意程度</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该指标权重10分，根据群众反馈情况评分。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①满意度≥90%得10分；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②90%＞满意度≥80%得8分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③80%＞满意度≥70%得6分；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④70%＞满意度≥60%得3分；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⑤满意度&lt;60%得0分;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评价记录本测评结果</w:t>
            </w: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96分</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81"/>
    <w:rsid w:val="000A294F"/>
    <w:rsid w:val="00187DCD"/>
    <w:rsid w:val="00222D3B"/>
    <w:rsid w:val="002910E8"/>
    <w:rsid w:val="002D695D"/>
    <w:rsid w:val="002F7AEF"/>
    <w:rsid w:val="00356951"/>
    <w:rsid w:val="003A3750"/>
    <w:rsid w:val="003B574E"/>
    <w:rsid w:val="003D1C81"/>
    <w:rsid w:val="0046791A"/>
    <w:rsid w:val="00494DBA"/>
    <w:rsid w:val="004D0A06"/>
    <w:rsid w:val="00516B9A"/>
    <w:rsid w:val="00530C57"/>
    <w:rsid w:val="005E1F38"/>
    <w:rsid w:val="00634E86"/>
    <w:rsid w:val="006435A0"/>
    <w:rsid w:val="006B5D37"/>
    <w:rsid w:val="006C77AA"/>
    <w:rsid w:val="007E533A"/>
    <w:rsid w:val="008571AE"/>
    <w:rsid w:val="00892E9B"/>
    <w:rsid w:val="00893C6A"/>
    <w:rsid w:val="008A4F6F"/>
    <w:rsid w:val="008B28BC"/>
    <w:rsid w:val="00952A3A"/>
    <w:rsid w:val="009A5A75"/>
    <w:rsid w:val="009F6584"/>
    <w:rsid w:val="009F6BA0"/>
    <w:rsid w:val="00A607BB"/>
    <w:rsid w:val="00AC1BCF"/>
    <w:rsid w:val="00BB08B0"/>
    <w:rsid w:val="00C64D2F"/>
    <w:rsid w:val="00CA6A6E"/>
    <w:rsid w:val="00CF68D5"/>
    <w:rsid w:val="00D87242"/>
    <w:rsid w:val="00E53225"/>
    <w:rsid w:val="00EC58B1"/>
    <w:rsid w:val="00F440DD"/>
    <w:rsid w:val="40670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uiPriority w:val="99"/>
    <w:rPr>
      <w:sz w:val="18"/>
      <w:szCs w:val="18"/>
    </w:rPr>
  </w:style>
  <w:style w:type="character" w:customStyle="1" w:styleId="9">
    <w:name w:val="页脚 Char"/>
    <w:basedOn w:val="7"/>
    <w:link w:val="4"/>
    <w:uiPriority w:val="99"/>
    <w:rPr>
      <w:sz w:val="18"/>
      <w:szCs w:val="18"/>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lang w:val="zh-CN" w:eastAsia="zh-CN"/>
    </w:rPr>
  </w:style>
  <w:style w:type="paragraph" w:customStyle="1" w:styleId="11">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2">
    <w:name w:val="标题 1 Char"/>
    <w:basedOn w:val="7"/>
    <w:link w:val="2"/>
    <w:qFormat/>
    <w:uiPriority w:val="9"/>
    <w:rPr>
      <w:rFonts w:ascii="Calibri" w:hAnsi="Calibri" w:eastAsia="宋体" w:cs="Times New Roman"/>
      <w:b/>
      <w:bCs/>
      <w:kern w:val="44"/>
      <w:sz w:val="44"/>
      <w:szCs w:val="44"/>
    </w:rPr>
  </w:style>
  <w:style w:type="character" w:customStyle="1" w:styleId="13">
    <w:name w:val="批注框文本 Char"/>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1199</Words>
  <Characters>6835</Characters>
  <Lines>56</Lines>
  <Paragraphs>16</Paragraphs>
  <TotalTime>23</TotalTime>
  <ScaleCrop>false</ScaleCrop>
  <LinksUpToDate>false</LinksUpToDate>
  <CharactersWithSpaces>8018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2022-04-25T00:59:00Z</dcterms:created>
  <dc:creator>jsp</dc:creator>
  <cp:lastModifiedBy>张芸芸</cp:lastModifiedBy>
  <cp:lastPrinted>2022-04-28T02:18:00Z</cp:lastPrinted>
  <dcterms:modified xsi:type="dcterms:W3CDTF">2022-04-29T08:06:40Z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