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p>
    <w:p>
      <w:pPr>
        <w:spacing w:before="120" w:after="120" w:line="480" w:lineRule="auto"/>
        <w:jc w:val="center"/>
        <w:rPr>
          <w:rFonts w:ascii="Times New Roman" w:hAnsi="Times New Roman" w:eastAsia="黑体" w:cs="Times New Roman"/>
          <w:b/>
          <w:bCs/>
          <w:sz w:val="52"/>
          <w:szCs w:val="52"/>
        </w:rPr>
      </w:pP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机关后勤服务综合管理费</w:t>
      </w: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项目支出绩效自评报告</w:t>
      </w:r>
    </w:p>
    <w:p>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（2021年度）</w:t>
      </w:r>
    </w:p>
    <w:p>
      <w:pPr>
        <w:spacing w:before="120" w:after="120" w:line="480" w:lineRule="auto"/>
        <w:jc w:val="center"/>
        <w:rPr>
          <w:rFonts w:ascii="Times New Roman" w:hAnsi="Times New Roman" w:eastAsia="黑体" w:cs="Times New Roman"/>
          <w:sz w:val="52"/>
          <w:szCs w:val="52"/>
        </w:rPr>
      </w:pPr>
    </w:p>
    <w:p>
      <w:pPr>
        <w:spacing w:before="120" w:after="120" w:line="480" w:lineRule="auto"/>
        <w:jc w:val="center"/>
        <w:rPr>
          <w:rFonts w:ascii="Times New Roman" w:hAnsi="Times New Roman" w:eastAsia="宋体" w:cs="Times New Roman"/>
          <w:sz w:val="44"/>
          <w:szCs w:val="44"/>
        </w:rPr>
      </w:pPr>
    </w:p>
    <w:p>
      <w:pPr>
        <w:spacing w:before="120" w:after="120" w:line="480" w:lineRule="auto"/>
        <w:jc w:val="center"/>
        <w:rPr>
          <w:rFonts w:ascii="Times New Roman" w:hAnsi="Times New Roman" w:eastAsia="宋体" w:cs="Times New Roman"/>
          <w:sz w:val="44"/>
          <w:szCs w:val="44"/>
        </w:rPr>
      </w:pPr>
    </w:p>
    <w:p>
      <w:pPr>
        <w:spacing w:before="120" w:after="120" w:line="480" w:lineRule="auto"/>
        <w:jc w:val="center"/>
        <w:rPr>
          <w:rFonts w:ascii="Times New Roman" w:hAnsi="Times New Roman" w:eastAsia="黑体" w:cs="Times New Roman"/>
          <w:sz w:val="44"/>
          <w:szCs w:val="44"/>
        </w:rPr>
      </w:pPr>
    </w:p>
    <w:p>
      <w:pPr>
        <w:adjustRightInd w:val="0"/>
        <w:snapToGrid w:val="0"/>
        <w:spacing w:line="360" w:lineRule="auto"/>
        <w:ind w:left="1260" w:leftChars="600"/>
        <w:rPr>
          <w:rFonts w:ascii="Times New Roman" w:hAnsi="Times New Roman" w:eastAsia="黑体" w:cs="黑体"/>
          <w:sz w:val="28"/>
          <w:szCs w:val="28"/>
        </w:rPr>
      </w:pPr>
      <w:r>
        <w:rPr>
          <w:rFonts w:ascii="Times New Roman" w:hAnsi="Times New Roman" w:eastAsia="黑体" w:cs="黑体"/>
          <w:sz w:val="28"/>
          <w:szCs w:val="28"/>
        </w:rPr>
        <w:pict>
          <v:shape id="直接箭头连接符 5" o:spid="_x0000_s1026" o:spt="32" type="#_x0000_t32" style="position:absolute;left:0pt;margin-left:186.75pt;margin-top:15.45pt;height:0pt;width:196.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部门名称（公章）：昆明市盘龙区机关事务管理服务中心</w:t>
      </w:r>
    </w:p>
    <w:p>
      <w:pPr>
        <w:adjustRightInd w:val="0"/>
        <w:snapToGrid w:val="0"/>
        <w:spacing w:line="360" w:lineRule="auto"/>
        <w:ind w:left="1260" w:leftChars="600"/>
        <w:rPr>
          <w:rFonts w:ascii="Times New Roman" w:hAnsi="Times New Roman" w:eastAsia="黑体" w:cs="黑体"/>
          <w:sz w:val="28"/>
          <w:szCs w:val="28"/>
          <w:u w:val="single"/>
        </w:rPr>
      </w:pPr>
      <w:r>
        <w:rPr>
          <w:rFonts w:ascii="Times New Roman" w:hAnsi="Times New Roman" w:eastAsia="黑体" w:cs="黑体"/>
          <w:sz w:val="28"/>
          <w:szCs w:val="28"/>
        </w:rPr>
        <w:pict>
          <v:shape id="直接箭头连接符 4" o:spid="_x0000_s1030" o:spt="32" type="#_x0000_t32" style="position:absolute;left:0pt;margin-left:135pt;margin-top:17.45pt;height:0pt;width:196.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项目单位：昆明市盘龙区机关事务管理服务</w:t>
      </w:r>
      <w:r>
        <w:rPr>
          <w:rFonts w:hint="eastAsia" w:ascii="Times New Roman" w:hAnsi="Times New Roman" w:eastAsia="黑体" w:cs="黑体"/>
          <w:sz w:val="28"/>
          <w:szCs w:val="28"/>
          <w:u w:val="single"/>
        </w:rPr>
        <w:t>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3" o:spid="_x0000_s1029" o:spt="32" type="#_x0000_t32" style="position:absolute;left:0pt;margin-left:135pt;margin-top:14.25pt;height:0pt;width:196.5pt;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VFPwIAAEcEAAAOAAAAZHJzL2Uyb0RvYy54bWysU82O0zAQviPxDpbvbZo2Xdq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ncrFRT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主管部门：昆明市盘龙区机关事务管理服务中心</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2" o:spid="_x0000_s1028" o:spt="32" type="#_x0000_t32" style="position:absolute;left:0pt;margin-left:135pt;margin-top:14.25pt;height:0pt;width:196.5pt;z-index:251662336;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">
            <v:path arrowok="t"/>
            <v:fill on="f" focussize="0,0"/>
            <v:stroke/>
            <v:imagedata o:title=""/>
            <o:lock v:ext="edit"/>
          </v:shape>
        </w:pict>
      </w:r>
      <w:r>
        <w:rPr>
          <w:rFonts w:hint="eastAsia" w:ascii="Times New Roman" w:hAnsi="Times New Roman" w:eastAsia="黑体" w:cs="黑体"/>
          <w:sz w:val="28"/>
          <w:szCs w:val="28"/>
        </w:rPr>
        <w:t>项目名称：</w:t>
      </w:r>
      <w:r>
        <w:rPr>
          <w:rFonts w:hint="eastAsia" w:ascii="Times New Roman" w:hAnsi="Times New Roman" w:eastAsia="黑体" w:cs="Times New Roman"/>
          <w:sz w:val="28"/>
          <w:szCs w:val="28"/>
        </w:rPr>
        <w:t>机关后勤服务综合管理费</w:t>
      </w:r>
    </w:p>
    <w:p>
      <w:pPr>
        <w:adjustRightInd w:val="0"/>
        <w:snapToGrid w:val="0"/>
        <w:spacing w:line="360" w:lineRule="auto"/>
        <w:ind w:left="1260" w:leftChars="600"/>
        <w:rPr>
          <w:rFonts w:ascii="Times New Roman" w:hAnsi="Times New Roman" w:eastAsia="黑体" w:cs="Times New Roman"/>
          <w:sz w:val="28"/>
          <w:szCs w:val="28"/>
        </w:rPr>
      </w:pPr>
      <w:r>
        <w:rPr>
          <w:rFonts w:ascii="Times New Roman" w:hAnsi="Times New Roman" w:eastAsia="黑体" w:cs="黑体"/>
          <w:sz w:val="28"/>
          <w:szCs w:val="28"/>
        </w:rPr>
        <w:pict>
          <v:shape id="直接箭头连接符 1" o:spid="_x0000_s1027" o:spt="32" type="#_x0000_t32" style="position:absolute;left:0pt;margin-left:135pt;margin-top:14.25pt;height:0pt;width:196.5pt;z-index:251663360;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gBxFRj8CAABHBAAADgAA&#10;AAAAAAAAAAAAAAAuAgAAZHJzL2Uyb0RvYy54bWxQSwECLQAUAAYACAAAACEAlY8R090AAAAJAQAA&#10;DwAAAAAAAAAAAAAAAACZBAAAZHJzL2Rvd25yZXYueG1sUEsFBgAAAAAEAAQA8wAAAKMFAAAAAA==&#10;">
            <v:path arrowok="t"/>
            <v:fill on="f" focussize="0,0"/>
            <v:stroke/>
            <v:imagedata o:title=""/>
            <o:lock v:ext="edit"/>
          </v:shape>
        </w:pict>
      </w:r>
      <w:r>
        <w:rPr>
          <w:rFonts w:hint="eastAsia" w:ascii="Times New Roman" w:hAnsi="Times New Roman" w:eastAsia="黑体" w:cs="黑体"/>
          <w:sz w:val="28"/>
          <w:szCs w:val="28"/>
        </w:rPr>
        <w:t>绩效自评日期：</w:t>
      </w:r>
      <w:r>
        <w:rPr>
          <w:rFonts w:hint="eastAsia" w:ascii="Times New Roman" w:hAnsi="Times New Roman" w:eastAsia="黑体" w:cs="Times New Roman"/>
          <w:sz w:val="28"/>
          <w:szCs w:val="28"/>
        </w:rPr>
        <w:t>2022年4月25日</w:t>
      </w: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headerReference r:id="rId3" w:type="default"/>
          <w:pgSz w:w="11906" w:h="16838"/>
          <w:pgMar w:top="1440" w:right="1800" w:bottom="1440" w:left="1800" w:header="851" w:footer="992" w:gutter="0"/>
          <w:cols w:space="425" w:num="1"/>
          <w:docGrid w:type="lines" w:linePitch="312" w:charSpace="0"/>
        </w:sectPr>
      </w:pPr>
      <w:r>
        <w:rPr>
          <w:rFonts w:ascii="仿宋" w:hAnsi="仿宋" w:eastAsia="仿宋"/>
          <w:b/>
          <w:bCs/>
          <w:sz w:val="32"/>
          <w:szCs w:val="32"/>
        </w:rPr>
        <w:t>20</w:t>
      </w:r>
      <w:r>
        <w:rPr>
          <w:rFonts w:hint="eastAsia" w:ascii="仿宋" w:hAnsi="仿宋" w:eastAsia="仿宋"/>
          <w:b/>
          <w:bCs/>
          <w:sz w:val="32"/>
          <w:szCs w:val="32"/>
        </w:rPr>
        <w:t>22</w:t>
      </w:r>
      <w:r>
        <w:rPr>
          <w:rFonts w:hint="eastAsia" w:ascii="仿宋" w:hAnsi="仿宋" w:eastAsia="仿宋" w:cs="黑体"/>
          <w:b/>
          <w:bCs/>
          <w:sz w:val="32"/>
          <w:szCs w:val="32"/>
        </w:rPr>
        <w:t>年4</w:t>
      </w:r>
    </w:p>
    <w:p>
      <w:pPr>
        <w:spacing w:line="360" w:lineRule="auto"/>
        <w:rPr>
          <w:rFonts w:hint="eastAsia" w:ascii="Times New Roman" w:hAnsi="Times New Roman" w:eastAsia="黑体" w:cs="黑体"/>
          <w:color w:val="000000"/>
          <w:sz w:val="24"/>
          <w:szCs w:val="24"/>
          <w:u w:color="000000"/>
          <w:lang w:val="zh-TW" w:eastAsia="zh-TW"/>
        </w:rPr>
      </w:pPr>
    </w:p>
    <w:p>
      <w:pPr>
        <w:spacing w:line="360" w:lineRule="auto"/>
        <w:rPr>
          <w:rFonts w:hint="eastAsia" w:ascii="Times New Roman" w:hAnsi="Times New Roman" w:eastAsia="黑体" w:cs="黑体"/>
          <w:color w:val="000000"/>
          <w:sz w:val="24"/>
          <w:szCs w:val="24"/>
          <w:u w:color="000000"/>
          <w:lang w:val="zh-TW" w:eastAsia="zh-TW"/>
        </w:rPr>
      </w:pPr>
    </w:p>
    <w:p>
      <w:pPr>
        <w:spacing w:line="360" w:lineRule="auto"/>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1"/>
        <w:tblpPr w:leftFromText="180" w:rightFromText="180" w:vertAnchor="text" w:horzAnchor="margin" w:tblpX="109" w:tblpY="72"/>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620"/>
        <w:gridCol w:w="1753"/>
        <w:gridCol w:w="1488"/>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922"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1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组长</w:t>
            </w:r>
          </w:p>
        </w:tc>
        <w:tc>
          <w:tcPr>
            <w:tcW w:w="1620"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机关事务管理服务中心</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pPr>
              <w:tabs>
                <w:tab w:val="center" w:pos="762"/>
                <w:tab w:val="right" w:pos="1404"/>
              </w:tabs>
              <w:spacing w:line="360" w:lineRule="auto"/>
              <w:jc w:val="left"/>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ab/>
            </w:r>
            <w:r>
              <w:rPr>
                <w:rFonts w:hint="eastAsia" w:ascii="仿宋_GB2312" w:hAnsi="Times New Roman" w:eastAsia="仿宋_GB2312" w:cs="黑体"/>
                <w:color w:val="000000"/>
                <w:sz w:val="24"/>
                <w:szCs w:val="24"/>
                <w:u w:color="000000"/>
                <w:lang w:val="zh-TW"/>
              </w:rPr>
              <w:t>闫鑫</w:t>
            </w:r>
          </w:p>
        </w:tc>
        <w:tc>
          <w:tcPr>
            <w:tcW w:w="1753"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1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488"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1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杜云新</w:t>
            </w:r>
          </w:p>
        </w:tc>
        <w:tc>
          <w:tcPr>
            <w:tcW w:w="1753" w:type="dxa"/>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保卫科</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512" w:type="dxa"/>
            <w:vAlign w:val="center"/>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pPr>
              <w:spacing w:line="360" w:lineRule="auto"/>
              <w:jc w:val="center"/>
              <w:rPr>
                <w:rFonts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刘荣地</w:t>
            </w:r>
          </w:p>
        </w:tc>
        <w:tc>
          <w:tcPr>
            <w:tcW w:w="1753" w:type="dxa"/>
          </w:tcPr>
          <w:p>
            <w:pPr>
              <w:spacing w:line="360" w:lineRule="auto"/>
              <w:jc w:val="center"/>
              <w:rPr>
                <w:rFonts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主任</w:t>
            </w:r>
          </w:p>
        </w:tc>
        <w:tc>
          <w:tcPr>
            <w:tcW w:w="1488" w:type="dxa"/>
          </w:tcPr>
          <w:p>
            <w:pPr>
              <w:spacing w:line="360" w:lineRule="auto"/>
              <w:jc w:val="center"/>
              <w:rPr>
                <w:rFonts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会务中心</w:t>
            </w:r>
          </w:p>
        </w:tc>
        <w:tc>
          <w:tcPr>
            <w:tcW w:w="1922"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29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295"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widowControl/>
        <w:shd w:val="clear" w:color="auto" w:fill="FFFFFF"/>
        <w:jc w:val="center"/>
        <w:rPr>
          <w:rFonts w:ascii="宋体" w:hAnsi="宋体" w:eastAsia="宋体" w:cs="宋体"/>
          <w:color w:val="333333"/>
          <w:kern w:val="0"/>
          <w:szCs w:val="21"/>
        </w:rPr>
      </w:pPr>
    </w:p>
    <w:p>
      <w:pPr>
        <w:widowControl/>
        <w:shd w:val="clear" w:color="auto" w:fill="FFFFFF"/>
        <w:jc w:val="center"/>
        <w:rPr>
          <w:rFonts w:ascii="宋体" w:hAnsi="宋体" w:eastAsia="宋体" w:cs="宋体"/>
          <w:color w:val="333333"/>
          <w:kern w:val="0"/>
          <w:szCs w:val="21"/>
        </w:rPr>
      </w:pPr>
    </w:p>
    <w:p>
      <w:pPr>
        <w:widowControl/>
        <w:shd w:val="clear" w:color="auto" w:fill="FFFFFF"/>
        <w:jc w:val="center"/>
        <w:rPr>
          <w:rFonts w:ascii="宋体" w:hAnsi="宋体" w:eastAsia="宋体" w:cs="宋体"/>
          <w:color w:val="333333"/>
          <w:kern w:val="0"/>
          <w:szCs w:val="21"/>
        </w:rPr>
      </w:pPr>
    </w:p>
    <w:p>
      <w:pPr>
        <w:widowControl/>
        <w:shd w:val="clear" w:color="auto" w:fill="FFFFFF"/>
        <w:jc w:val="center"/>
        <w:rPr>
          <w:rFonts w:ascii="宋体" w:hAnsi="宋体" w:eastAsia="宋体" w:cs="宋体"/>
          <w:color w:val="333333"/>
          <w:kern w:val="0"/>
          <w:szCs w:val="21"/>
        </w:rPr>
      </w:pPr>
    </w:p>
    <w:p>
      <w:pPr>
        <w:widowControl/>
        <w:shd w:val="clear" w:color="auto" w:fill="FFFFFF"/>
        <w:jc w:val="both"/>
        <w:rPr>
          <w:rFonts w:ascii="宋体" w:hAnsi="宋体" w:eastAsia="宋体" w:cs="宋体"/>
          <w:color w:val="333333"/>
          <w:kern w:val="0"/>
          <w:szCs w:val="21"/>
        </w:rPr>
        <w:sectPr>
          <w:footerReference r:id="rId4" w:type="default"/>
          <w:pgSz w:w="11906" w:h="16838"/>
          <w:pgMar w:top="1440" w:right="1800" w:bottom="1440" w:left="1800" w:header="851" w:footer="992" w:gutter="0"/>
          <w:cols w:space="425" w:num="1"/>
          <w:docGrid w:type="lines" w:linePitch="312" w:charSpace="0"/>
        </w:sectPr>
      </w:pPr>
    </w:p>
    <w:p>
      <w:pPr>
        <w:pStyle w:val="8"/>
        <w:spacing w:line="400" w:lineRule="exact"/>
        <w:jc w:val="center"/>
        <w:rPr>
          <w:rStyle w:val="14"/>
          <w:rFonts w:ascii="黑体" w:hAnsi="黑体" w:cs="黑体"/>
          <w:color w:val="auto"/>
          <w:sz w:val="44"/>
          <w:szCs w:val="44"/>
          <w:u w:val="none"/>
        </w:rPr>
      </w:pPr>
      <w:r>
        <w:rPr>
          <w:rStyle w:val="14"/>
          <w:rFonts w:hint="eastAsia" w:ascii="黑体" w:hAnsi="黑体" w:cs="黑体"/>
          <w:color w:val="auto"/>
          <w:sz w:val="44"/>
          <w:szCs w:val="44"/>
          <w:u w:val="none"/>
        </w:rPr>
        <w:t>目录</w:t>
      </w:r>
    </w:p>
    <w:p>
      <w:pPr>
        <w:spacing w:line="400" w:lineRule="exact"/>
        <w:rPr>
          <w:rFonts w:ascii="黑体" w:hAnsi="黑体" w:eastAsia="黑体" w:cs="黑体"/>
          <w:sz w:val="28"/>
          <w:szCs w:val="28"/>
        </w:rPr>
      </w:pPr>
    </w:p>
    <w:p>
      <w:pPr>
        <w:pStyle w:val="8"/>
        <w:spacing w:line="400" w:lineRule="exact"/>
        <w:rPr>
          <w:rStyle w:val="14"/>
          <w:rFonts w:ascii="黑体" w:hAnsi="黑体" w:cs="黑体"/>
          <w:color w:val="auto"/>
          <w:sz w:val="21"/>
          <w:szCs w:val="21"/>
          <w:u w:val="none"/>
        </w:rPr>
      </w:pPr>
      <w:r>
        <w:rPr>
          <w:rStyle w:val="14"/>
          <w:rFonts w:hint="eastAsia" w:ascii="黑体" w:hAnsi="黑体" w:cs="黑体"/>
          <w:color w:val="auto"/>
          <w:sz w:val="21"/>
          <w:szCs w:val="21"/>
          <w:u w:val="none"/>
        </w:rPr>
        <w:t>摘要</w:t>
      </w:r>
    </w:p>
    <w:p>
      <w:pPr>
        <w:pStyle w:val="8"/>
        <w:tabs>
          <w:tab w:val="right" w:leader="dot" w:pos="8306"/>
          <w:tab w:val="clear" w:pos="8296"/>
        </w:tabs>
        <w:spacing w:line="400" w:lineRule="exact"/>
        <w:rPr>
          <w:rFonts w:ascii="黑体" w:hAnsi="黑体" w:cs="黑体"/>
          <w:sz w:val="24"/>
          <w:szCs w:val="24"/>
        </w:rPr>
      </w:pPr>
      <w:r>
        <w:rPr>
          <w:rStyle w:val="14"/>
          <w:rFonts w:hint="eastAsia"/>
        </w:rPr>
        <w:fldChar w:fldCharType="begin"/>
      </w:r>
      <w:r>
        <w:rPr>
          <w:rStyle w:val="14"/>
          <w:rFonts w:hint="eastAsia" w:ascii="黑体" w:hAnsi="黑体" w:cs="黑体"/>
          <w:sz w:val="24"/>
          <w:szCs w:val="24"/>
        </w:rPr>
        <w:instrText xml:space="preserve">TOC \o "1-2" \h \z \u</w:instrText>
      </w:r>
      <w:r>
        <w:rPr>
          <w:rStyle w:val="14"/>
          <w:rFonts w:hint="eastAsia"/>
        </w:rPr>
        <w:fldChar w:fldCharType="separate"/>
      </w:r>
      <w:r>
        <w:fldChar w:fldCharType="begin"/>
      </w:r>
      <w:r>
        <w:instrText xml:space="preserve"> HYPERLINK \l "_Toc30665" </w:instrText>
      </w:r>
      <w:r>
        <w:fldChar w:fldCharType="separate"/>
      </w:r>
      <w:r>
        <w:rPr>
          <w:rFonts w:hint="eastAsia" w:ascii="黑体" w:hAnsi="黑体" w:cs="黑体"/>
          <w:kern w:val="44"/>
          <w:sz w:val="24"/>
          <w:szCs w:val="24"/>
        </w:rPr>
        <w:t>一、项目概况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_Toc30665 </w:instrText>
      </w:r>
      <w:r>
        <w:rPr>
          <w:rFonts w:hint="eastAsia" w:ascii="黑体" w:hAnsi="黑体" w:cs="黑体"/>
          <w:sz w:val="24"/>
          <w:szCs w:val="24"/>
        </w:rPr>
        <w:fldChar w:fldCharType="separate"/>
      </w:r>
      <w:r>
        <w:rPr>
          <w:rFonts w:hint="eastAsia" w:ascii="黑体" w:hAnsi="黑体" w:cs="黑体"/>
          <w:sz w:val="24"/>
          <w:szCs w:val="24"/>
        </w:rPr>
        <w:t>1</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"_Toc31959" </w:instrText>
      </w:r>
      <w:r>
        <w:fldChar w:fldCharType="separate"/>
      </w:r>
      <w:r>
        <w:rPr>
          <w:rFonts w:hint="eastAsia" w:ascii="黑体" w:hAnsi="黑体" w:eastAsia="黑体" w:cs="黑体"/>
          <w:sz w:val="24"/>
          <w:szCs w:val="24"/>
        </w:rPr>
        <w:t>（一）项目立项背景及目的</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_Toc31959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"_Toc19279" </w:instrText>
      </w:r>
      <w:r>
        <w:fldChar w:fldCharType="separate"/>
      </w:r>
      <w:r>
        <w:rPr>
          <w:rFonts w:hint="eastAsia" w:ascii="黑体" w:hAnsi="黑体" w:eastAsia="黑体" w:cs="黑体"/>
          <w:sz w:val="24"/>
          <w:szCs w:val="24"/>
        </w:rPr>
        <w:t>（二）预算收支情况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_Toc19279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"_Toc29612" </w:instrText>
      </w:r>
      <w:r>
        <w:fldChar w:fldCharType="separate"/>
      </w:r>
      <w:r>
        <w:rPr>
          <w:rFonts w:hint="eastAsia" w:ascii="黑体" w:hAnsi="黑体" w:cs="黑体"/>
          <w:kern w:val="44"/>
          <w:sz w:val="24"/>
          <w:szCs w:val="24"/>
        </w:rPr>
        <w:t>二、评价结论</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_Toc29612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"_Toc31029" </w:instrText>
      </w:r>
      <w:r>
        <w:fldChar w:fldCharType="separate"/>
      </w:r>
      <w:r>
        <w:rPr>
          <w:rFonts w:hint="eastAsia" w:ascii="黑体" w:hAnsi="黑体" w:cs="黑体"/>
          <w:kern w:val="0"/>
          <w:sz w:val="24"/>
          <w:szCs w:val="24"/>
        </w:rPr>
        <w:t>1.评分结果</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_Toc31029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"_Toc32494" </w:instrText>
      </w:r>
      <w:r>
        <w:fldChar w:fldCharType="separate"/>
      </w:r>
      <w:r>
        <w:rPr>
          <w:rFonts w:hint="eastAsia" w:ascii="黑体" w:hAnsi="黑体" w:cs="黑体"/>
          <w:kern w:val="44"/>
          <w:sz w:val="24"/>
          <w:szCs w:val="24"/>
        </w:rPr>
        <w:t>三、经验、问题和建议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_Toc32494 </w:instrText>
      </w:r>
      <w:r>
        <w:rPr>
          <w:rFonts w:hint="eastAsia" w:ascii="黑体" w:hAnsi="黑体" w:cs="黑体"/>
          <w:sz w:val="24"/>
          <w:szCs w:val="24"/>
        </w:rPr>
        <w:fldChar w:fldCharType="separate"/>
      </w:r>
      <w:r>
        <w:rPr>
          <w:rFonts w:hint="eastAsia" w:ascii="黑体" w:hAnsi="黑体" w:cs="黑体"/>
          <w:sz w:val="24"/>
          <w:szCs w:val="24"/>
        </w:rPr>
        <w:t>2</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"_Toc13368"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_Toc13368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"_Toc25769"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_Toc25769 </w:instrText>
      </w:r>
      <w:r>
        <w:rPr>
          <w:rFonts w:hint="eastAsia" w:ascii="黑体" w:hAnsi="黑体" w:eastAsia="黑体" w:cs="黑体"/>
          <w:sz w:val="24"/>
          <w:szCs w:val="24"/>
        </w:rPr>
        <w:fldChar w:fldCharType="separate"/>
      </w:r>
      <w:r>
        <w:rPr>
          <w:rFonts w:hint="eastAsia" w:ascii="黑体" w:hAnsi="黑体" w:eastAsia="黑体" w:cs="黑体"/>
          <w:sz w:val="24"/>
          <w:szCs w:val="24"/>
        </w:rPr>
        <w:t>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"_Toc14165"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_Toc14165 </w:instrText>
      </w:r>
      <w:r>
        <w:rPr>
          <w:rFonts w:hint="eastAsia" w:ascii="黑体" w:hAnsi="黑体" w:eastAsia="黑体" w:cs="黑体"/>
          <w:sz w:val="24"/>
          <w:szCs w:val="24"/>
        </w:rPr>
        <w:fldChar w:fldCharType="separate"/>
      </w:r>
      <w:r>
        <w:rPr>
          <w:rFonts w:hint="eastAsia" w:ascii="黑体" w:hAnsi="黑体" w:eastAsia="黑体" w:cs="黑体"/>
          <w:sz w:val="24"/>
          <w:szCs w:val="24"/>
        </w:rPr>
        <w:t>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spacing w:line="400" w:lineRule="exact"/>
        <w:jc w:val="center"/>
        <w:rPr>
          <w:rFonts w:ascii="黑体" w:hAnsi="黑体" w:eastAsia="黑体" w:cs="黑体"/>
          <w:sz w:val="24"/>
          <w:szCs w:val="24"/>
        </w:rPr>
      </w:pPr>
      <w:r>
        <w:rPr>
          <w:rFonts w:hint="eastAsia" w:ascii="黑体" w:hAnsi="黑体" w:eastAsia="黑体" w:cs="黑体"/>
          <w:sz w:val="24"/>
          <w:szCs w:val="24"/>
        </w:rPr>
        <w:t>正文</w:t>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"_Toc21638" </w:instrText>
      </w:r>
      <w:r>
        <w:fldChar w:fldCharType="separate"/>
      </w:r>
      <w:r>
        <w:rPr>
          <w:rFonts w:hint="eastAsia" w:ascii="黑体" w:hAnsi="黑体" w:cs="黑体"/>
          <w:kern w:val="44"/>
          <w:sz w:val="24"/>
          <w:szCs w:val="24"/>
        </w:rPr>
        <w:t>一、项目基本情况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_Toc21638 </w:instrText>
      </w:r>
      <w:r>
        <w:rPr>
          <w:rFonts w:hint="eastAsia" w:ascii="黑体" w:hAnsi="黑体" w:cs="黑体"/>
          <w:sz w:val="24"/>
          <w:szCs w:val="24"/>
        </w:rPr>
        <w:fldChar w:fldCharType="separate"/>
      </w:r>
      <w:r>
        <w:rPr>
          <w:rFonts w:hint="eastAsia" w:ascii="黑体" w:hAnsi="黑体" w:cs="黑体"/>
          <w:sz w:val="24"/>
          <w:szCs w:val="24"/>
        </w:rPr>
        <w:t>4</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"_Toc14789" </w:instrText>
      </w:r>
      <w:r>
        <w:fldChar w:fldCharType="separate"/>
      </w:r>
      <w:r>
        <w:rPr>
          <w:rFonts w:hint="eastAsia" w:ascii="黑体" w:hAnsi="黑体" w:eastAsia="黑体" w:cs="黑体"/>
          <w:sz w:val="24"/>
          <w:szCs w:val="24"/>
        </w:rPr>
        <w:t>（一）项目概况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_Toc14789 </w:instrText>
      </w:r>
      <w:r>
        <w:rPr>
          <w:rFonts w:hint="eastAsia" w:ascii="黑体" w:hAnsi="黑体" w:eastAsia="黑体" w:cs="黑体"/>
          <w:sz w:val="24"/>
          <w:szCs w:val="24"/>
        </w:rPr>
        <w:fldChar w:fldCharType="separate"/>
      </w:r>
      <w:r>
        <w:rPr>
          <w:rFonts w:hint="eastAsia" w:ascii="黑体" w:hAnsi="黑体" w:eastAsia="黑体" w:cs="黑体"/>
          <w:sz w:val="24"/>
          <w:szCs w:val="24"/>
        </w:rPr>
        <w:t>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"_Toc7744" </w:instrText>
      </w:r>
      <w:r>
        <w:fldChar w:fldCharType="separate"/>
      </w:r>
      <w:r>
        <w:rPr>
          <w:rFonts w:hint="eastAsia" w:ascii="黑体" w:hAnsi="黑体" w:eastAsia="黑体" w:cs="黑体"/>
          <w:sz w:val="24"/>
          <w:szCs w:val="24"/>
        </w:rPr>
        <w:t>（二）项目绩效目标</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_Toc7744 </w:instrText>
      </w:r>
      <w:r>
        <w:rPr>
          <w:rFonts w:hint="eastAsia" w:ascii="黑体" w:hAnsi="黑体" w:eastAsia="黑体" w:cs="黑体"/>
          <w:sz w:val="24"/>
          <w:szCs w:val="24"/>
        </w:rPr>
        <w:fldChar w:fldCharType="separate"/>
      </w:r>
      <w:r>
        <w:rPr>
          <w:rFonts w:hint="eastAsia" w:ascii="黑体" w:hAnsi="黑体" w:eastAsia="黑体" w:cs="黑体"/>
          <w:sz w:val="24"/>
          <w:szCs w:val="24"/>
        </w:rPr>
        <w:t>7</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"_Toc26845" </w:instrText>
      </w:r>
      <w:r>
        <w:fldChar w:fldCharType="separate"/>
      </w:r>
      <w:r>
        <w:rPr>
          <w:rFonts w:hint="eastAsia" w:ascii="黑体" w:hAnsi="黑体" w:cs="黑体"/>
          <w:kern w:val="44"/>
          <w:sz w:val="24"/>
          <w:szCs w:val="24"/>
        </w:rPr>
        <w:t>二、绩效评价工作情况</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_Toc26845 </w:instrText>
      </w:r>
      <w:r>
        <w:rPr>
          <w:rFonts w:hint="eastAsia" w:ascii="黑体" w:hAnsi="黑体" w:cs="黑体"/>
          <w:sz w:val="24"/>
          <w:szCs w:val="24"/>
        </w:rPr>
        <w:fldChar w:fldCharType="separate"/>
      </w:r>
      <w:r>
        <w:rPr>
          <w:rFonts w:hint="eastAsia" w:ascii="黑体" w:hAnsi="黑体" w:cs="黑体"/>
          <w:sz w:val="24"/>
          <w:szCs w:val="24"/>
        </w:rPr>
        <w:t>8</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"_Toc9999" </w:instrText>
      </w:r>
      <w:r>
        <w:fldChar w:fldCharType="separate"/>
      </w:r>
      <w:r>
        <w:rPr>
          <w:rFonts w:hint="eastAsia" w:ascii="黑体" w:hAnsi="黑体" w:eastAsia="黑体" w:cs="黑体"/>
          <w:sz w:val="24"/>
          <w:szCs w:val="24"/>
        </w:rPr>
        <w:t>(一)评价的目的和依据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_Toc9999 </w:instrText>
      </w:r>
      <w:r>
        <w:rPr>
          <w:rFonts w:hint="eastAsia" w:ascii="黑体" w:hAnsi="黑体" w:eastAsia="黑体" w:cs="黑体"/>
          <w:sz w:val="24"/>
          <w:szCs w:val="24"/>
        </w:rPr>
        <w:fldChar w:fldCharType="separate"/>
      </w:r>
      <w:r>
        <w:rPr>
          <w:rFonts w:hint="eastAsia" w:ascii="黑体" w:hAnsi="黑体" w:eastAsia="黑体" w:cs="黑体"/>
          <w:sz w:val="24"/>
          <w:szCs w:val="24"/>
        </w:rPr>
        <w:t>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"_Toc22709" </w:instrText>
      </w:r>
      <w:r>
        <w:fldChar w:fldCharType="separate"/>
      </w:r>
      <w:r>
        <w:rPr>
          <w:rFonts w:hint="eastAsia" w:ascii="黑体" w:hAnsi="黑体" w:eastAsia="黑体" w:cs="黑体"/>
          <w:sz w:val="24"/>
          <w:szCs w:val="24"/>
        </w:rPr>
        <w:t>（二）绩效评价工作方案制定过程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_Toc22709 </w:instrText>
      </w:r>
      <w:r>
        <w:rPr>
          <w:rFonts w:hint="eastAsia" w:ascii="黑体" w:hAnsi="黑体" w:eastAsia="黑体" w:cs="黑体"/>
          <w:sz w:val="24"/>
          <w:szCs w:val="24"/>
        </w:rPr>
        <w:fldChar w:fldCharType="separate"/>
      </w:r>
      <w:r>
        <w:rPr>
          <w:rFonts w:hint="eastAsia" w:ascii="黑体" w:hAnsi="黑体" w:eastAsia="黑体" w:cs="黑体"/>
          <w:sz w:val="24"/>
          <w:szCs w:val="24"/>
        </w:rPr>
        <w:t>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"_Toc23046" </w:instrText>
      </w:r>
      <w:r>
        <w:fldChar w:fldCharType="separate"/>
      </w:r>
      <w:r>
        <w:rPr>
          <w:rFonts w:hint="eastAsia" w:ascii="黑体" w:hAnsi="黑体" w:eastAsia="黑体" w:cs="黑体"/>
          <w:sz w:val="24"/>
          <w:szCs w:val="24"/>
        </w:rPr>
        <w:t>（三）绩效评价原则及评价方法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_Toc23046 </w:instrText>
      </w:r>
      <w:r>
        <w:rPr>
          <w:rFonts w:hint="eastAsia" w:ascii="黑体" w:hAnsi="黑体" w:eastAsia="黑体" w:cs="黑体"/>
          <w:sz w:val="24"/>
          <w:szCs w:val="24"/>
        </w:rPr>
        <w:fldChar w:fldCharType="separate"/>
      </w:r>
      <w:r>
        <w:rPr>
          <w:rFonts w:hint="eastAsia" w:ascii="黑体" w:hAnsi="黑体" w:eastAsia="黑体" w:cs="黑体"/>
          <w:sz w:val="24"/>
          <w:szCs w:val="24"/>
        </w:rPr>
        <w:t>10</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"_Toc17021" </w:instrText>
      </w:r>
      <w:r>
        <w:fldChar w:fldCharType="separate"/>
      </w:r>
      <w:r>
        <w:rPr>
          <w:rFonts w:hint="eastAsia" w:ascii="黑体" w:hAnsi="黑体" w:eastAsia="黑体" w:cs="黑体"/>
          <w:sz w:val="24"/>
          <w:szCs w:val="24"/>
        </w:rPr>
        <w:t>(四) 绩效评价实施过程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_Toc17021 </w:instrText>
      </w:r>
      <w:r>
        <w:rPr>
          <w:rFonts w:hint="eastAsia" w:ascii="黑体" w:hAnsi="黑体" w:eastAsia="黑体" w:cs="黑体"/>
          <w:sz w:val="24"/>
          <w:szCs w:val="24"/>
        </w:rPr>
        <w:fldChar w:fldCharType="separate"/>
      </w:r>
      <w:r>
        <w:rPr>
          <w:rFonts w:hint="eastAsia" w:ascii="黑体" w:hAnsi="黑体" w:eastAsia="黑体" w:cs="黑体"/>
          <w:sz w:val="24"/>
          <w:szCs w:val="24"/>
        </w:rPr>
        <w:t>11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"_Toc30282" </w:instrText>
      </w:r>
      <w:r>
        <w:fldChar w:fldCharType="separate"/>
      </w:r>
      <w:r>
        <w:rPr>
          <w:rFonts w:hint="eastAsia" w:ascii="黑体" w:hAnsi="黑体" w:eastAsia="黑体" w:cs="黑体"/>
          <w:sz w:val="24"/>
          <w:szCs w:val="24"/>
        </w:rPr>
        <w:t>（五）绩效评价的局限性</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_Toc30282 </w:instrText>
      </w:r>
      <w:r>
        <w:rPr>
          <w:rFonts w:hint="eastAsia" w:ascii="黑体" w:hAnsi="黑体" w:eastAsia="黑体" w:cs="黑体"/>
          <w:sz w:val="24"/>
          <w:szCs w:val="24"/>
        </w:rPr>
        <w:fldChar w:fldCharType="separate"/>
      </w:r>
      <w:r>
        <w:rPr>
          <w:rFonts w:hint="eastAsia" w:ascii="黑体" w:hAnsi="黑体" w:eastAsia="黑体" w:cs="黑体"/>
          <w:sz w:val="24"/>
          <w:szCs w:val="24"/>
        </w:rPr>
        <w:t>11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"_Toc15354" </w:instrText>
      </w:r>
      <w:r>
        <w:fldChar w:fldCharType="separate"/>
      </w:r>
      <w:r>
        <w:rPr>
          <w:rFonts w:hint="eastAsia" w:ascii="黑体" w:hAnsi="黑体" w:cs="黑体"/>
          <w:kern w:val="44"/>
          <w:sz w:val="24"/>
          <w:szCs w:val="24"/>
        </w:rPr>
        <w:t>三、评价结论和绩效分析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_Toc15354 </w:instrText>
      </w:r>
      <w:r>
        <w:rPr>
          <w:rFonts w:hint="eastAsia" w:ascii="黑体" w:hAnsi="黑体" w:cs="黑体"/>
          <w:sz w:val="24"/>
          <w:szCs w:val="24"/>
        </w:rPr>
        <w:fldChar w:fldCharType="separate"/>
      </w:r>
      <w:r>
        <w:rPr>
          <w:rFonts w:hint="eastAsia" w:ascii="黑体" w:hAnsi="黑体" w:cs="黑体"/>
          <w:sz w:val="24"/>
          <w:szCs w:val="24"/>
        </w:rPr>
        <w:t>11</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"_Toc3472" </w:instrText>
      </w:r>
      <w:r>
        <w:fldChar w:fldCharType="separate"/>
      </w:r>
      <w:r>
        <w:rPr>
          <w:rFonts w:hint="eastAsia" w:ascii="黑体" w:hAnsi="黑体" w:eastAsia="黑体" w:cs="黑体"/>
          <w:sz w:val="24"/>
          <w:szCs w:val="24"/>
        </w:rPr>
        <w:t>(一)评价结论</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_Toc3472 </w:instrText>
      </w:r>
      <w:r>
        <w:rPr>
          <w:rFonts w:hint="eastAsia" w:ascii="黑体" w:hAnsi="黑体" w:eastAsia="黑体" w:cs="黑体"/>
          <w:sz w:val="24"/>
          <w:szCs w:val="24"/>
        </w:rPr>
        <w:fldChar w:fldCharType="separate"/>
      </w:r>
      <w:r>
        <w:rPr>
          <w:rFonts w:hint="eastAsia" w:ascii="黑体" w:hAnsi="黑体" w:eastAsia="黑体" w:cs="黑体"/>
          <w:sz w:val="24"/>
          <w:szCs w:val="24"/>
        </w:rPr>
        <w:t>11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"_Toc7949" </w:instrText>
      </w:r>
      <w:r>
        <w:fldChar w:fldCharType="separate"/>
      </w:r>
      <w:r>
        <w:rPr>
          <w:rFonts w:hint="eastAsia" w:ascii="黑体" w:hAnsi="黑体" w:eastAsia="黑体" w:cs="黑体"/>
          <w:sz w:val="24"/>
          <w:szCs w:val="24"/>
        </w:rPr>
        <w:t>（二）具体绩效分析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_Toc7949 </w:instrText>
      </w:r>
      <w:r>
        <w:rPr>
          <w:rFonts w:hint="eastAsia" w:ascii="黑体" w:hAnsi="黑体" w:eastAsia="黑体" w:cs="黑体"/>
          <w:sz w:val="24"/>
          <w:szCs w:val="24"/>
        </w:rPr>
        <w:fldChar w:fldCharType="separate"/>
      </w:r>
      <w:r>
        <w:rPr>
          <w:rFonts w:hint="eastAsia" w:ascii="黑体" w:hAnsi="黑体" w:eastAsia="黑体" w:cs="黑体"/>
          <w:sz w:val="24"/>
          <w:szCs w:val="24"/>
        </w:rPr>
        <w:t>12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"_Toc19786" </w:instrText>
      </w:r>
      <w:r>
        <w:fldChar w:fldCharType="separate"/>
      </w:r>
      <w:r>
        <w:rPr>
          <w:rFonts w:hint="eastAsia" w:ascii="黑体" w:hAnsi="黑体" w:cs="黑体"/>
          <w:kern w:val="44"/>
          <w:sz w:val="24"/>
          <w:szCs w:val="24"/>
        </w:rPr>
        <w:t>四、成本效益分析</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_Toc19786 </w:instrText>
      </w:r>
      <w:r>
        <w:rPr>
          <w:rFonts w:hint="eastAsia" w:ascii="黑体" w:hAnsi="黑体" w:cs="黑体"/>
          <w:sz w:val="24"/>
          <w:szCs w:val="24"/>
        </w:rPr>
        <w:fldChar w:fldCharType="separate"/>
      </w:r>
      <w:r>
        <w:rPr>
          <w:rFonts w:hint="eastAsia" w:ascii="黑体" w:hAnsi="黑体" w:cs="黑体"/>
          <w:sz w:val="24"/>
          <w:szCs w:val="24"/>
        </w:rPr>
        <w:t>12</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sectPr>
          <w:footerReference r:id="rId5" w:type="default"/>
          <w:pgSz w:w="11906" w:h="16838"/>
          <w:pgMar w:top="1440" w:right="1800" w:bottom="1440" w:left="1800" w:header="851" w:footer="992" w:gutter="0"/>
          <w:cols w:space="425" w:num="1"/>
          <w:docGrid w:type="lines" w:linePitch="312" w:charSpace="0"/>
        </w:sectPr>
      </w:pPr>
      <w:r>
        <w:fldChar w:fldCharType="begin"/>
      </w:r>
      <w:r>
        <w:instrText xml:space="preserve"> HYPERLINK \l "_Toc31269" </w:instrText>
      </w:r>
      <w:r>
        <w:fldChar w:fldCharType="separate"/>
      </w:r>
      <w:r>
        <w:rPr>
          <w:rFonts w:hint="eastAsia" w:ascii="黑体" w:hAnsi="黑体" w:eastAsia="黑体" w:cs="黑体"/>
          <w:sz w:val="24"/>
          <w:szCs w:val="24"/>
        </w:rPr>
        <w:t>（一）项目经济性分析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_Toc31269 </w:instrText>
      </w:r>
      <w:r>
        <w:rPr>
          <w:rFonts w:hint="eastAsia" w:ascii="黑体" w:hAnsi="黑体" w:eastAsia="黑体" w:cs="黑体"/>
          <w:sz w:val="24"/>
          <w:szCs w:val="24"/>
        </w:rPr>
        <w:fldChar w:fldCharType="separate"/>
      </w:r>
      <w:r>
        <w:rPr>
          <w:rFonts w:hint="eastAsia" w:ascii="黑体" w:hAnsi="黑体" w:eastAsia="黑体" w:cs="黑体"/>
          <w:sz w:val="24"/>
          <w:szCs w:val="24"/>
        </w:rPr>
        <w:t>12</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ind w:left="0" w:leftChars="0" w:firstLine="420" w:firstLineChars="200"/>
        <w:rPr>
          <w:rFonts w:ascii="黑体" w:hAnsi="黑体" w:eastAsia="黑体" w:cs="黑体"/>
          <w:sz w:val="24"/>
          <w:szCs w:val="24"/>
        </w:rPr>
      </w:pPr>
      <w:r>
        <w:fldChar w:fldCharType="begin"/>
      </w:r>
      <w:r>
        <w:instrText xml:space="preserve"> HYPERLINK \l "_Toc28106" </w:instrText>
      </w:r>
      <w:r>
        <w:fldChar w:fldCharType="separate"/>
      </w:r>
      <w:r>
        <w:rPr>
          <w:rFonts w:hint="eastAsia" w:ascii="黑体" w:hAnsi="黑体" w:eastAsia="黑体" w:cs="黑体"/>
          <w:sz w:val="24"/>
          <w:szCs w:val="24"/>
        </w:rPr>
        <w:t>（二）项目的效益性分析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_Toc28106 </w:instrText>
      </w:r>
      <w:r>
        <w:rPr>
          <w:rFonts w:hint="eastAsia" w:ascii="黑体" w:hAnsi="黑体" w:eastAsia="黑体" w:cs="黑体"/>
          <w:sz w:val="24"/>
          <w:szCs w:val="24"/>
        </w:rPr>
        <w:fldChar w:fldCharType="separate"/>
      </w:r>
      <w:r>
        <w:rPr>
          <w:rFonts w:hint="eastAsia" w:ascii="黑体" w:hAnsi="黑体" w:eastAsia="黑体" w:cs="黑体"/>
          <w:sz w:val="24"/>
          <w:szCs w:val="24"/>
        </w:rPr>
        <w:t>13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tabs>
          <w:tab w:val="right" w:leader="dot" w:pos="8306"/>
          <w:tab w:val="clear" w:pos="8296"/>
        </w:tabs>
        <w:spacing w:line="400" w:lineRule="exact"/>
        <w:rPr>
          <w:rFonts w:ascii="黑体" w:hAnsi="黑体" w:cs="黑体"/>
          <w:sz w:val="24"/>
          <w:szCs w:val="24"/>
        </w:rPr>
      </w:pPr>
      <w:r>
        <w:fldChar w:fldCharType="begin"/>
      </w:r>
      <w:r>
        <w:instrText xml:space="preserve"> HYPERLINK \l "_Toc364" </w:instrText>
      </w:r>
      <w:r>
        <w:fldChar w:fldCharType="separate"/>
      </w:r>
      <w:r>
        <w:rPr>
          <w:rFonts w:hint="eastAsia" w:ascii="黑体" w:hAnsi="黑体" w:cs="黑体"/>
          <w:kern w:val="44"/>
          <w:sz w:val="24"/>
          <w:szCs w:val="24"/>
        </w:rPr>
        <w:t>五、项目主要经验及做法、存在的问题和建议</w:t>
      </w:r>
      <w:r>
        <w:rPr>
          <w:rFonts w:hint="eastAsia" w:ascii="黑体" w:hAnsi="黑体" w:cs="黑体"/>
          <w:sz w:val="24"/>
          <w:szCs w:val="24"/>
        </w:rPr>
        <w:tab/>
      </w:r>
      <w:r>
        <w:rPr>
          <w:rFonts w:hint="eastAsia" w:ascii="黑体" w:hAnsi="黑体" w:cs="黑体"/>
          <w:sz w:val="24"/>
          <w:szCs w:val="24"/>
        </w:rPr>
        <w:fldChar w:fldCharType="begin"/>
      </w:r>
      <w:r>
        <w:rPr>
          <w:rFonts w:hint="eastAsia" w:ascii="黑体" w:hAnsi="黑体" w:cs="黑体"/>
          <w:sz w:val="24"/>
          <w:szCs w:val="24"/>
        </w:rPr>
        <w:instrText xml:space="preserve"> PAGEREF _Toc364 </w:instrText>
      </w:r>
      <w:r>
        <w:rPr>
          <w:rFonts w:hint="eastAsia" w:ascii="黑体" w:hAnsi="黑体" w:cs="黑体"/>
          <w:sz w:val="24"/>
          <w:szCs w:val="24"/>
        </w:rPr>
        <w:fldChar w:fldCharType="separate"/>
      </w:r>
      <w:r>
        <w:rPr>
          <w:rFonts w:hint="eastAsia" w:ascii="黑体" w:hAnsi="黑体" w:cs="黑体"/>
          <w:sz w:val="24"/>
          <w:szCs w:val="24"/>
        </w:rPr>
        <w:t>15</w:t>
      </w:r>
      <w:r>
        <w:rPr>
          <w:rFonts w:hint="eastAsia" w:ascii="黑体" w:hAnsi="黑体" w:cs="黑体"/>
          <w:sz w:val="24"/>
          <w:szCs w:val="24"/>
        </w:rPr>
        <w:fldChar w:fldCharType="end"/>
      </w:r>
      <w:r>
        <w:rPr>
          <w:rFonts w:hint="eastAsia" w:ascii="黑体" w:hAnsi="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"_Toc9030" </w:instrText>
      </w:r>
      <w:r>
        <w:fldChar w:fldCharType="separate"/>
      </w:r>
      <w:r>
        <w:rPr>
          <w:rFonts w:hint="eastAsia" w:ascii="黑体" w:hAnsi="黑体" w:eastAsia="黑体" w:cs="黑体"/>
          <w:sz w:val="24"/>
          <w:szCs w:val="24"/>
        </w:rPr>
        <w:t>（一）主要经验及做法</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_Toc9030 </w:instrText>
      </w:r>
      <w:r>
        <w:rPr>
          <w:rFonts w:hint="eastAsia" w:ascii="黑体" w:hAnsi="黑体" w:eastAsia="黑体" w:cs="黑体"/>
          <w:sz w:val="24"/>
          <w:szCs w:val="24"/>
        </w:rPr>
        <w:fldChar w:fldCharType="separate"/>
      </w:r>
      <w:r>
        <w:rPr>
          <w:rFonts w:hint="eastAsia" w:ascii="黑体" w:hAnsi="黑体" w:eastAsia="黑体" w:cs="黑体"/>
          <w:sz w:val="24"/>
          <w:szCs w:val="24"/>
        </w:rPr>
        <w:t>15</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"_Toc28194" </w:instrText>
      </w:r>
      <w:r>
        <w:fldChar w:fldCharType="separate"/>
      </w:r>
      <w:r>
        <w:rPr>
          <w:rFonts w:hint="eastAsia" w:ascii="黑体" w:hAnsi="黑体" w:eastAsia="黑体" w:cs="黑体"/>
          <w:sz w:val="24"/>
          <w:szCs w:val="24"/>
        </w:rPr>
        <w:t>（二）存在的问题</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_Toc28194 </w:instrText>
      </w:r>
      <w:r>
        <w:rPr>
          <w:rFonts w:hint="eastAsia" w:ascii="黑体" w:hAnsi="黑体" w:eastAsia="黑体" w:cs="黑体"/>
          <w:sz w:val="24"/>
          <w:szCs w:val="24"/>
        </w:rPr>
        <w:fldChar w:fldCharType="separate"/>
      </w:r>
      <w:r>
        <w:rPr>
          <w:rFonts w:hint="eastAsia" w:ascii="黑体" w:hAnsi="黑体" w:eastAsia="黑体" w:cs="黑体"/>
          <w:sz w:val="24"/>
          <w:szCs w:val="24"/>
        </w:rPr>
        <w:t>16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9"/>
        <w:tabs>
          <w:tab w:val="right" w:leader="dot" w:pos="8306"/>
        </w:tabs>
        <w:spacing w:line="400" w:lineRule="exact"/>
        <w:rPr>
          <w:rFonts w:ascii="黑体" w:hAnsi="黑体" w:eastAsia="黑体" w:cs="黑体"/>
          <w:sz w:val="24"/>
          <w:szCs w:val="24"/>
        </w:rPr>
      </w:pPr>
      <w:r>
        <w:fldChar w:fldCharType="begin"/>
      </w:r>
      <w:r>
        <w:instrText xml:space="preserve"> HYPERLINK \l "_Toc26689" </w:instrText>
      </w:r>
      <w:r>
        <w:fldChar w:fldCharType="separate"/>
      </w:r>
      <w:r>
        <w:rPr>
          <w:rFonts w:hint="eastAsia" w:ascii="黑体" w:hAnsi="黑体" w:eastAsia="黑体" w:cs="黑体"/>
          <w:sz w:val="24"/>
          <w:szCs w:val="24"/>
        </w:rPr>
        <w:t>（三）建议和改进措施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_Toc26689 </w:instrText>
      </w:r>
      <w:r>
        <w:rPr>
          <w:rFonts w:hint="eastAsia" w:ascii="黑体" w:hAnsi="黑体" w:eastAsia="黑体" w:cs="黑体"/>
          <w:sz w:val="24"/>
          <w:szCs w:val="24"/>
        </w:rPr>
        <w:fldChar w:fldCharType="separate"/>
      </w:r>
      <w:r>
        <w:rPr>
          <w:rFonts w:hint="eastAsia" w:ascii="黑体" w:hAnsi="黑体" w:eastAsia="黑体" w:cs="黑体"/>
          <w:sz w:val="24"/>
          <w:szCs w:val="24"/>
        </w:rPr>
        <w:t>16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8"/>
        <w:spacing w:line="400" w:lineRule="exact"/>
        <w:rPr>
          <w:rFonts w:ascii="黑体" w:hAnsi="黑体" w:cs="黑体"/>
          <w:sz w:val="24"/>
          <w:szCs w:val="24"/>
        </w:rPr>
      </w:pPr>
      <w:r>
        <w:rPr>
          <w:rFonts w:hint="eastAsia" w:ascii="黑体" w:hAnsi="黑体" w:cs="黑体"/>
          <w:sz w:val="24"/>
          <w:szCs w:val="24"/>
        </w:rPr>
        <w:fldChar w:fldCharType="end"/>
      </w:r>
    </w:p>
    <w:p>
      <w:pPr>
        <w:rPr>
          <w:rFonts w:ascii="黑体" w:hAnsi="黑体" w:cs="黑体"/>
          <w:sz w:val="28"/>
          <w:szCs w:val="28"/>
        </w:rPr>
      </w:pPr>
    </w:p>
    <w:p>
      <w:pPr>
        <w:rPr>
          <w:rFonts w:ascii="黑体" w:hAnsi="黑体" w:cs="黑体"/>
          <w:sz w:val="28"/>
          <w:szCs w:val="28"/>
        </w:rPr>
      </w:pPr>
    </w:p>
    <w:p>
      <w:pPr>
        <w:rPr>
          <w:rFonts w:ascii="黑体" w:hAnsi="黑体" w:cs="黑体"/>
          <w:sz w:val="28"/>
          <w:szCs w:val="28"/>
        </w:rPr>
      </w:pPr>
    </w:p>
    <w:p>
      <w:pPr>
        <w:rPr>
          <w:rFonts w:ascii="黑体" w:hAnsi="黑体" w:cs="黑体"/>
          <w:sz w:val="28"/>
          <w:szCs w:val="28"/>
        </w:rPr>
      </w:pPr>
      <w:bookmarkStart w:id="32" w:name="_GoBack"/>
      <w:bookmarkEnd w:id="32"/>
    </w:p>
    <w:p>
      <w:pPr>
        <w:rPr>
          <w:rFonts w:ascii="黑体" w:hAnsi="黑体" w:cs="黑体"/>
          <w:sz w:val="28"/>
          <w:szCs w:val="28"/>
        </w:rPr>
      </w:pPr>
    </w:p>
    <w:p>
      <w:pPr>
        <w:rPr>
          <w:rFonts w:ascii="黑体" w:hAnsi="黑体" w:cs="黑体"/>
          <w:sz w:val="28"/>
          <w:szCs w:val="28"/>
        </w:rPr>
      </w:pPr>
    </w:p>
    <w:p>
      <w:pPr>
        <w:rPr>
          <w:rFonts w:ascii="黑体" w:hAnsi="黑体" w:cs="黑体"/>
          <w:sz w:val="28"/>
          <w:szCs w:val="28"/>
        </w:rPr>
      </w:pPr>
    </w:p>
    <w:p>
      <w:pPr>
        <w:rPr>
          <w:rFonts w:ascii="黑体" w:hAnsi="黑体" w:cs="黑体"/>
          <w:sz w:val="28"/>
          <w:szCs w:val="28"/>
        </w:rPr>
      </w:pPr>
    </w:p>
    <w:p>
      <w:pPr>
        <w:rPr>
          <w:rFonts w:ascii="黑体" w:hAnsi="黑体" w:cs="黑体"/>
          <w:sz w:val="28"/>
          <w:szCs w:val="28"/>
        </w:rPr>
        <w:sectPr>
          <w:footerReference r:id="rId6" w:type="default"/>
          <w:pgSz w:w="11906" w:h="16838"/>
          <w:pgMar w:top="1440" w:right="1800" w:bottom="1440" w:left="1800" w:header="851" w:footer="992" w:gutter="0"/>
          <w:cols w:space="425" w:num="1"/>
          <w:docGrid w:type="lines" w:linePitch="312" w:charSpace="0"/>
        </w:sectPr>
      </w:pPr>
    </w:p>
    <w:p>
      <w:pPr>
        <w:tabs>
          <w:tab w:val="left" w:pos="1215"/>
        </w:tabs>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昆明市盘龙区机关事务管理服务中心</w:t>
      </w:r>
    </w:p>
    <w:p>
      <w:pPr>
        <w:tabs>
          <w:tab w:val="left" w:pos="1215"/>
        </w:tabs>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机关后勤服务综合管理费</w:t>
      </w:r>
    </w:p>
    <w:p>
      <w:pPr>
        <w:tabs>
          <w:tab w:val="left" w:pos="1215"/>
        </w:tabs>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项目支出绩效自评报告</w:t>
      </w:r>
    </w:p>
    <w:p>
      <w:pPr>
        <w:widowControl/>
        <w:shd w:val="clear" w:color="auto" w:fill="FFFFFF"/>
        <w:spacing w:line="560" w:lineRule="exact"/>
        <w:jc w:val="center"/>
        <w:rPr>
          <w:rFonts w:ascii="仿宋" w:hAnsi="仿宋" w:eastAsia="仿宋" w:cs="宋体"/>
          <w:b/>
          <w:bCs/>
          <w:color w:val="333333"/>
          <w:kern w:val="0"/>
          <w:sz w:val="36"/>
          <w:szCs w:val="36"/>
        </w:rPr>
      </w:pPr>
    </w:p>
    <w:p>
      <w:pPr>
        <w:spacing w:line="56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摘要</w:t>
      </w:r>
      <w:bookmarkStart w:id="0" w:name="_Toc30665"/>
    </w:p>
    <w:p>
      <w:pPr>
        <w:numPr>
          <w:ilvl w:val="0"/>
          <w:numId w:val="1"/>
        </w:numPr>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项目概况</w:t>
      </w:r>
      <w:bookmarkEnd w:id="0"/>
      <w:bookmarkStart w:id="1" w:name="_Toc31959"/>
    </w:p>
    <w:p>
      <w:pPr>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（一）项目立项背景及目的</w:t>
      </w:r>
      <w:bookmarkEnd w:id="1"/>
    </w:p>
    <w:p>
      <w:pPr>
        <w:tabs>
          <w:tab w:val="center" w:pos="3742"/>
        </w:tabs>
        <w:spacing w:line="560" w:lineRule="exact"/>
        <w:ind w:firstLine="640" w:firstLineChars="200"/>
        <w:rPr>
          <w:rFonts w:ascii="楷体_GB2312" w:eastAsia="楷体_GB2312" w:hAnsiTheme="majorHAnsi" w:cstheme="majorBidi"/>
          <w:sz w:val="32"/>
          <w:szCs w:val="32"/>
        </w:rPr>
      </w:pPr>
      <w:r>
        <w:rPr>
          <w:rFonts w:ascii="Times New Roman" w:hAnsi="Times New Roman" w:eastAsia="仿宋_GB2312" w:cs="Times New Roman"/>
          <w:color w:val="333333"/>
          <w:kern w:val="0"/>
          <w:sz w:val="32"/>
          <w:szCs w:val="32"/>
        </w:rPr>
        <w:t>为贯彻党的十九大精神以及习近平总书记系列重要讲话精神，围绕区委、区政府中心工作，切实履行各项职责，高效服务，保障区委、区政府的各项工作高效有序运转。根据《中共昆明市盘龙区委机构编制委员会关于撤销盘龙区政府采购中心并调整盘龙区机关事务管理服务中心机构编制相关事项的批复》（</w:t>
      </w:r>
      <w:r>
        <w:rPr>
          <w:rFonts w:ascii="Times New Roman" w:hAnsi="Times New Roman" w:eastAsia="仿宋_GB2312" w:cs="Times New Roman"/>
          <w:sz w:val="32"/>
          <w:szCs w:val="32"/>
        </w:rPr>
        <w:t>盘机编复〔2020〕1号</w:t>
      </w:r>
      <w:r>
        <w:rPr>
          <w:rFonts w:ascii="Times New Roman" w:hAnsi="Times New Roman" w:eastAsia="仿宋_GB2312" w:cs="Times New Roman"/>
          <w:color w:val="333333"/>
          <w:kern w:val="0"/>
          <w:sz w:val="32"/>
          <w:szCs w:val="32"/>
        </w:rPr>
        <w:t>）文件精神，区机关事务管理服务中心主要承担区级机关后勤保障服务。</w:t>
      </w:r>
      <w:bookmarkStart w:id="2" w:name="_Toc19279"/>
      <w:r>
        <w:rPr>
          <w:rFonts w:hint="eastAsia" w:ascii="楷体_GB2312" w:eastAsia="楷体_GB2312" w:hAnsiTheme="majorHAnsi" w:cstheme="majorBidi"/>
          <w:sz w:val="32"/>
          <w:szCs w:val="32"/>
        </w:rPr>
        <w:t>（二）预算收支情况</w:t>
      </w:r>
      <w:bookmarkEnd w:id="2"/>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为确保区级机关后勤保障工作到位，需申请业务经费</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元，具体项目预算明细如下： </w:t>
      </w:r>
    </w:p>
    <w:tbl>
      <w:tblPr>
        <w:tblStyle w:val="11"/>
        <w:tblW w:w="0" w:type="auto"/>
        <w:tblInd w:w="1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81"/>
        <w:gridCol w:w="5728"/>
        <w:gridCol w:w="1589"/>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498" w:hRule="atLeast"/>
        </w:trPr>
        <w:tc>
          <w:tcPr>
            <w:tcW w:w="981" w:type="dxa"/>
            <w:tcBorders>
              <w:top w:val="single" w:color="000000" w:sz="6" w:space="0"/>
              <w:left w:val="single" w:color="000000" w:sz="6" w:space="0"/>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序号</w:t>
            </w:r>
          </w:p>
        </w:tc>
        <w:tc>
          <w:tcPr>
            <w:tcW w:w="5728" w:type="dxa"/>
            <w:tcBorders>
              <w:top w:val="single" w:color="000000" w:sz="6" w:space="0"/>
              <w:left w:val="nil"/>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项目明细</w:t>
            </w:r>
          </w:p>
        </w:tc>
        <w:tc>
          <w:tcPr>
            <w:tcW w:w="1589" w:type="dxa"/>
            <w:tcBorders>
              <w:top w:val="single" w:color="000000" w:sz="6" w:space="0"/>
              <w:left w:val="nil"/>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财政拨款(元）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972" w:hRule="atLeast"/>
        </w:trPr>
        <w:tc>
          <w:tcPr>
            <w:tcW w:w="981" w:type="dxa"/>
            <w:tcBorders>
              <w:top w:val="nil"/>
              <w:left w:val="single" w:color="000000" w:sz="6" w:space="0"/>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w:t>
            </w:r>
          </w:p>
        </w:tc>
        <w:tc>
          <w:tcPr>
            <w:tcW w:w="5728" w:type="dxa"/>
            <w:tcBorders>
              <w:top w:val="nil"/>
              <w:left w:val="nil"/>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食堂</w:t>
            </w:r>
            <w:r>
              <w:rPr>
                <w:rFonts w:hint="eastAsia" w:ascii="Times New Roman" w:hAnsi="Times New Roman" w:eastAsia="仿宋_GB2312" w:cs="Times New Roman"/>
                <w:color w:val="333333"/>
                <w:kern w:val="0"/>
                <w:sz w:val="24"/>
                <w:szCs w:val="24"/>
              </w:rPr>
              <w:t>员工</w:t>
            </w:r>
            <w:r>
              <w:rPr>
                <w:rFonts w:ascii="Times New Roman" w:hAnsi="Times New Roman" w:eastAsia="仿宋_GB2312" w:cs="Times New Roman"/>
                <w:color w:val="333333"/>
                <w:kern w:val="0"/>
                <w:sz w:val="24"/>
                <w:szCs w:val="24"/>
              </w:rPr>
              <w:t>、水电工、会议服务</w:t>
            </w:r>
            <w:r>
              <w:rPr>
                <w:rFonts w:hint="eastAsia" w:ascii="Times New Roman" w:hAnsi="Times New Roman" w:eastAsia="仿宋_GB2312" w:cs="Times New Roman"/>
                <w:color w:val="333333"/>
                <w:kern w:val="0"/>
                <w:sz w:val="24"/>
                <w:szCs w:val="24"/>
              </w:rPr>
              <w:t>员</w:t>
            </w:r>
            <w:r>
              <w:rPr>
                <w:rFonts w:ascii="Times New Roman" w:hAnsi="Times New Roman" w:eastAsia="仿宋_GB2312" w:cs="Times New Roman"/>
                <w:color w:val="333333"/>
                <w:kern w:val="0"/>
                <w:sz w:val="24"/>
                <w:szCs w:val="24"/>
              </w:rPr>
              <w:t>、音响师、办公区管理</w:t>
            </w:r>
            <w:r>
              <w:rPr>
                <w:rFonts w:hint="eastAsia" w:ascii="Times New Roman" w:hAnsi="Times New Roman" w:eastAsia="仿宋_GB2312" w:cs="Times New Roman"/>
                <w:color w:val="333333"/>
                <w:kern w:val="0"/>
                <w:sz w:val="24"/>
                <w:szCs w:val="24"/>
              </w:rPr>
              <w:t>人</w:t>
            </w:r>
            <w:r>
              <w:rPr>
                <w:rFonts w:ascii="Times New Roman" w:hAnsi="Times New Roman" w:eastAsia="仿宋_GB2312" w:cs="Times New Roman"/>
                <w:color w:val="333333"/>
                <w:kern w:val="0"/>
                <w:sz w:val="24"/>
                <w:szCs w:val="24"/>
              </w:rPr>
              <w:t>员等工资</w:t>
            </w:r>
          </w:p>
        </w:tc>
        <w:tc>
          <w:tcPr>
            <w:tcW w:w="1589" w:type="dxa"/>
            <w:tcBorders>
              <w:top w:val="nil"/>
              <w:left w:val="nil"/>
              <w:bottom w:val="single" w:color="000000" w:sz="6"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3414000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549" w:hRule="atLeast"/>
        </w:trPr>
        <w:tc>
          <w:tcPr>
            <w:tcW w:w="981" w:type="dxa"/>
            <w:tcBorders>
              <w:top w:val="nil"/>
              <w:left w:val="single" w:color="000000" w:sz="6" w:space="0"/>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2</w:t>
            </w:r>
          </w:p>
        </w:tc>
        <w:tc>
          <w:tcPr>
            <w:tcW w:w="5728"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委托业务费</w:t>
            </w:r>
          </w:p>
        </w:tc>
        <w:tc>
          <w:tcPr>
            <w:tcW w:w="1589"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3450000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527" w:hRule="atLeast"/>
        </w:trPr>
        <w:tc>
          <w:tcPr>
            <w:tcW w:w="981" w:type="dxa"/>
            <w:tcBorders>
              <w:top w:val="nil"/>
              <w:left w:val="single" w:color="000000" w:sz="6" w:space="0"/>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3</w:t>
            </w:r>
          </w:p>
        </w:tc>
        <w:tc>
          <w:tcPr>
            <w:tcW w:w="5728"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物业保洁绿化费</w:t>
            </w:r>
          </w:p>
        </w:tc>
        <w:tc>
          <w:tcPr>
            <w:tcW w:w="1589"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2616600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cantSplit/>
          <w:trHeight w:val="478" w:hRule="atLeast"/>
        </w:trPr>
        <w:tc>
          <w:tcPr>
            <w:tcW w:w="981" w:type="dxa"/>
            <w:tcBorders>
              <w:top w:val="nil"/>
              <w:left w:val="single" w:color="000000" w:sz="6" w:space="0"/>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4</w:t>
            </w:r>
          </w:p>
        </w:tc>
        <w:tc>
          <w:tcPr>
            <w:tcW w:w="5728"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维修（护）费</w:t>
            </w:r>
          </w:p>
        </w:tc>
        <w:tc>
          <w:tcPr>
            <w:tcW w:w="1589"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526000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517" w:hRule="atLeast"/>
        </w:trPr>
        <w:tc>
          <w:tcPr>
            <w:tcW w:w="981" w:type="dxa"/>
            <w:tcBorders>
              <w:top w:val="nil"/>
              <w:left w:val="single" w:color="000000" w:sz="6" w:space="0"/>
              <w:bottom w:val="single" w:color="auto" w:sz="4" w:space="0"/>
              <w:right w:val="single" w:color="000000" w:sz="6" w:space="0"/>
            </w:tcBorders>
            <w:shd w:val="clear" w:color="auto" w:fill="FFFFFF"/>
            <w:vAlign w:val="center"/>
          </w:tcPr>
          <w:p>
            <w:pPr>
              <w:widowControl/>
              <w:tabs>
                <w:tab w:val="left" w:pos="249"/>
              </w:tabs>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5</w:t>
            </w:r>
          </w:p>
        </w:tc>
        <w:tc>
          <w:tcPr>
            <w:tcW w:w="5728"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办公费</w:t>
            </w:r>
          </w:p>
        </w:tc>
        <w:tc>
          <w:tcPr>
            <w:tcW w:w="1589" w:type="dxa"/>
            <w:tcBorders>
              <w:top w:val="nil"/>
              <w:left w:val="nil"/>
              <w:bottom w:val="single" w:color="auto" w:sz="4" w:space="0"/>
              <w:right w:val="single" w:color="000000" w:sz="6" w:space="0"/>
            </w:tcBorders>
            <w:shd w:val="clear" w:color="auto" w:fill="FFFFFF"/>
            <w:vAlign w:val="center"/>
          </w:tcPr>
          <w:p>
            <w:pPr>
              <w:widowControl/>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1012000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cantSplit/>
          <w:trHeight w:val="519" w:hRule="atLeast"/>
        </w:trPr>
        <w:tc>
          <w:tcPr>
            <w:tcW w:w="981" w:type="dxa"/>
            <w:tcBorders>
              <w:top w:val="single" w:color="auto" w:sz="4" w:space="0"/>
              <w:left w:val="single" w:color="000000" w:sz="6" w:space="0"/>
              <w:bottom w:val="single" w:color="000000" w:sz="6" w:space="0"/>
              <w:right w:val="single" w:color="000000" w:sz="6" w:space="0"/>
            </w:tcBorders>
            <w:shd w:val="clear" w:color="auto" w:fill="FFFFFF"/>
            <w:vAlign w:val="center"/>
          </w:tcPr>
          <w:p>
            <w:pPr>
              <w:widowControl/>
              <w:ind w:firstLine="480" w:firstLineChars="200"/>
              <w:jc w:val="center"/>
              <w:rPr>
                <w:rFonts w:ascii="Times New Roman" w:hAnsi="Times New Roman" w:eastAsia="仿宋_GB2312" w:cs="Times New Roman"/>
                <w:color w:val="333333"/>
                <w:kern w:val="0"/>
                <w:sz w:val="24"/>
                <w:szCs w:val="24"/>
              </w:rPr>
            </w:pPr>
          </w:p>
        </w:tc>
        <w:tc>
          <w:tcPr>
            <w:tcW w:w="5728" w:type="dxa"/>
            <w:tcBorders>
              <w:top w:val="single" w:color="auto" w:sz="4" w:space="0"/>
              <w:left w:val="nil"/>
              <w:bottom w:val="single" w:color="000000" w:sz="6" w:space="0"/>
              <w:right w:val="single" w:color="000000" w:sz="6" w:space="0"/>
            </w:tcBorders>
            <w:shd w:val="clear" w:color="auto" w:fill="FFFFFF"/>
            <w:vAlign w:val="center"/>
          </w:tcPr>
          <w:p>
            <w:pPr>
              <w:widowControl/>
              <w:ind w:firstLine="482" w:firstLineChars="200"/>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合计</w:t>
            </w:r>
          </w:p>
        </w:tc>
        <w:tc>
          <w:tcPr>
            <w:tcW w:w="1589" w:type="dxa"/>
            <w:tcBorders>
              <w:top w:val="single" w:color="auto" w:sz="4" w:space="0"/>
              <w:left w:val="nil"/>
              <w:bottom w:val="single" w:color="000000" w:sz="6" w:space="0"/>
              <w:right w:val="single" w:color="000000" w:sz="6" w:space="0"/>
            </w:tcBorders>
            <w:shd w:val="clear" w:color="auto" w:fill="FFFFFF"/>
            <w:vAlign w:val="center"/>
          </w:tcPr>
          <w:p>
            <w:pPr>
              <w:widowControl/>
              <w:ind w:firstLine="240" w:firstLineChars="100"/>
              <w:jc w:val="center"/>
              <w:rPr>
                <w:rFonts w:ascii="Times New Roman" w:hAnsi="Times New Roman" w:eastAsia="仿宋_GB2312" w:cs="Times New Roman"/>
                <w:color w:val="333333"/>
                <w:kern w:val="0"/>
                <w:sz w:val="24"/>
                <w:szCs w:val="24"/>
              </w:rPr>
            </w:pPr>
            <w:r>
              <w:rPr>
                <w:rFonts w:hint="eastAsia" w:ascii="Times New Roman" w:hAnsi="Times New Roman" w:eastAsia="仿宋_GB2312" w:cs="Times New Roman"/>
                <w:color w:val="333333"/>
                <w:kern w:val="0"/>
                <w:sz w:val="24"/>
                <w:szCs w:val="24"/>
              </w:rPr>
              <w:t>11018600</w:t>
            </w:r>
          </w:p>
        </w:tc>
      </w:tr>
    </w:tbl>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年实际收到财政拨款</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元，实际支出</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w:t>
      </w:r>
      <w:bookmarkStart w:id="3" w:name="_Toc29612"/>
    </w:p>
    <w:p>
      <w:pPr>
        <w:widowControl/>
        <w:numPr>
          <w:ilvl w:val="0"/>
          <w:numId w:val="1"/>
        </w:numPr>
        <w:shd w:val="clear" w:color="auto" w:fill="FFFFFF"/>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评价结论</w:t>
      </w:r>
      <w:bookmarkEnd w:id="3"/>
      <w:bookmarkStart w:id="4" w:name="_Toc31029"/>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1.评分结果</w:t>
      </w:r>
      <w:bookmarkEnd w:id="4"/>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根据制定的绩效指标考评体系，本次绩效考核得分9</w:t>
      </w:r>
      <w:r>
        <w:rPr>
          <w:rFonts w:hint="eastAsia" w:ascii="Times New Roman" w:hAnsi="Times New Roman" w:eastAsia="仿宋_GB2312" w:cs="Times New Roman"/>
          <w:color w:val="333333"/>
          <w:kern w:val="0"/>
          <w:sz w:val="32"/>
          <w:szCs w:val="32"/>
        </w:rPr>
        <w:t>6</w:t>
      </w:r>
      <w:r>
        <w:rPr>
          <w:rFonts w:ascii="Times New Roman" w:hAnsi="Times New Roman" w:eastAsia="仿宋_GB2312" w:cs="Times New Roman"/>
          <w:color w:val="333333"/>
          <w:kern w:val="0"/>
          <w:sz w:val="32"/>
          <w:szCs w:val="32"/>
        </w:rPr>
        <w:t>分，绩效评价等级为优秀。</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2.主要结论</w:t>
      </w:r>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本项目不属于投资建设类项目，主要内容为我单位管理的集中办公区、住宅区的安保、保洁、绿化人员费用及机关食堂、会议服务、水电维修等人员的工资、社保等支出。机关事务管理服务中心202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年度完成工作效益较好，保证了区委、区政府各项工作的顺利开展。</w:t>
      </w:r>
      <w:bookmarkStart w:id="5" w:name="_Toc32494"/>
    </w:p>
    <w:p>
      <w:pPr>
        <w:widowControl/>
        <w:numPr>
          <w:ilvl w:val="0"/>
          <w:numId w:val="1"/>
        </w:numPr>
        <w:shd w:val="clear" w:color="auto" w:fill="FFFFFF"/>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经验、问题和建议</w:t>
      </w:r>
      <w:bookmarkEnd w:id="5"/>
      <w:bookmarkStart w:id="6" w:name="_Toc13368"/>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（一）主要经验及做法</w:t>
      </w:r>
      <w:bookmarkEnd w:id="6"/>
    </w:p>
    <w:p>
      <w:pPr>
        <w:widowControl/>
        <w:shd w:val="clear" w:color="auto" w:fill="FFFFFF"/>
        <w:spacing w:line="560" w:lineRule="exact"/>
        <w:ind w:firstLine="640" w:firstLineChars="200"/>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000000" w:themeColor="text1"/>
          <w:kern w:val="0"/>
          <w:sz w:val="32"/>
          <w:szCs w:val="32"/>
        </w:rPr>
        <w:t>机关事务管理服务中心根据</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1</w:t>
      </w:r>
      <w:r>
        <w:rPr>
          <w:rFonts w:ascii="Times New Roman" w:hAnsi="仿宋_GB2312" w:eastAsia="仿宋_GB2312" w:cs="Times New Roman"/>
          <w:color w:val="000000" w:themeColor="text1"/>
          <w:sz w:val="32"/>
          <w:szCs w:val="32"/>
        </w:rPr>
        <w:t>年度区级预算支出绩效自评工作的通知》（盘财绩</w:t>
      </w:r>
      <w:r>
        <w:rPr>
          <w:rFonts w:ascii="Times New Roman" w:hAnsi="Times New Roman" w:eastAsia="仿宋_GB2312" w:cs="Times New Roman"/>
          <w:color w:val="000000" w:themeColor="text1"/>
          <w:sz w:val="32"/>
          <w:szCs w:val="32"/>
        </w:rPr>
        <w:t>〔202</w:t>
      </w:r>
      <w:r>
        <w:rPr>
          <w:rFonts w:hint="eastAsia" w:ascii="Times New Roman" w:hAnsi="Times New Roman" w:eastAsia="仿宋_GB2312" w:cs="Times New Roman"/>
          <w:color w:val="000000" w:themeColor="text1"/>
          <w:sz w:val="32"/>
          <w:szCs w:val="32"/>
        </w:rPr>
        <w:t>2</w:t>
      </w:r>
      <w:r>
        <w:rPr>
          <w:rFonts w:ascii="Times New Roman" w:hAnsi="Times New Roman" w:eastAsia="仿宋_GB2312" w:cs="Times New Roman"/>
          <w:color w:val="000000" w:themeColor="text1"/>
          <w:sz w:val="32"/>
          <w:szCs w:val="32"/>
        </w:rPr>
        <w:t>〕2号</w:t>
      </w:r>
      <w:r>
        <w:rPr>
          <w:rFonts w:ascii="Times New Roman" w:hAnsi="仿宋_GB2312" w:eastAsia="仿宋_GB2312" w:cs="Times New Roman"/>
          <w:color w:val="000000" w:themeColor="text1"/>
          <w:sz w:val="32"/>
          <w:szCs w:val="32"/>
        </w:rPr>
        <w:t>）</w:t>
      </w:r>
      <w:r>
        <w:rPr>
          <w:rFonts w:ascii="Times New Roman" w:hAnsi="Times New Roman" w:eastAsia="仿宋_GB2312" w:cs="Times New Roman"/>
          <w:color w:val="000000" w:themeColor="text1"/>
          <w:kern w:val="0"/>
          <w:sz w:val="32"/>
          <w:szCs w:val="32"/>
        </w:rPr>
        <w:t>精神，成立了自评小组，通过前期调研工</w:t>
      </w:r>
      <w:r>
        <w:rPr>
          <w:rFonts w:ascii="Times New Roman" w:hAnsi="Times New Roman" w:eastAsia="仿宋_GB2312" w:cs="Times New Roman"/>
          <w:color w:val="333333"/>
          <w:kern w:val="0"/>
          <w:sz w:val="32"/>
          <w:szCs w:val="32"/>
        </w:rPr>
        <w:t>作，充分了解评价项目有关情况；通过查看资金使用情况，核实202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年机关后勤服务综合管理费的各项支出的合法性、合规性；通过分析目标完成情况，查找存在的问题及总结好的经验方法，较好的完成了自评工作。</w:t>
      </w:r>
      <w:bookmarkStart w:id="7" w:name="_Toc25769"/>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（二）存在的问题</w:t>
      </w:r>
      <w:bookmarkEnd w:id="7"/>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机关后勤服务综合管理费主要用于安保服务费、物业管理费、其他综合管理等费用支出，目前我单位对这些人员和服务的监管相对薄弱，考核评价体系及相应制度有待进一步完善。</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为避免工作中出现矛盾，大部分人员的工资水平差距不大，致使部分人员的薪资水平与社会平均工资差异较大，使得这部分人工作积极性难以提高。</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因工资水平整体偏低，致使日常工作中人员流动性较大，部分人员的综合素质不高，在服务质量上和干部职工的要求还有差距。</w:t>
      </w:r>
    </w:p>
    <w:p>
      <w:pPr>
        <w:widowControl/>
        <w:shd w:val="clear" w:color="auto" w:fill="FFFFFF"/>
        <w:spacing w:line="560" w:lineRule="exact"/>
        <w:ind w:firstLine="640" w:firstLineChars="200"/>
        <w:jc w:val="left"/>
        <w:rPr>
          <w:rFonts w:ascii="楷体_GB2312" w:eastAsia="楷体_GB2312" w:hAnsiTheme="majorHAnsi" w:cstheme="majorBidi"/>
          <w:sz w:val="32"/>
          <w:szCs w:val="32"/>
        </w:rPr>
      </w:pPr>
      <w:bookmarkStart w:id="8" w:name="_Toc14165"/>
      <w:r>
        <w:rPr>
          <w:rFonts w:hint="eastAsia" w:ascii="楷体_GB2312" w:eastAsia="楷体_GB2312" w:hAnsiTheme="majorHAnsi" w:cstheme="majorBidi"/>
          <w:sz w:val="32"/>
          <w:szCs w:val="32"/>
        </w:rPr>
        <w:t>（三）建议和改进措施</w:t>
      </w:r>
      <w:bookmarkEnd w:id="8"/>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根据不同的服务内容，制定更加科学、合理、细致的考核评价体系，强化对各类服务人员的日常监管，切实提高服务水平。</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根据不同工作岗位的重要性、工作量、专业技术水平等，制定更加合理的薪资标准，不断激励并倡导所有人员不断学习进步。</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Times New Roman" w:hAnsi="Times New Roman" w:eastAsia="仿宋_GB2312" w:cs="Times New Roman"/>
          <w:color w:val="333333"/>
          <w:kern w:val="0"/>
          <w:sz w:val="32"/>
          <w:szCs w:val="32"/>
        </w:rPr>
        <w:t>3</w:t>
      </w:r>
      <w:r>
        <w:rPr>
          <w:rFonts w:ascii="Times New Roman" w:hAnsi="Times New Roman" w:eastAsia="仿宋_GB2312" w:cs="Times New Roman"/>
          <w:color w:val="333333"/>
          <w:kern w:val="0"/>
          <w:sz w:val="32"/>
          <w:szCs w:val="32"/>
        </w:rPr>
        <w:t>.</w:t>
      </w:r>
      <w:r>
        <w:rPr>
          <w:rFonts w:hint="eastAsia" w:ascii="仿宋_GB2312" w:hAnsi="仿宋" w:eastAsia="仿宋_GB2312" w:cs="宋体"/>
          <w:color w:val="333333"/>
          <w:kern w:val="0"/>
          <w:sz w:val="32"/>
          <w:szCs w:val="32"/>
        </w:rPr>
        <w:t>积极探索向社会购买服务的模式，继续扩大机关后勤服务社会化程度，由服务提供者向监管者转变。</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p>
    <w:p>
      <w:pPr>
        <w:spacing w:line="560" w:lineRule="exac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正文：昆明市盘龙区机关事务管理服务中心</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     机关后勤服务综合管理费项目支出绩效自评报告</w:t>
      </w:r>
      <w:bookmarkStart w:id="9" w:name="_Toc21638"/>
    </w:p>
    <w:p>
      <w:pPr>
        <w:spacing w:line="560" w:lineRule="exact"/>
        <w:ind w:firstLine="883" w:firstLineChars="200"/>
        <w:jc w:val="center"/>
        <w:rPr>
          <w:rFonts w:ascii="方正小标宋_GBK" w:eastAsia="方正小标宋_GBK"/>
          <w:b/>
          <w:bCs/>
          <w:sz w:val="44"/>
          <w:szCs w:val="44"/>
        </w:rPr>
      </w:pPr>
    </w:p>
    <w:p>
      <w:pPr>
        <w:spacing w:line="560" w:lineRule="exact"/>
        <w:ind w:firstLine="640" w:firstLineChars="200"/>
        <w:jc w:val="left"/>
        <w:rPr>
          <w:rFonts w:ascii="黑体" w:hAnsi="黑体" w:eastAsia="黑体"/>
          <w:kern w:val="44"/>
          <w:sz w:val="32"/>
          <w:szCs w:val="32"/>
        </w:rPr>
      </w:pPr>
      <w:r>
        <w:rPr>
          <w:rFonts w:hint="eastAsia" w:ascii="黑体" w:hAnsi="黑体" w:eastAsia="黑体"/>
          <w:kern w:val="44"/>
          <w:sz w:val="32"/>
          <w:szCs w:val="32"/>
        </w:rPr>
        <w:t>一、项目基本情况</w:t>
      </w:r>
      <w:bookmarkEnd w:id="9"/>
      <w:bookmarkStart w:id="10" w:name="_Toc14789"/>
      <w:bookmarkStart w:id="11" w:name="_Toc531033281"/>
    </w:p>
    <w:p>
      <w:pPr>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（一）项目概况</w:t>
      </w:r>
      <w:bookmarkEnd w:id="10"/>
      <w:bookmarkEnd w:id="11"/>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Times New Roman" w:eastAsia="仿宋_GB2312" w:cs="Times New Roman"/>
          <w:color w:val="333333"/>
          <w:kern w:val="0"/>
          <w:sz w:val="32"/>
          <w:szCs w:val="32"/>
        </w:rPr>
        <w:t>项目立项背景及目的</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机关事务管理服务中心的主要工作职责是为区委、区政府及区级国家机关各部委办局提供机关后勤综合服务。为贯彻党的十九大精神以及习近平总书记系列重要讲话精神，我单位紧紧围绕区委、区政府中心工作，切实履行各项职责，高效服务，力促发展，保障了区委、区政府各项工作高效有序运转。通过完善安全保卫、绿化保洁、车辆管理、水电维修、机关食堂、会议服务等各项工作职责及服务流程，狠抓日常工作落实及服务监管，为区委、区政府提供了坚强有力的后勤保障服务。</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为确保区委、区政府后勤服务正常开展，上级机关交办事项办理到位，需申请机关后勤服务综合管理费</w:t>
      </w:r>
      <w:r>
        <w:rPr>
          <w:rFonts w:ascii="Times New Roman" w:hAnsi="Times New Roman" w:eastAsia="仿宋_GB2312" w:cs="Times New Roman"/>
          <w:color w:val="333333"/>
          <w:kern w:val="0"/>
          <w:sz w:val="32"/>
          <w:szCs w:val="32"/>
        </w:rPr>
        <w:t>1101.86</w:t>
      </w:r>
      <w:r>
        <w:rPr>
          <w:rFonts w:hint="eastAsia" w:ascii="仿宋_GB2312" w:hAnsi="Times New Roman" w:eastAsia="仿宋_GB2312" w:cs="Times New Roman"/>
          <w:color w:val="333333"/>
          <w:kern w:val="0"/>
          <w:sz w:val="32"/>
          <w:szCs w:val="32"/>
        </w:rPr>
        <w:t>万元，用于机关食堂、会议服务、水电维修、车队驾驶员服务费、劳务派遣等人员的工资、社保等支出；各办公区、住宅区安全保卫、保洁、绿化等物业服务支出；用于服务工作中的综合费用，包括员工办公费、服装费、体检费、学习培训费；安保装备、消防器材补充及维护费用；办公区监控、门禁系统维护费；消防系统维护费；机关办公楼住宅区水池清洗、化粪池清理、垃圾清运、卫生清扫费；电梯、配电室、发电机等系统维保费以及保障后勤工作正常运转的其它支出。</w:t>
      </w:r>
    </w:p>
    <w:p>
      <w:pPr>
        <w:spacing w:line="560" w:lineRule="exact"/>
        <w:ind w:firstLine="640" w:firstLineChars="200"/>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Times New Roman" w:eastAsia="仿宋_GB2312" w:cs="Times New Roman"/>
          <w:color w:val="333333"/>
          <w:kern w:val="0"/>
          <w:sz w:val="32"/>
          <w:szCs w:val="32"/>
        </w:rPr>
        <w:t>项目实施情况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在区委、区政府的正确领导下，机关事务管理服务中心</w:t>
      </w:r>
      <w:r>
        <w:rPr>
          <w:rFonts w:ascii="Times New Roman" w:hAnsi="Times New Roman" w:eastAsia="仿宋_GB2312" w:cs="Times New Roman"/>
          <w:color w:val="333333"/>
          <w:kern w:val="0"/>
          <w:sz w:val="32"/>
          <w:szCs w:val="32"/>
        </w:rPr>
        <w:t>2021</w:t>
      </w:r>
      <w:r>
        <w:rPr>
          <w:rFonts w:hint="eastAsia" w:ascii="仿宋_GB2312" w:hAnsi="Times New Roman" w:eastAsia="仿宋_GB2312" w:cs="Times New Roman"/>
          <w:color w:val="333333"/>
          <w:kern w:val="0"/>
          <w:sz w:val="32"/>
          <w:szCs w:val="32"/>
        </w:rPr>
        <w:t>年充分调动工作人员的积极性，全年安保人员在完成日常工作的基础上综合训练</w:t>
      </w:r>
      <w:r>
        <w:rPr>
          <w:rFonts w:ascii="Times New Roman" w:hAnsi="Times New Roman" w:eastAsia="仿宋_GB2312" w:cs="Times New Roman"/>
          <w:color w:val="333333"/>
          <w:kern w:val="0"/>
          <w:sz w:val="32"/>
          <w:szCs w:val="32"/>
        </w:rPr>
        <w:t>102</w:t>
      </w:r>
      <w:r>
        <w:rPr>
          <w:rFonts w:hint="eastAsia" w:ascii="仿宋_GB2312" w:hAnsi="Times New Roman" w:eastAsia="仿宋_GB2312" w:cs="Times New Roman"/>
          <w:color w:val="333333"/>
          <w:kern w:val="0"/>
          <w:sz w:val="32"/>
          <w:szCs w:val="32"/>
        </w:rPr>
        <w:t>次，来访人员登记</w:t>
      </w:r>
      <w:r>
        <w:rPr>
          <w:rFonts w:ascii="Times New Roman" w:hAnsi="Times New Roman" w:eastAsia="仿宋_GB2312" w:cs="Times New Roman"/>
          <w:color w:val="333333"/>
          <w:kern w:val="0"/>
          <w:sz w:val="32"/>
          <w:szCs w:val="32"/>
        </w:rPr>
        <w:t>2660</w:t>
      </w:r>
      <w:r>
        <w:rPr>
          <w:rFonts w:hint="eastAsia" w:ascii="仿宋_GB2312" w:hAnsi="Times New Roman" w:eastAsia="仿宋_GB2312" w:cs="Times New Roman"/>
          <w:color w:val="333333"/>
          <w:kern w:val="0"/>
          <w:sz w:val="32"/>
          <w:szCs w:val="32"/>
        </w:rPr>
        <w:t>次，维持信访秩序</w:t>
      </w:r>
      <w:r>
        <w:rPr>
          <w:rFonts w:ascii="Times New Roman" w:hAnsi="Times New Roman" w:eastAsia="仿宋_GB2312" w:cs="Times New Roman"/>
          <w:color w:val="333333"/>
          <w:kern w:val="0"/>
          <w:sz w:val="32"/>
          <w:szCs w:val="32"/>
        </w:rPr>
        <w:t>80</w:t>
      </w:r>
      <w:r>
        <w:rPr>
          <w:rFonts w:hint="eastAsia" w:ascii="仿宋_GB2312" w:hAnsi="Times New Roman" w:eastAsia="仿宋_GB2312" w:cs="Times New Roman"/>
          <w:color w:val="333333"/>
          <w:kern w:val="0"/>
          <w:sz w:val="32"/>
          <w:szCs w:val="32"/>
        </w:rPr>
        <w:t>余次，完成了</w:t>
      </w:r>
      <w:r>
        <w:rPr>
          <w:rFonts w:ascii="Times New Roman" w:hAnsi="Times New Roman" w:eastAsia="仿宋_GB2312" w:cs="Times New Roman"/>
          <w:color w:val="333333"/>
          <w:kern w:val="0"/>
          <w:sz w:val="32"/>
          <w:szCs w:val="32"/>
        </w:rPr>
        <w:t>243</w:t>
      </w:r>
      <w:r>
        <w:rPr>
          <w:rFonts w:hint="eastAsia" w:ascii="仿宋_GB2312" w:hAnsi="Times New Roman" w:eastAsia="仿宋_GB2312" w:cs="Times New Roman"/>
          <w:color w:val="333333"/>
          <w:kern w:val="0"/>
          <w:sz w:val="32"/>
          <w:szCs w:val="32"/>
        </w:rPr>
        <w:t>次重要会议及活动的安保服务；保洁绿化人员在完成日常工作的基础上为会议时提供清洁服务</w:t>
      </w:r>
      <w:r>
        <w:rPr>
          <w:rFonts w:ascii="Times New Roman" w:hAnsi="Times New Roman" w:eastAsia="仿宋_GB2312" w:cs="Times New Roman"/>
          <w:color w:val="333333"/>
          <w:kern w:val="0"/>
          <w:sz w:val="32"/>
          <w:szCs w:val="32"/>
        </w:rPr>
        <w:t>3260</w:t>
      </w:r>
      <w:r>
        <w:rPr>
          <w:rFonts w:hint="eastAsia" w:ascii="仿宋_GB2312" w:hAnsi="Times New Roman" w:eastAsia="仿宋_GB2312" w:cs="Times New Roman"/>
          <w:color w:val="333333"/>
          <w:kern w:val="0"/>
          <w:sz w:val="32"/>
          <w:szCs w:val="32"/>
        </w:rPr>
        <w:t>场次，</w:t>
      </w:r>
      <w:r>
        <w:rPr>
          <w:rFonts w:hint="eastAsia" w:ascii="仿宋_GB2312" w:hAnsi="仿宋" w:eastAsia="仿宋_GB2312" w:cs="Times New Roman"/>
          <w:sz w:val="32"/>
          <w:szCs w:val="32"/>
        </w:rPr>
        <w:t>平台及电梯清洁</w:t>
      </w:r>
      <w:r>
        <w:rPr>
          <w:rFonts w:ascii="Times New Roman" w:hAnsi="Times New Roman" w:eastAsia="仿宋_GB2312" w:cs="Times New Roman"/>
          <w:sz w:val="32"/>
          <w:szCs w:val="32"/>
        </w:rPr>
        <w:t>16</w:t>
      </w:r>
      <w:r>
        <w:rPr>
          <w:rFonts w:hint="eastAsia" w:ascii="仿宋_GB2312" w:hAnsi="仿宋" w:eastAsia="仿宋_GB2312" w:cs="Times New Roman"/>
          <w:sz w:val="32"/>
          <w:szCs w:val="32"/>
        </w:rPr>
        <w:t>次，卫生大扫除</w:t>
      </w:r>
      <w:r>
        <w:rPr>
          <w:rFonts w:ascii="Times New Roman" w:hAnsi="Times New Roman" w:eastAsia="仿宋_GB2312" w:cs="Times New Roman"/>
          <w:sz w:val="32"/>
          <w:szCs w:val="32"/>
        </w:rPr>
        <w:t>20</w:t>
      </w:r>
      <w:r>
        <w:rPr>
          <w:rFonts w:hint="eastAsia" w:ascii="仿宋_GB2312" w:hAnsi="仿宋" w:eastAsia="仿宋_GB2312" w:cs="Times New Roman"/>
          <w:sz w:val="32"/>
          <w:szCs w:val="32"/>
        </w:rPr>
        <w:t>次；覆盖遮阴网</w:t>
      </w:r>
      <w:r>
        <w:rPr>
          <w:rFonts w:ascii="Times New Roman" w:hAnsi="Times New Roman" w:eastAsia="仿宋_GB2312" w:cs="Times New Roman"/>
          <w:sz w:val="32"/>
          <w:szCs w:val="32"/>
        </w:rPr>
        <w:t>3000</w:t>
      </w:r>
      <w:r>
        <w:rPr>
          <w:rFonts w:hint="eastAsia" w:ascii="仿宋_GB2312" w:hAnsi="仿宋" w:eastAsia="仿宋_GB2312" w:cs="Times New Roman"/>
          <w:sz w:val="32"/>
          <w:szCs w:val="32"/>
        </w:rPr>
        <w:t>余米，防冻保暖护苗</w:t>
      </w:r>
      <w:r>
        <w:rPr>
          <w:rFonts w:ascii="Times New Roman" w:hAnsi="Times New Roman" w:eastAsia="仿宋_GB2312" w:cs="Times New Roman"/>
          <w:sz w:val="32"/>
          <w:szCs w:val="32"/>
        </w:rPr>
        <w:t>960</w:t>
      </w:r>
      <w:r>
        <w:rPr>
          <w:rFonts w:hint="eastAsia" w:ascii="仿宋_GB2312" w:hAnsi="仿宋" w:eastAsia="仿宋_GB2312" w:cs="Times New Roman"/>
          <w:sz w:val="32"/>
          <w:szCs w:val="32"/>
        </w:rPr>
        <w:t>余盆。全年花卉植株分苗、移栽、翻种</w:t>
      </w:r>
      <w:r>
        <w:rPr>
          <w:rFonts w:ascii="Times New Roman" w:hAnsi="Times New Roman" w:eastAsia="仿宋_GB2312" w:cs="Times New Roman"/>
          <w:sz w:val="32"/>
          <w:szCs w:val="32"/>
        </w:rPr>
        <w:t>150</w:t>
      </w:r>
      <w:r>
        <w:rPr>
          <w:rFonts w:hint="eastAsia" w:ascii="仿宋_GB2312" w:hAnsi="仿宋" w:eastAsia="仿宋_GB2312" w:cs="Times New Roman"/>
          <w:sz w:val="32"/>
          <w:szCs w:val="32"/>
        </w:rPr>
        <w:t>余盆，施肥</w:t>
      </w:r>
      <w:r>
        <w:rPr>
          <w:rFonts w:ascii="Times New Roman" w:hAnsi="Times New Roman" w:eastAsia="仿宋_GB2312" w:cs="Times New Roman"/>
          <w:sz w:val="32"/>
          <w:szCs w:val="32"/>
        </w:rPr>
        <w:t>8</w:t>
      </w:r>
      <w:r>
        <w:rPr>
          <w:rFonts w:hint="eastAsia" w:ascii="仿宋_GB2312" w:hAnsi="仿宋" w:eastAsia="仿宋_GB2312" w:cs="Times New Roman"/>
          <w:sz w:val="32"/>
          <w:szCs w:val="32"/>
        </w:rPr>
        <w:t>次，打药</w:t>
      </w:r>
      <w:r>
        <w:rPr>
          <w:rFonts w:ascii="Times New Roman" w:hAnsi="Times New Roman" w:eastAsia="仿宋_GB2312" w:cs="Times New Roman"/>
          <w:sz w:val="32"/>
          <w:szCs w:val="32"/>
        </w:rPr>
        <w:t>6</w:t>
      </w:r>
      <w:r>
        <w:rPr>
          <w:rFonts w:hint="eastAsia" w:ascii="仿宋_GB2312" w:hAnsi="仿宋" w:eastAsia="仿宋_GB2312" w:cs="Times New Roman"/>
          <w:sz w:val="32"/>
          <w:szCs w:val="32"/>
        </w:rPr>
        <w:t>次，修枝</w:t>
      </w:r>
      <w:r>
        <w:rPr>
          <w:rFonts w:ascii="Times New Roman" w:hAnsi="Times New Roman" w:eastAsia="仿宋_GB2312" w:cs="Times New Roman"/>
          <w:sz w:val="32"/>
          <w:szCs w:val="32"/>
        </w:rPr>
        <w:t>30</w:t>
      </w:r>
      <w:r>
        <w:rPr>
          <w:rFonts w:hint="eastAsia" w:ascii="仿宋_GB2312" w:hAnsi="仿宋" w:eastAsia="仿宋_GB2312" w:cs="Times New Roman"/>
          <w:sz w:val="32"/>
          <w:szCs w:val="32"/>
        </w:rPr>
        <w:t>次、</w:t>
      </w:r>
      <w:r>
        <w:rPr>
          <w:rFonts w:ascii="Times New Roman" w:hAnsi="Times New Roman" w:eastAsia="仿宋_GB2312" w:cs="Times New Roman"/>
          <w:sz w:val="32"/>
          <w:szCs w:val="32"/>
        </w:rPr>
        <w:t>2580</w:t>
      </w:r>
      <w:r>
        <w:rPr>
          <w:rFonts w:hint="eastAsia" w:ascii="仿宋_GB2312" w:hAnsi="仿宋" w:eastAsia="仿宋_GB2312" w:cs="Times New Roman"/>
          <w:sz w:val="32"/>
          <w:szCs w:val="32"/>
        </w:rPr>
        <w:t>余盆（株）</w:t>
      </w:r>
      <w:r>
        <w:rPr>
          <w:rFonts w:hint="eastAsia" w:ascii="仿宋_GB2312" w:hAnsi="Times New Roman" w:eastAsia="仿宋_GB2312" w:cs="Times New Roman"/>
          <w:color w:val="333333"/>
          <w:kern w:val="0"/>
          <w:sz w:val="32"/>
          <w:szCs w:val="32"/>
        </w:rPr>
        <w:t>；交换文件</w:t>
      </w:r>
      <w:r>
        <w:rPr>
          <w:rFonts w:ascii="Times New Roman" w:hAnsi="Times New Roman" w:eastAsia="仿宋_GB2312" w:cs="Times New Roman"/>
          <w:sz w:val="32"/>
          <w:szCs w:val="32"/>
        </w:rPr>
        <w:t>8.2</w:t>
      </w:r>
      <w:r>
        <w:rPr>
          <w:rFonts w:hint="eastAsia" w:ascii="仿宋_GB2312" w:hAnsi="仿宋" w:eastAsia="仿宋_GB2312" w:cs="Times New Roman"/>
          <w:sz w:val="32"/>
          <w:szCs w:val="32"/>
        </w:rPr>
        <w:t>万份，报刊邮件收</w:t>
      </w:r>
      <w:r>
        <w:rPr>
          <w:rFonts w:ascii="Times New Roman" w:hAnsi="Times New Roman" w:eastAsia="仿宋_GB2312" w:cs="Times New Roman"/>
          <w:sz w:val="32"/>
          <w:szCs w:val="32"/>
        </w:rPr>
        <w:t>46</w:t>
      </w:r>
      <w:r>
        <w:rPr>
          <w:rFonts w:hint="eastAsia" w:ascii="仿宋_GB2312" w:hAnsi="仿宋" w:eastAsia="仿宋_GB2312" w:cs="Times New Roman"/>
          <w:sz w:val="32"/>
          <w:szCs w:val="32"/>
        </w:rPr>
        <w:t>万份；</w:t>
      </w:r>
      <w:r>
        <w:rPr>
          <w:rFonts w:hint="eastAsia" w:ascii="仿宋_GB2312" w:hAnsi="Times New Roman" w:eastAsia="仿宋_GB2312" w:cs="Times New Roman"/>
          <w:color w:val="333333"/>
          <w:kern w:val="0"/>
          <w:sz w:val="32"/>
          <w:szCs w:val="32"/>
        </w:rPr>
        <w:t>提供会议服务</w:t>
      </w:r>
      <w:r>
        <w:rPr>
          <w:rFonts w:ascii="Times New Roman" w:hAnsi="Times New Roman" w:eastAsia="仿宋_GB2312" w:cs="Times New Roman"/>
          <w:color w:val="333333"/>
          <w:kern w:val="0"/>
          <w:sz w:val="32"/>
          <w:szCs w:val="32"/>
        </w:rPr>
        <w:t>1976</w:t>
      </w:r>
      <w:r>
        <w:rPr>
          <w:rFonts w:hint="eastAsia" w:ascii="仿宋_GB2312" w:hAnsi="Times New Roman" w:eastAsia="仿宋_GB2312" w:cs="Times New Roman"/>
          <w:color w:val="333333"/>
          <w:kern w:val="0"/>
          <w:sz w:val="32"/>
          <w:szCs w:val="32"/>
        </w:rPr>
        <w:t>场</w:t>
      </w:r>
      <w:r>
        <w:rPr>
          <w:rFonts w:ascii="Times New Roman" w:hAnsi="Times New Roman" w:eastAsia="仿宋_GB2312" w:cs="Times New Roman"/>
          <w:color w:val="333333"/>
          <w:kern w:val="0"/>
          <w:sz w:val="32"/>
          <w:szCs w:val="32"/>
        </w:rPr>
        <w:t>90572</w:t>
      </w:r>
      <w:r>
        <w:rPr>
          <w:rFonts w:hint="eastAsia" w:ascii="仿宋_GB2312" w:hAnsi="Times New Roman" w:eastAsia="仿宋_GB2312" w:cs="Times New Roman"/>
          <w:color w:val="333333"/>
          <w:kern w:val="0"/>
          <w:sz w:val="32"/>
          <w:szCs w:val="32"/>
        </w:rPr>
        <w:t>人次，提供餐饮服务</w:t>
      </w:r>
      <w:r>
        <w:rPr>
          <w:rFonts w:ascii="Times New Roman" w:hAnsi="Times New Roman" w:eastAsia="仿宋_GB2312" w:cs="Times New Roman"/>
          <w:color w:val="333333"/>
          <w:kern w:val="0"/>
          <w:sz w:val="32"/>
          <w:szCs w:val="32"/>
        </w:rPr>
        <w:t>281108</w:t>
      </w:r>
      <w:r>
        <w:rPr>
          <w:rFonts w:hint="eastAsia" w:ascii="仿宋_GB2312" w:hAnsi="Times New Roman" w:eastAsia="仿宋_GB2312" w:cs="Times New Roman"/>
          <w:color w:val="333333"/>
          <w:kern w:val="0"/>
          <w:sz w:val="32"/>
          <w:szCs w:val="32"/>
        </w:rPr>
        <w:t>人次，</w:t>
      </w:r>
      <w:r>
        <w:rPr>
          <w:rFonts w:hint="eastAsia" w:ascii="仿宋_GB2312" w:hAnsi="仿宋" w:eastAsia="仿宋_GB2312" w:cs="Times New Roman"/>
          <w:sz w:val="32"/>
          <w:szCs w:val="32"/>
        </w:rPr>
        <w:t>接待用餐</w:t>
      </w:r>
      <w:r>
        <w:rPr>
          <w:rFonts w:ascii="Times New Roman" w:hAnsi="Times New Roman" w:eastAsia="仿宋_GB2312" w:cs="Times New Roman"/>
          <w:sz w:val="32"/>
          <w:szCs w:val="32"/>
        </w:rPr>
        <w:t>157</w:t>
      </w:r>
      <w:r>
        <w:rPr>
          <w:rFonts w:hint="eastAsia" w:ascii="仿宋_GB2312" w:hAnsi="仿宋" w:eastAsia="仿宋_GB2312" w:cs="Times New Roman"/>
          <w:sz w:val="32"/>
          <w:szCs w:val="32"/>
        </w:rPr>
        <w:t>桌次</w:t>
      </w:r>
      <w:r>
        <w:rPr>
          <w:rFonts w:hint="eastAsia" w:ascii="仿宋_GB2312" w:hAnsi="Times New Roman" w:eastAsia="仿宋_GB2312" w:cs="Times New Roman"/>
          <w:color w:val="333333"/>
          <w:kern w:val="0"/>
          <w:sz w:val="32"/>
          <w:szCs w:val="32"/>
        </w:rPr>
        <w:t>；完成水电维修</w:t>
      </w:r>
      <w:r>
        <w:rPr>
          <w:rFonts w:ascii="Times New Roman" w:hAnsi="Times New Roman" w:eastAsia="仿宋_GB2312" w:cs="Times New Roman"/>
          <w:color w:val="333333"/>
          <w:kern w:val="0"/>
          <w:sz w:val="32"/>
          <w:szCs w:val="32"/>
        </w:rPr>
        <w:t>330</w:t>
      </w:r>
      <w:r>
        <w:rPr>
          <w:rFonts w:hint="eastAsia" w:ascii="仿宋_GB2312" w:hAnsi="Times New Roman" w:eastAsia="仿宋_GB2312" w:cs="Times New Roman"/>
          <w:color w:val="333333"/>
          <w:kern w:val="0"/>
          <w:sz w:val="32"/>
          <w:szCs w:val="32"/>
        </w:rPr>
        <w:t>余次。</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Times New Roman" w:eastAsia="仿宋_GB2312" w:cs="Times New Roman"/>
          <w:color w:val="333333"/>
          <w:kern w:val="0"/>
          <w:sz w:val="32"/>
          <w:szCs w:val="32"/>
        </w:rPr>
        <w:t xml:space="preserve">项目资金来源及使用情况 </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w:t>
      </w:r>
      <w:r>
        <w:rPr>
          <w:rFonts w:ascii="Times New Roman" w:hAnsi="Times New Roman" w:eastAsia="仿宋_GB2312" w:cs="Times New Roman"/>
          <w:color w:val="333333"/>
          <w:kern w:val="0"/>
          <w:sz w:val="32"/>
          <w:szCs w:val="32"/>
        </w:rPr>
        <w:t>1</w:t>
      </w:r>
      <w:r>
        <w:rPr>
          <w:rFonts w:hint="eastAsia" w:ascii="仿宋_GB2312" w:hAnsi="Times New Roman" w:eastAsia="仿宋_GB2312" w:cs="Times New Roman"/>
          <w:color w:val="333333"/>
          <w:kern w:val="0"/>
          <w:sz w:val="32"/>
          <w:szCs w:val="32"/>
        </w:rPr>
        <w:t>）项目经费来源</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根据昆明市盘龙区财政局《关于下达盘龙区</w:t>
      </w:r>
      <w:r>
        <w:rPr>
          <w:rFonts w:ascii="Times New Roman" w:hAnsi="Times New Roman" w:eastAsia="仿宋_GB2312" w:cs="Times New Roman"/>
          <w:color w:val="333333"/>
          <w:kern w:val="0"/>
          <w:sz w:val="32"/>
          <w:szCs w:val="32"/>
        </w:rPr>
        <w:t>2021</w:t>
      </w:r>
      <w:r>
        <w:rPr>
          <w:rFonts w:hint="eastAsia" w:ascii="仿宋_GB2312" w:hAnsi="Times New Roman" w:eastAsia="仿宋_GB2312" w:cs="Times New Roman"/>
          <w:color w:val="333333"/>
          <w:kern w:val="0"/>
          <w:sz w:val="32"/>
          <w:szCs w:val="32"/>
        </w:rPr>
        <w:t>年部门预算的批复》（盘财〔</w:t>
      </w:r>
      <w:r>
        <w:rPr>
          <w:rFonts w:ascii="Times New Roman" w:hAnsi="Times New Roman" w:eastAsia="仿宋_GB2312" w:cs="Times New Roman"/>
          <w:color w:val="333333"/>
          <w:kern w:val="0"/>
          <w:sz w:val="32"/>
          <w:szCs w:val="32"/>
        </w:rPr>
        <w:t>2021</w:t>
      </w:r>
      <w:r>
        <w:rPr>
          <w:rFonts w:hint="eastAsia" w:ascii="仿宋_GB2312" w:hAnsi="Times New Roman" w:eastAsia="仿宋_GB2312" w:cs="Times New Roman"/>
          <w:color w:val="333333"/>
          <w:kern w:val="0"/>
          <w:sz w:val="32"/>
          <w:szCs w:val="32"/>
        </w:rPr>
        <w:t>〕</w:t>
      </w:r>
      <w:r>
        <w:rPr>
          <w:rFonts w:ascii="Times New Roman" w:hAnsi="Times New Roman" w:eastAsia="仿宋_GB2312" w:cs="Times New Roman"/>
          <w:color w:val="333333"/>
          <w:kern w:val="0"/>
          <w:sz w:val="32"/>
          <w:szCs w:val="32"/>
        </w:rPr>
        <w:t>1</w:t>
      </w:r>
      <w:r>
        <w:rPr>
          <w:rFonts w:hint="eastAsia" w:ascii="仿宋_GB2312" w:hAnsi="Times New Roman" w:eastAsia="仿宋_GB2312" w:cs="Times New Roman"/>
          <w:color w:val="333333"/>
          <w:kern w:val="0"/>
          <w:sz w:val="32"/>
          <w:szCs w:val="32"/>
        </w:rPr>
        <w:t>号）文件安排项目资金</w:t>
      </w:r>
      <w:r>
        <w:rPr>
          <w:rFonts w:ascii="Times New Roman" w:hAnsi="Times New Roman" w:eastAsia="仿宋_GB2312" w:cs="Times New Roman"/>
          <w:color w:val="333333"/>
          <w:kern w:val="0"/>
          <w:sz w:val="32"/>
          <w:szCs w:val="32"/>
        </w:rPr>
        <w:t>1101.86</w:t>
      </w:r>
      <w:r>
        <w:rPr>
          <w:rFonts w:hint="eastAsia" w:ascii="仿宋_GB2312" w:hAnsi="Times New Roman" w:eastAsia="仿宋_GB2312" w:cs="Times New Roman"/>
          <w:color w:val="333333"/>
          <w:kern w:val="0"/>
          <w:sz w:val="32"/>
          <w:szCs w:val="32"/>
        </w:rPr>
        <w:t>万元，资金来源全部为区级财政拨款。</w:t>
      </w:r>
    </w:p>
    <w:p>
      <w:pPr>
        <w:widowControl/>
        <w:numPr>
          <w:ilvl w:val="0"/>
          <w:numId w:val="2"/>
        </w:numPr>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项目经费使用情况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截至</w:t>
      </w:r>
      <w:r>
        <w:rPr>
          <w:rFonts w:ascii="Times New Roman" w:hAnsi="Times New Roman" w:eastAsia="仿宋_GB2312" w:cs="Times New Roman"/>
          <w:color w:val="333333"/>
          <w:kern w:val="0"/>
          <w:sz w:val="32"/>
          <w:szCs w:val="32"/>
        </w:rPr>
        <w:t>2021</w:t>
      </w:r>
      <w:r>
        <w:rPr>
          <w:rFonts w:hint="eastAsia" w:ascii="仿宋_GB2312" w:hAnsi="Times New Roman" w:eastAsia="仿宋_GB2312" w:cs="Times New Roman"/>
          <w:color w:val="333333"/>
          <w:kern w:val="0"/>
          <w:sz w:val="32"/>
          <w:szCs w:val="32"/>
        </w:rPr>
        <w:t>年</w:t>
      </w:r>
      <w:r>
        <w:rPr>
          <w:rFonts w:ascii="Times New Roman" w:hAnsi="Times New Roman" w:eastAsia="仿宋_GB2312" w:cs="Times New Roman"/>
          <w:color w:val="333333"/>
          <w:kern w:val="0"/>
          <w:sz w:val="32"/>
          <w:szCs w:val="32"/>
        </w:rPr>
        <w:t>12</w:t>
      </w:r>
      <w:r>
        <w:rPr>
          <w:rFonts w:hint="eastAsia" w:ascii="仿宋_GB2312" w:hAnsi="Times New Roman" w:eastAsia="仿宋_GB2312" w:cs="Times New Roman"/>
          <w:color w:val="333333"/>
          <w:kern w:val="0"/>
          <w:sz w:val="32"/>
          <w:szCs w:val="32"/>
        </w:rPr>
        <w:t>月</w:t>
      </w:r>
      <w:r>
        <w:rPr>
          <w:rFonts w:ascii="Times New Roman" w:hAnsi="Times New Roman" w:eastAsia="仿宋_GB2312" w:cs="Times New Roman"/>
          <w:color w:val="333333"/>
          <w:kern w:val="0"/>
          <w:sz w:val="32"/>
          <w:szCs w:val="32"/>
        </w:rPr>
        <w:t>31</w:t>
      </w:r>
      <w:r>
        <w:rPr>
          <w:rFonts w:hint="eastAsia" w:ascii="仿宋_GB2312" w:hAnsi="Times New Roman" w:eastAsia="仿宋_GB2312" w:cs="Times New Roman"/>
          <w:color w:val="333333"/>
          <w:kern w:val="0"/>
          <w:sz w:val="32"/>
          <w:szCs w:val="32"/>
        </w:rPr>
        <w:t>日，业务经费</w:t>
      </w:r>
      <w:r>
        <w:rPr>
          <w:rFonts w:ascii="Times New Roman" w:hAnsi="Times New Roman" w:eastAsia="仿宋_GB2312" w:cs="Times New Roman"/>
          <w:color w:val="333333"/>
          <w:kern w:val="0"/>
          <w:sz w:val="32"/>
          <w:szCs w:val="32"/>
        </w:rPr>
        <w:t>1101.86</w:t>
      </w:r>
      <w:r>
        <w:rPr>
          <w:rFonts w:hint="eastAsia" w:ascii="仿宋_GB2312" w:hAnsi="Times New Roman" w:eastAsia="仿宋_GB2312" w:cs="Times New Roman"/>
          <w:color w:val="333333"/>
          <w:kern w:val="0"/>
          <w:sz w:val="32"/>
          <w:szCs w:val="32"/>
        </w:rPr>
        <w:t>万元已全部支出，主要用于支付物业管理费、劳务费、维修费、材料费、委托业务费、设备购置费等，具体详见下表:</w:t>
      </w:r>
    </w:p>
    <w:p>
      <w:pPr>
        <w:widowControl/>
        <w:shd w:val="clear" w:color="auto" w:fill="FFFFFF"/>
        <w:spacing w:line="560" w:lineRule="exact"/>
        <w:ind w:firstLine="480" w:firstLineChars="200"/>
        <w:jc w:val="right"/>
        <w:rPr>
          <w:rFonts w:ascii="仿宋_GB2312" w:hAnsi="Times New Roman" w:eastAsia="仿宋_GB2312" w:cs="Times New Roman"/>
          <w:color w:val="333333"/>
          <w:kern w:val="0"/>
          <w:szCs w:val="24"/>
        </w:rPr>
      </w:pPr>
      <w:r>
        <w:rPr>
          <w:rFonts w:hint="eastAsia" w:ascii="仿宋_GB2312" w:hAnsi="Times New Roman" w:eastAsia="仿宋_GB2312" w:cs="Times New Roman"/>
          <w:color w:val="333333"/>
          <w:kern w:val="0"/>
          <w:sz w:val="24"/>
          <w:szCs w:val="29"/>
        </w:rPr>
        <w:t>单位：元</w:t>
      </w:r>
    </w:p>
    <w:tbl>
      <w:tblPr>
        <w:tblStyle w:val="11"/>
        <w:tblW w:w="8356"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333"/>
        <w:gridCol w:w="2541"/>
        <w:gridCol w:w="2083"/>
        <w:gridCol w:w="1399"/>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项目内容</w:t>
            </w:r>
          </w:p>
        </w:tc>
        <w:tc>
          <w:tcPr>
            <w:tcW w:w="254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年初预算资金安排</w:t>
            </w:r>
          </w:p>
        </w:tc>
        <w:tc>
          <w:tcPr>
            <w:tcW w:w="208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实际支出数</w:t>
            </w:r>
          </w:p>
        </w:tc>
        <w:tc>
          <w:tcPr>
            <w:tcW w:w="1399" w:type="dxa"/>
            <w:tcBorders>
              <w:top w:val="single" w:color="auto" w:sz="4" w:space="0"/>
              <w:left w:val="single" w:color="auto" w:sz="4" w:space="0"/>
              <w:bottom w:val="single" w:color="auto" w:sz="4" w:space="0"/>
              <w:right w:val="single" w:color="000000" w:sz="6" w:space="0"/>
            </w:tcBorders>
            <w:shd w:val="clear" w:color="auto" w:fill="FFFFFF"/>
            <w:vAlign w:val="center"/>
          </w:tcPr>
          <w:p>
            <w:pPr>
              <w:widowControl/>
              <w:spacing w:line="560" w:lineRule="exact"/>
              <w:jc w:val="center"/>
              <w:textAlignment w:val="bottom"/>
              <w:rPr>
                <w:rFonts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预算执行率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center"/>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物业管理费</w:t>
            </w:r>
          </w:p>
        </w:tc>
        <w:tc>
          <w:tcPr>
            <w:tcW w:w="2541"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2616600</w:t>
            </w:r>
          </w:p>
        </w:tc>
        <w:tc>
          <w:tcPr>
            <w:tcW w:w="2083"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2616600</w:t>
            </w:r>
          </w:p>
        </w:tc>
        <w:tc>
          <w:tcPr>
            <w:tcW w:w="1399" w:type="dxa"/>
            <w:vMerge w:val="restart"/>
            <w:tcBorders>
              <w:top w:val="nil"/>
              <w:left w:val="nil"/>
              <w:right w:val="single" w:color="000000" w:sz="6" w:space="0"/>
            </w:tcBorders>
            <w:shd w:val="clear" w:color="auto" w:fill="FFFFFF"/>
            <w:vAlign w:val="center"/>
          </w:tcPr>
          <w:p>
            <w:pPr>
              <w:widowControl/>
              <w:spacing w:line="560" w:lineRule="exact"/>
              <w:jc w:val="center"/>
              <w:textAlignment w:val="bottom"/>
              <w:rPr>
                <w:rFonts w:ascii="仿宋_GB2312"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100%</w:t>
            </w:r>
          </w:p>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center"/>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劳务费</w:t>
            </w:r>
          </w:p>
        </w:tc>
        <w:tc>
          <w:tcPr>
            <w:tcW w:w="2541"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3414000</w:t>
            </w:r>
          </w:p>
        </w:tc>
        <w:tc>
          <w:tcPr>
            <w:tcW w:w="2083" w:type="dxa"/>
            <w:tcBorders>
              <w:top w:val="nil"/>
              <w:left w:val="nil"/>
              <w:bottom w:val="single" w:color="000000" w:sz="6"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3414000</w:t>
            </w:r>
          </w:p>
        </w:tc>
        <w:tc>
          <w:tcPr>
            <w:tcW w:w="1399" w:type="dxa"/>
            <w:vMerge w:val="continue"/>
            <w:tcBorders>
              <w:left w:val="nil"/>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2"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维修费</w:t>
            </w:r>
          </w:p>
        </w:tc>
        <w:tc>
          <w:tcPr>
            <w:tcW w:w="2541" w:type="dxa"/>
            <w:tcBorders>
              <w:top w:val="nil"/>
              <w:left w:val="nil"/>
              <w:bottom w:val="single" w:color="auto" w:sz="4" w:space="0"/>
              <w:right w:val="single" w:color="000000" w:sz="6"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526000</w:t>
            </w:r>
          </w:p>
        </w:tc>
        <w:tc>
          <w:tcPr>
            <w:tcW w:w="2083" w:type="dxa"/>
            <w:tcBorders>
              <w:top w:val="nil"/>
              <w:left w:val="nil"/>
              <w:bottom w:val="single" w:color="auto" w:sz="4" w:space="0"/>
              <w:right w:val="single" w:color="000000" w:sz="6"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526000</w:t>
            </w:r>
          </w:p>
        </w:tc>
        <w:tc>
          <w:tcPr>
            <w:tcW w:w="1399" w:type="dxa"/>
            <w:vMerge w:val="continue"/>
            <w:tcBorders>
              <w:left w:val="nil"/>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委托业务费</w:t>
            </w:r>
          </w:p>
        </w:tc>
        <w:tc>
          <w:tcPr>
            <w:tcW w:w="2541" w:type="dxa"/>
            <w:tcBorders>
              <w:top w:val="single" w:color="auto" w:sz="4" w:space="0"/>
              <w:left w:val="nil"/>
              <w:bottom w:val="single" w:color="auto" w:sz="4" w:space="0"/>
              <w:right w:val="single" w:color="000000" w:sz="6"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3450000</w:t>
            </w:r>
          </w:p>
        </w:tc>
        <w:tc>
          <w:tcPr>
            <w:tcW w:w="2083" w:type="dxa"/>
            <w:tcBorders>
              <w:top w:val="single" w:color="auto" w:sz="4" w:space="0"/>
              <w:left w:val="nil"/>
              <w:bottom w:val="single" w:color="auto" w:sz="4" w:space="0"/>
              <w:right w:val="single" w:color="000000" w:sz="6"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3450000</w:t>
            </w:r>
          </w:p>
        </w:tc>
        <w:tc>
          <w:tcPr>
            <w:tcW w:w="1399" w:type="dxa"/>
            <w:vMerge w:val="continue"/>
            <w:tcBorders>
              <w:left w:val="nil"/>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办公费</w:t>
            </w:r>
          </w:p>
        </w:tc>
        <w:tc>
          <w:tcPr>
            <w:tcW w:w="2541" w:type="dxa"/>
            <w:tcBorders>
              <w:top w:val="single" w:color="auto" w:sz="4" w:space="0"/>
              <w:left w:val="nil"/>
              <w:bottom w:val="single" w:color="auto" w:sz="4"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1012000</w:t>
            </w:r>
          </w:p>
        </w:tc>
        <w:tc>
          <w:tcPr>
            <w:tcW w:w="2083" w:type="dxa"/>
            <w:tcBorders>
              <w:top w:val="single" w:color="auto" w:sz="4" w:space="0"/>
              <w:left w:val="nil"/>
              <w:bottom w:val="single" w:color="auto" w:sz="4" w:space="0"/>
              <w:right w:val="single" w:color="000000" w:sz="6" w:space="0"/>
            </w:tcBorders>
            <w:shd w:val="clear" w:color="auto" w:fill="FFFFFF"/>
            <w:vAlign w:val="center"/>
          </w:tcPr>
          <w:p>
            <w:pPr>
              <w:widowControl/>
              <w:spacing w:line="560" w:lineRule="exact"/>
              <w:jc w:val="center"/>
              <w:textAlignment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000000"/>
                <w:kern w:val="0"/>
                <w:sz w:val="24"/>
                <w:szCs w:val="24"/>
              </w:rPr>
              <w:t>1012000</w:t>
            </w:r>
          </w:p>
        </w:tc>
        <w:tc>
          <w:tcPr>
            <w:tcW w:w="1399" w:type="dxa"/>
            <w:vMerge w:val="continue"/>
            <w:tcBorders>
              <w:left w:val="nil"/>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33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560" w:lineRule="exact"/>
              <w:jc w:val="center"/>
              <w:textAlignment w:val="bottom"/>
              <w:rPr>
                <w:rFonts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合计</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11018600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11018600</w:t>
            </w:r>
          </w:p>
        </w:tc>
        <w:tc>
          <w:tcPr>
            <w:tcW w:w="1399" w:type="dxa"/>
            <w:vMerge w:val="continue"/>
            <w:tcBorders>
              <w:left w:val="nil"/>
              <w:bottom w:val="single" w:color="auto" w:sz="4" w:space="0"/>
              <w:right w:val="single" w:color="000000" w:sz="6" w:space="0"/>
            </w:tcBorders>
            <w:shd w:val="clear" w:color="auto" w:fill="FFFFFF"/>
            <w:vAlign w:val="center"/>
          </w:tcPr>
          <w:p>
            <w:pPr>
              <w:widowControl/>
              <w:spacing w:line="560" w:lineRule="exact"/>
              <w:ind w:firstLine="480" w:firstLineChars="200"/>
              <w:jc w:val="center"/>
              <w:textAlignment w:val="bottom"/>
              <w:rPr>
                <w:rFonts w:ascii="仿宋_GB2312" w:hAnsi="Times New Roman" w:eastAsia="仿宋_GB2312" w:cs="Times New Roman"/>
                <w:color w:val="333333"/>
                <w:kern w:val="0"/>
                <w:sz w:val="24"/>
                <w:szCs w:val="24"/>
                <w:highlight w:val="yellow"/>
              </w:rPr>
            </w:pPr>
          </w:p>
        </w:tc>
      </w:tr>
    </w:tbl>
    <w:p>
      <w:pPr>
        <w:widowControl/>
        <w:shd w:val="clear" w:color="auto" w:fill="FFFFFF"/>
        <w:spacing w:line="560" w:lineRule="exact"/>
        <w:ind w:firstLine="640" w:firstLineChars="200"/>
        <w:jc w:val="left"/>
        <w:outlineLvl w:val="2"/>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4.</w:t>
      </w:r>
      <w:r>
        <w:rPr>
          <w:rFonts w:hint="eastAsia" w:ascii="仿宋_GB2312" w:hAnsi="Times New Roman" w:eastAsia="仿宋_GB2312" w:cs="Times New Roman"/>
          <w:color w:val="333333"/>
          <w:kern w:val="0"/>
          <w:sz w:val="32"/>
          <w:szCs w:val="32"/>
        </w:rPr>
        <w:t xml:space="preserve">项目组织及管理情况 </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Times New Roman" w:eastAsia="仿宋_GB2312" w:cs="Times New Roman"/>
          <w:color w:val="333333"/>
          <w:kern w:val="0"/>
          <w:sz w:val="32"/>
          <w:szCs w:val="32"/>
        </w:rPr>
        <w:t>物业管理费情况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负责八个集中办公区、七个住宅区的卫生保洁、绿化管养工作，该项工作为社会购买服务事项，我单位通过公开招标的方式确定了物业服务公司。按照中标通知及相关的服务合同约定，物业服务费在当月考核合格后按月支付。通过对资金支付申请、付款单据等相关原始资料的检查，本项目资金拨付审批手续完整，支出依据合规，未发现虚列套取、截留、挤占、挪用情况和超标准开支的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Times New Roman" w:eastAsia="仿宋_GB2312" w:cs="Times New Roman"/>
          <w:color w:val="333333"/>
          <w:kern w:val="0"/>
          <w:sz w:val="32"/>
          <w:szCs w:val="32"/>
        </w:rPr>
        <w:t>劳务费情况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负责八个集中办公区、七个住宅区的安全保卫、消防安全工作，该项工作为社会购买服务事项，我单位通过公开招标的方式确定了安保服务公司。按照中标通知及相关的服务合同约定，安保服务费在当月考核合格后按月支付。通过对资金支付申请、付款单据等相关原始资料的检查，本项目资金拨付审批手续完整，支出依据合规，未发现虚列套取、截留、挤占、挪用情况和超标准开支的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Times New Roman" w:eastAsia="仿宋_GB2312" w:cs="Times New Roman"/>
          <w:color w:val="333333"/>
          <w:kern w:val="0"/>
          <w:sz w:val="32"/>
          <w:szCs w:val="32"/>
        </w:rPr>
        <w:t>我单位负责为区委、区政府提供机关食堂、会议服务、车辆管理等服务工作，上述服务事项由政府购买服务的方式管理，我单位通过公开招标的方式确定了服务公司。按照中标通知及相关的服务合同约定，服务费在当月考核合格后按月支付。通过对资金支付申请、付款单据等相关原始资料的检查，本项目资金拨付审批手续完整，支出依据合规，未发现虚列套取、截留、挤占、挪用情况和超标准开支的情况。</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w:t>
      </w:r>
      <w:r>
        <w:rPr>
          <w:rFonts w:hint="eastAsia" w:ascii="Times New Roman" w:hAnsi="Times New Roman" w:eastAsia="仿宋_GB2312" w:cs="Times New Roman"/>
          <w:color w:val="333333"/>
          <w:kern w:val="0"/>
          <w:sz w:val="32"/>
          <w:szCs w:val="32"/>
        </w:rPr>
        <w:t>4</w:t>
      </w:r>
      <w:r>
        <w:rPr>
          <w:rFonts w:ascii="Times New Roman" w:hAnsi="Times New Roman" w:eastAsia="仿宋_GB2312" w:cs="Times New Roman"/>
          <w:color w:val="333333"/>
          <w:kern w:val="0"/>
          <w:sz w:val="32"/>
          <w:szCs w:val="32"/>
        </w:rPr>
        <w:t>）</w:t>
      </w:r>
      <w:r>
        <w:rPr>
          <w:rFonts w:hint="eastAsia" w:ascii="仿宋_GB2312" w:hAnsi="Times New Roman" w:eastAsia="仿宋_GB2312" w:cs="Times New Roman"/>
          <w:color w:val="333333"/>
          <w:kern w:val="0"/>
          <w:sz w:val="32"/>
          <w:szCs w:val="32"/>
        </w:rPr>
        <w:t>项目管理情况分析</w:t>
      </w:r>
    </w:p>
    <w:p>
      <w:pPr>
        <w:widowControl/>
        <w:shd w:val="clear" w:color="auto" w:fill="FFFFFF"/>
        <w:spacing w:line="560" w:lineRule="exact"/>
        <w:ind w:firstLine="640" w:firstLineChars="200"/>
        <w:jc w:val="left"/>
        <w:rPr>
          <w:rFonts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及时支付物业管理费及劳务费，并对支付明细进行核对，确保发放准确，日常办公经费、维修费、材料费等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bookmarkStart w:id="12" w:name="_Toc7744"/>
    </w:p>
    <w:p>
      <w:pPr>
        <w:widowControl/>
        <w:numPr>
          <w:ilvl w:val="0"/>
          <w:numId w:val="3"/>
        </w:numPr>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项目绩效目标</w:t>
      </w:r>
      <w:bookmarkEnd w:id="12"/>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总目标</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为确保区委、区政府后勤服务正常开展，上级机关交办事项办理到位，为各办公区、住宅区提供安全保卫、保洁绿化等物业服务以及机关食堂、会议服务、水电维修、消防、监控等综合后勤管理服务。</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年度目标</w:t>
      </w:r>
    </w:p>
    <w:p>
      <w:pPr>
        <w:widowControl/>
        <w:shd w:val="clear" w:color="auto" w:fill="FFFFFF"/>
        <w:spacing w:line="560" w:lineRule="exact"/>
        <w:ind w:firstLine="640" w:firstLineChars="200"/>
        <w:jc w:val="left"/>
        <w:outlineLvl w:val="0"/>
        <w:rPr>
          <w:rFonts w:ascii="仿宋_GB2312" w:hAnsi="仿宋" w:eastAsia="仿宋_GB2312" w:cs="宋体"/>
          <w:color w:val="333333"/>
          <w:kern w:val="0"/>
          <w:sz w:val="32"/>
          <w:szCs w:val="32"/>
        </w:rPr>
      </w:pPr>
      <w:bookmarkStart w:id="13" w:name="_Toc5146"/>
      <w:r>
        <w:rPr>
          <w:rFonts w:hint="eastAsia" w:ascii="仿宋_GB2312" w:hAnsi="仿宋" w:eastAsia="仿宋_GB2312" w:cs="宋体"/>
          <w:color w:val="333333"/>
          <w:kern w:val="0"/>
          <w:sz w:val="32"/>
          <w:szCs w:val="32"/>
        </w:rPr>
        <w:t>完成八个集中办公区、七个机关住宅区的安全保卫、消防安全工作，全年开展各单位安全知识培训及消防安全演练不少于</w:t>
      </w: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次，重点保障区两会、区委全会、政府全会等重要会议的安保工作，协助维持好信访秩序等；完成八个集中办公区、七个机关住宅区的卫生保洁、绿化管养工作，重点完成重要会议及活动的保洁工作，完成重大节日的绿化氛围营造工作；完成集中办公区工作人员餐饮服务，做好食品留样工作，确保食品安全，全年组织员工健康体检不少于</w:t>
      </w: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次；完成区委、区政府会议服务工作，重点保障好区两会、区委全会、政府全会等重要会议的服务保障工作；完成好办公区、住宅区的水电维修、设备检查等工作，重点做好电梯、发电机等设备的安全保障工作；完成好应急、综合执法、机要通信的车辆保障工作，做好日常保养维护工作，确保行车安全；做好田溪公园管理工作，重点做好公园内绿化管养及卫生保洁工作。</w:t>
      </w:r>
      <w:bookmarkEnd w:id="13"/>
      <w:bookmarkStart w:id="14" w:name="_Toc26845"/>
    </w:p>
    <w:p>
      <w:pPr>
        <w:widowControl/>
        <w:numPr>
          <w:ilvl w:val="0"/>
          <w:numId w:val="4"/>
        </w:numPr>
        <w:shd w:val="clear" w:color="auto" w:fill="FFFFFF"/>
        <w:spacing w:line="560" w:lineRule="exact"/>
        <w:ind w:firstLine="640" w:firstLineChars="200"/>
        <w:jc w:val="left"/>
        <w:outlineLvl w:val="0"/>
        <w:rPr>
          <w:rFonts w:ascii="黑体" w:hAnsi="黑体" w:eastAsia="黑体"/>
          <w:kern w:val="44"/>
          <w:sz w:val="32"/>
          <w:szCs w:val="32"/>
        </w:rPr>
      </w:pPr>
      <w:r>
        <w:rPr>
          <w:rFonts w:hint="eastAsia" w:ascii="黑体" w:hAnsi="黑体" w:eastAsia="黑体"/>
          <w:kern w:val="44"/>
          <w:sz w:val="32"/>
          <w:szCs w:val="32"/>
        </w:rPr>
        <w:t>绩效评价工作情况</w:t>
      </w:r>
      <w:bookmarkEnd w:id="14"/>
      <w:bookmarkStart w:id="15" w:name="_Toc9999"/>
    </w:p>
    <w:p>
      <w:pPr>
        <w:widowControl/>
        <w:shd w:val="clear" w:color="auto" w:fill="FFFFFF"/>
        <w:spacing w:line="560" w:lineRule="exact"/>
        <w:ind w:firstLine="640" w:firstLineChars="200"/>
        <w:jc w:val="left"/>
        <w:outlineLvl w:val="0"/>
        <w:rPr>
          <w:rFonts w:ascii="楷体_GB2312" w:eastAsia="楷体_GB2312" w:hAnsiTheme="majorHAnsi" w:cstheme="majorBidi"/>
          <w:sz w:val="32"/>
          <w:szCs w:val="32"/>
        </w:rPr>
      </w:pPr>
      <w:r>
        <w:rPr>
          <w:rFonts w:hint="eastAsia" w:ascii="楷体_GB2312" w:eastAsia="楷体_GB2312" w:hAnsiTheme="majorHAnsi" w:cstheme="majorBidi"/>
          <w:sz w:val="32"/>
          <w:szCs w:val="32"/>
        </w:rPr>
        <w:t>(一)评价的目的和依据</w:t>
      </w:r>
      <w:bookmarkEnd w:id="15"/>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评价目的</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评价主要依据</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政府部门文件</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_GB2312" w:eastAsia="仿宋_GB2312" w:cs="仿宋_GB2312"/>
          <w:sz w:val="32"/>
          <w:szCs w:val="32"/>
        </w:rPr>
        <w:t>《盘龙区区级部门预算绩效自评管理暂行办法》和《昆明市盘龙区财政局关于开展</w:t>
      </w:r>
      <w:r>
        <w:rPr>
          <w:rFonts w:ascii="Times New Roman" w:hAnsi="Times New Roman" w:eastAsia="仿宋_GB2312" w:cs="Times New Roman"/>
          <w:sz w:val="32"/>
          <w:szCs w:val="32"/>
        </w:rPr>
        <w:t>2021</w:t>
      </w:r>
      <w:r>
        <w:rPr>
          <w:rFonts w:hint="eastAsia" w:ascii="仿宋_GB2312" w:hAnsi="仿宋_GB2312" w:eastAsia="仿宋_GB2312" w:cs="仿宋_GB2312"/>
          <w:sz w:val="32"/>
          <w:szCs w:val="32"/>
        </w:rPr>
        <w:t>年度区级预算支出绩效自评工作的通知》</w:t>
      </w:r>
      <w:r>
        <w:rPr>
          <w:rFonts w:hint="eastAsia" w:ascii="仿宋_GB2312" w:hAnsi="仿宋" w:eastAsia="仿宋_GB2312" w:cs="宋体"/>
          <w:color w:val="333333"/>
          <w:kern w:val="0"/>
          <w:sz w:val="32"/>
          <w:szCs w:val="32"/>
        </w:rPr>
        <w:t>等文件。</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项目资料</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项目预算批复等相关文件，项目相关支出合同等。</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（3）</w:t>
      </w:r>
      <w:r>
        <w:rPr>
          <w:rFonts w:hint="eastAsia" w:ascii="仿宋_GB2312" w:hAnsi="仿宋" w:eastAsia="仿宋_GB2312" w:cs="宋体"/>
          <w:color w:val="333333"/>
          <w:kern w:val="0"/>
          <w:sz w:val="32"/>
          <w:szCs w:val="32"/>
        </w:rPr>
        <w:t>财务资料及相关制度和标准</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pPr>
        <w:widowControl/>
        <w:shd w:val="clear" w:color="auto" w:fill="FFFFFF"/>
        <w:spacing w:line="560" w:lineRule="exact"/>
        <w:ind w:left="638" w:leftChars="304"/>
        <w:jc w:val="left"/>
        <w:outlineLvl w:val="2"/>
        <w:rPr>
          <w:rFonts w:ascii="楷体_GB2312" w:eastAsia="楷体_GB2312" w:hAnsiTheme="majorHAnsi" w:cstheme="majorBidi"/>
          <w:sz w:val="32"/>
          <w:szCs w:val="32"/>
        </w:rPr>
      </w:pPr>
      <w:r>
        <w:rPr>
          <w:rFonts w:hint="eastAsia" w:ascii="仿宋_GB2312" w:hAnsi="仿宋" w:eastAsia="仿宋_GB2312" w:cs="宋体"/>
          <w:color w:val="333333"/>
          <w:kern w:val="0"/>
          <w:sz w:val="32"/>
          <w:szCs w:val="32"/>
        </w:rPr>
        <w:t>《中华人民共和国会计法》《事业单位会计制度》等。</w:t>
      </w:r>
      <w:bookmarkStart w:id="16" w:name="_Toc22709"/>
      <w:r>
        <w:rPr>
          <w:rFonts w:hint="eastAsia" w:ascii="楷体_GB2312" w:eastAsia="楷体_GB2312" w:hAnsiTheme="majorHAnsi" w:cstheme="majorBidi"/>
          <w:sz w:val="32"/>
          <w:szCs w:val="32"/>
        </w:rPr>
        <w:t>（二）绩效评价工作方案制定过程</w:t>
      </w:r>
      <w:bookmarkEnd w:id="16"/>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w:t>
      </w:r>
      <w:r>
        <w:rPr>
          <w:rFonts w:ascii="Times New Roman" w:hAnsi="仿宋_GB2312" w:eastAsia="仿宋_GB2312" w:cs="Times New Roman"/>
          <w:sz w:val="32"/>
          <w:szCs w:val="32"/>
        </w:rPr>
        <w:t>《盘龙区区级部门预算绩效自评管理暂行办法》和《昆明市盘龙区财政局关于开展</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1</w:t>
      </w:r>
      <w:r>
        <w:rPr>
          <w:rFonts w:ascii="Times New Roman" w:hAnsi="仿宋_GB2312" w:eastAsia="仿宋_GB2312" w:cs="Times New Roman"/>
          <w:sz w:val="32"/>
          <w:szCs w:val="32"/>
        </w:rPr>
        <w:t>年度区级预算支出绩效自评工作的通知》</w:t>
      </w:r>
      <w:r>
        <w:rPr>
          <w:rFonts w:ascii="Times New Roman" w:hAnsi="Times New Roman" w:eastAsia="仿宋_GB2312" w:cs="Times New Roman"/>
          <w:color w:val="333333"/>
          <w:kern w:val="0"/>
          <w:sz w:val="32"/>
          <w:szCs w:val="32"/>
        </w:rPr>
        <w:t>进行了认真研究，吃透文件精神，以确保绩效评价工作符合区财政局的相关要求。</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bookmarkStart w:id="17" w:name="_Toc23046"/>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（三）绩效评价原则及评价方法</w:t>
      </w:r>
      <w:bookmarkEnd w:id="17"/>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r>
        <w:rPr>
          <w:rFonts w:hint="eastAsia" w:ascii="Times New Roman" w:hAnsi="Times New Roman" w:eastAsia="仿宋_GB2312" w:cs="Times New Roman"/>
          <w:color w:val="333333"/>
          <w:kern w:val="0"/>
          <w:sz w:val="32"/>
          <w:szCs w:val="32"/>
        </w:rPr>
        <w:t>：</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bookmarkStart w:id="18" w:name="_Toc17021"/>
      <w:r>
        <w:rPr>
          <w:rFonts w:hint="eastAsia" w:ascii="Times New Roman" w:hAnsi="Times New Roman" w:eastAsia="仿宋_GB2312" w:cs="Times New Roman"/>
          <w:color w:val="333333"/>
          <w:kern w:val="0"/>
          <w:sz w:val="32"/>
          <w:szCs w:val="32"/>
        </w:rPr>
        <w:t xml:space="preserve"> </w:t>
      </w:r>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(四) 绩效评价实施过程</w:t>
      </w:r>
      <w:bookmarkEnd w:id="18"/>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年决算资料进行相关数据采集和填报。</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2.社会调查</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根据本项目的具体情况，本单位项目组成员针对本项目设计调查问卷，对本项目受益对象随机发放并收回了50份有效调查问卷，平均得分9分。</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3.数据分析和撰写报告</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bookmarkStart w:id="19" w:name="_Toc30282"/>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（五）绩效评价的局限性</w:t>
      </w:r>
      <w:bookmarkEnd w:id="19"/>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由于该项目为经费类项目，故以本单位实际开展日常工作情况为绩效效果进行考评，且资金管理由本单位进行统一管理。</w:t>
      </w:r>
      <w:bookmarkStart w:id="20" w:name="_Toc15354"/>
    </w:p>
    <w:p>
      <w:pPr>
        <w:widowControl/>
        <w:numPr>
          <w:ilvl w:val="0"/>
          <w:numId w:val="4"/>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评价结论和绩效分析</w:t>
      </w:r>
      <w:bookmarkEnd w:id="20"/>
      <w:bookmarkStart w:id="21" w:name="_Toc3472"/>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(一)评价结论</w:t>
      </w:r>
      <w:bookmarkEnd w:id="21"/>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综上，根据《盘龙区区级部门预算绩效自评管理暂行办法》，项目绩效评价得分为9</w:t>
      </w:r>
      <w:r>
        <w:rPr>
          <w:rFonts w:hint="eastAsia" w:ascii="Times New Roman" w:hAnsi="Times New Roman" w:eastAsia="仿宋_GB2312" w:cs="Times New Roman"/>
          <w:color w:val="333333"/>
          <w:kern w:val="0"/>
          <w:sz w:val="32"/>
          <w:szCs w:val="32"/>
        </w:rPr>
        <w:t>6</w:t>
      </w:r>
      <w:r>
        <w:rPr>
          <w:rFonts w:ascii="Times New Roman" w:hAnsi="Times New Roman" w:eastAsia="仿宋_GB2312" w:cs="Times New Roman"/>
          <w:color w:val="333333"/>
          <w:kern w:val="0"/>
          <w:sz w:val="32"/>
          <w:szCs w:val="32"/>
        </w:rPr>
        <w:t>分，自评结果为优。</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2.主要绩效</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本项目不属于投资建设类项目，主要内容为我单位管理的集中办公区、住宅区的安保、保洁、绿化人员费用及机关食堂、会议服务、水电维修等人员的工资、社保等支出。机关事务管理服务中心202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年度完成工作效益较好，保证了区委、区政府各项工作的顺利开展。</w:t>
      </w:r>
      <w:bookmarkStart w:id="22" w:name="_Toc7949"/>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（二）具体绩效分析</w:t>
      </w:r>
      <w:bookmarkEnd w:id="22"/>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具体详见附件1（业务经费项目支出绩效评价共性指标体系）</w:t>
      </w:r>
      <w:bookmarkStart w:id="23" w:name="_Toc522800820"/>
      <w:bookmarkEnd w:id="23"/>
      <w:r>
        <w:rPr>
          <w:rFonts w:hint="eastAsia" w:ascii="仿宋_GB2312" w:hAnsi="仿宋" w:eastAsia="仿宋_GB2312" w:cs="宋体"/>
          <w:color w:val="333333"/>
          <w:kern w:val="0"/>
          <w:sz w:val="32"/>
          <w:szCs w:val="32"/>
        </w:rPr>
        <w:t>。</w:t>
      </w:r>
      <w:bookmarkStart w:id="24" w:name="_Toc19786"/>
    </w:p>
    <w:p>
      <w:pPr>
        <w:widowControl/>
        <w:numPr>
          <w:ilvl w:val="0"/>
          <w:numId w:val="4"/>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成本效益分析</w:t>
      </w:r>
      <w:bookmarkEnd w:id="24"/>
      <w:bookmarkStart w:id="25" w:name="_Toc31269"/>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（一）项目经济性分析</w:t>
      </w:r>
      <w:bookmarkEnd w:id="25"/>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年部门预算的批复》（盘财〔202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〕1号）下达机关事务管理服务中心202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年“机关后勤服务综合管理费”</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元，本次绩效评价实际到位资金</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元，用于安保、保洁、绿化人员费用及机关食堂、会议服务、水电维修等人员的工资、社保等支出。机关事务管理服务中心相关财务资料显示资金支出</w:t>
      </w:r>
      <w:r>
        <w:rPr>
          <w:rFonts w:hint="eastAsia" w:ascii="Times New Roman" w:hAnsi="Times New Roman" w:eastAsia="仿宋_GB2312" w:cs="Times New Roman"/>
          <w:color w:val="333333"/>
          <w:kern w:val="0"/>
          <w:sz w:val="32"/>
          <w:szCs w:val="32"/>
        </w:rPr>
        <w:t>11018600</w:t>
      </w:r>
      <w:r>
        <w:rPr>
          <w:rFonts w:ascii="Times New Roman" w:hAnsi="Times New Roman" w:eastAsia="仿宋_GB2312" w:cs="Times New Roman"/>
          <w:color w:val="333333"/>
          <w:kern w:val="0"/>
          <w:sz w:val="32"/>
          <w:szCs w:val="32"/>
        </w:rPr>
        <w:t>元，项目资金使用控制在预算范围内。</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w:t>
      </w:r>
      <w:r>
        <w:rPr>
          <w:rFonts w:hint="eastAsia" w:ascii="Times New Roman" w:hAnsi="Times New Roman" w:eastAsia="仿宋_GB2312" w:cs="Times New Roman"/>
          <w:color w:val="333333"/>
          <w:kern w:val="0"/>
          <w:sz w:val="32"/>
          <w:szCs w:val="32"/>
        </w:rPr>
        <w:t>1</w:t>
      </w:r>
      <w:r>
        <w:rPr>
          <w:rFonts w:ascii="Times New Roman" w:hAnsi="Times New Roman" w:eastAsia="仿宋_GB2312" w:cs="Times New Roman"/>
          <w:color w:val="333333"/>
          <w:kern w:val="0"/>
          <w:sz w:val="32"/>
          <w:szCs w:val="32"/>
        </w:rPr>
        <w:t>年12月31日，本单位各项工作均有序进行。</w:t>
      </w:r>
      <w:bookmarkStart w:id="26" w:name="_Toc28106"/>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（二）项目的效益性分析</w:t>
      </w:r>
      <w:bookmarkEnd w:id="26"/>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机关各办公区、住宅区保安、绿化、维护管理是一项后勤保障工作，其直接和间接的经济效益难以计算。在本项目的实施过程中，其直接和间接的经济效益主要体现在以下几个方面：</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）盘龙区机关事务管理服务中心的保安、保洁、绿化</w:t>
      </w:r>
      <w:r>
        <w:rPr>
          <w:rFonts w:hint="eastAsia" w:ascii="Times New Roman" w:hAnsi="仿宋_GB2312" w:eastAsia="仿宋_GB2312" w:cs="Times New Roman"/>
          <w:sz w:val="32"/>
          <w:szCs w:val="32"/>
        </w:rPr>
        <w:t>、餐饮服务、会议服务、车队驾驶员服务费等</w:t>
      </w:r>
      <w:r>
        <w:rPr>
          <w:rFonts w:ascii="Times New Roman" w:hAnsi="仿宋_GB2312" w:eastAsia="仿宋_GB2312" w:cs="Times New Roman"/>
          <w:sz w:val="32"/>
          <w:szCs w:val="32"/>
        </w:rPr>
        <w:t>采取购买服务的方式，聘请专业的保安公司及物业公司。通过公司完善的用人管理模式和业务管理模式，最大限度地降低机关事务</w:t>
      </w:r>
      <w:r>
        <w:rPr>
          <w:rFonts w:hint="eastAsia" w:ascii="Times New Roman" w:hAnsi="仿宋_GB2312" w:eastAsia="仿宋_GB2312" w:cs="Times New Roman"/>
          <w:sz w:val="32"/>
          <w:szCs w:val="32"/>
        </w:rPr>
        <w:t>管理服务中心</w:t>
      </w:r>
      <w:r>
        <w:rPr>
          <w:rFonts w:ascii="Times New Roman" w:hAnsi="仿宋_GB2312" w:eastAsia="仿宋_GB2312" w:cs="Times New Roman"/>
          <w:sz w:val="32"/>
          <w:szCs w:val="32"/>
        </w:rPr>
        <w:t>人力资源利用成本和风险。如：工资薪酬的发放、社会保险的代收代缴、合同的签订、续订和解除，相关问题和争议的处理、日常一系列的人事管理等全部由专业公司负责。这样机关事务</w:t>
      </w:r>
      <w:r>
        <w:rPr>
          <w:rFonts w:hint="eastAsia" w:ascii="Times New Roman" w:hAnsi="仿宋_GB2312" w:eastAsia="仿宋_GB2312" w:cs="Times New Roman"/>
          <w:sz w:val="32"/>
          <w:szCs w:val="32"/>
        </w:rPr>
        <w:t>管理服务中心</w:t>
      </w:r>
      <w:r>
        <w:rPr>
          <w:rFonts w:ascii="Times New Roman" w:hAnsi="仿宋_GB2312" w:eastAsia="仿宋_GB2312" w:cs="Times New Roman"/>
          <w:sz w:val="32"/>
          <w:szCs w:val="32"/>
        </w:rPr>
        <w:t>不但提高了管理服务水平，还有效地降低人员运行成本。</w:t>
      </w:r>
    </w:p>
    <w:p>
      <w:pPr>
        <w:spacing w:line="560" w:lineRule="exact"/>
        <w:ind w:firstLine="640" w:firstLineChars="200"/>
        <w:rPr>
          <w:rFonts w:ascii="Times New Roman" w:hAnsi="Times New Roman" w:eastAsia="仿宋_GB2312" w:cs="Times New Roman"/>
          <w:color w:val="333333"/>
          <w:kern w:val="0"/>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）盘龙区政府机关办公楼的日常维护在施工过程中均加强了对工程投资成本的控制，聘请工程造价公司对工程结算进行了审核，节约了部分工程成本。</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机关各办公区、住宅区保安、绿化、维护管理工作是区委、区政府各项工作正常运行的重要保障，社会效益主要体现在以下几方面：</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有效的保安工作是单位各项工作得以正常运行的必要条件。保安是保护国家和人民的财产及人身安全，维护单位的正常治安秩序。保安工作做好了，就能有效的预防事故和案件的发生，减少和消除事故、案件对单位各项工作的干扰和破坏，维护工作、会议等活动的有序开展，为机关单位创造一个安全、有序的办公环境。</w:t>
      </w:r>
    </w:p>
    <w:p>
      <w:pPr>
        <w:spacing w:line="560" w:lineRule="exact"/>
        <w:ind w:firstLine="640" w:firstLineChars="200"/>
        <w:rPr>
          <w:rFonts w:ascii="Times New Roman" w:hAnsi="仿宋_GB2312"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）提升了工作环境品位，为办公人员提供清洁、优美、舒适、安全的生活和工作环境。实施专业化物业保洁、绿化，可以营造和维持整洁优美、方便舒适、安全健康的办公环境及居住环境。</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3</w:t>
      </w:r>
      <w:r>
        <w:rPr>
          <w:rFonts w:ascii="Times New Roman" w:hAnsi="仿宋_GB2312" w:eastAsia="仿宋_GB2312" w:cs="Times New Roman"/>
          <w:sz w:val="32"/>
          <w:szCs w:val="32"/>
        </w:rPr>
        <w:t>）加强对办公楼管理维护有利于维护政府办公楼的整体形象，还可以延长房屋的物理寿命，排除安全隐患。良好的办公楼管理维护能够延长房屋的物理寿命，降低办公楼的物理损耗速度，避免了办公楼使用价值的超前损耗，起到了保值、增值的作用。另外，优秀的办公楼管理维护还使得物业的设备及功能等始终保持着与社会发展的同步性，延长了房屋的经济寿命。</w:t>
      </w:r>
    </w:p>
    <w:p>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4</w:t>
      </w:r>
      <w:r>
        <w:rPr>
          <w:rFonts w:ascii="Times New Roman" w:hAnsi="仿宋_GB2312" w:eastAsia="仿宋_GB2312" w:cs="Times New Roman"/>
          <w:sz w:val="32"/>
          <w:szCs w:val="32"/>
        </w:rPr>
        <w:t>）机关后勤保障工作有利于增加就业。后勤保障工作就业容量大</w:t>
      </w:r>
      <w:r>
        <w:rPr>
          <w:rFonts w:ascii="Times New Roman" w:hAnsi="Times New Roman" w:eastAsia="仿宋_GB2312" w:cs="Times New Roman"/>
          <w:sz w:val="32"/>
          <w:szCs w:val="32"/>
        </w:rPr>
        <w:t>,</w:t>
      </w:r>
      <w:r>
        <w:rPr>
          <w:rFonts w:ascii="Times New Roman" w:hAnsi="仿宋_GB2312" w:eastAsia="仿宋_GB2312" w:cs="Times New Roman"/>
          <w:sz w:val="32"/>
          <w:szCs w:val="32"/>
        </w:rPr>
        <w:t>对扩大就业具有重要作用。目前</w:t>
      </w:r>
      <w:r>
        <w:rPr>
          <w:rFonts w:ascii="Times New Roman" w:hAnsi="Times New Roman" w:eastAsia="仿宋_GB2312" w:cs="Times New Roman"/>
          <w:sz w:val="32"/>
          <w:szCs w:val="32"/>
        </w:rPr>
        <w:t xml:space="preserve">, </w:t>
      </w:r>
      <w:r>
        <w:rPr>
          <w:rFonts w:ascii="Times New Roman" w:hAnsi="仿宋_GB2312" w:eastAsia="仿宋_GB2312" w:cs="Times New Roman"/>
          <w:sz w:val="32"/>
          <w:szCs w:val="32"/>
        </w:rPr>
        <w:t>后勤保障工作吸纳的劳动力中大部分来自</w:t>
      </w:r>
      <w:r>
        <w:rPr>
          <w:rFonts w:hint="eastAsia" w:ascii="Times New Roman" w:hAnsi="仿宋_GB2312" w:eastAsia="仿宋_GB2312" w:cs="Times New Roman"/>
          <w:sz w:val="32"/>
          <w:szCs w:val="32"/>
        </w:rPr>
        <w:t>水源区搬迁群众、</w:t>
      </w:r>
      <w:r>
        <w:rPr>
          <w:rFonts w:ascii="Times New Roman" w:hAnsi="仿宋_GB2312" w:eastAsia="仿宋_GB2312" w:cs="Times New Roman"/>
          <w:sz w:val="32"/>
          <w:szCs w:val="32"/>
        </w:rPr>
        <w:t>农村剩余劳动力及部队复转军人等</w:t>
      </w:r>
      <w:r>
        <w:rPr>
          <w:rFonts w:ascii="Times New Roman" w:hAnsi="Times New Roman" w:eastAsia="仿宋_GB2312" w:cs="Times New Roman"/>
          <w:sz w:val="32"/>
          <w:szCs w:val="32"/>
        </w:rPr>
        <w:t>,</w:t>
      </w:r>
      <w:r>
        <w:rPr>
          <w:rFonts w:ascii="Times New Roman" w:hAnsi="仿宋_GB2312" w:eastAsia="仿宋_GB2312" w:cs="Times New Roman"/>
          <w:sz w:val="32"/>
          <w:szCs w:val="32"/>
        </w:rPr>
        <w:t>对于缓解农村剩余劳动力向非农产业的转移和产业结构调整中的就业矛盾作出了重要贡献，对增加就业将起到积极的推动作用。</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3.可持续影响</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的实施，促进了区委、区政府各项事业健康有序发展，保障了区委、区政府工作的延续性。发挥了党政机关在平安建设、环境美化、食品安全、文明交通、促进就业等方面的示范带头作用，为社会各界作出了表率。通过积极探索，不断优化政府购买服务的流程、模式等，为建设节约型政府及节约型社会奠定了基础。</w:t>
      </w:r>
      <w:bookmarkStart w:id="27" w:name="_Toc364"/>
    </w:p>
    <w:p>
      <w:pPr>
        <w:widowControl/>
        <w:numPr>
          <w:ilvl w:val="0"/>
          <w:numId w:val="4"/>
        </w:numPr>
        <w:shd w:val="clear" w:color="auto" w:fill="FFFFFF"/>
        <w:spacing w:line="560" w:lineRule="exact"/>
        <w:ind w:firstLine="640" w:firstLineChars="200"/>
        <w:jc w:val="left"/>
        <w:outlineLvl w:val="2"/>
        <w:rPr>
          <w:rFonts w:ascii="黑体" w:hAnsi="黑体" w:eastAsia="黑体"/>
          <w:kern w:val="44"/>
          <w:sz w:val="32"/>
          <w:szCs w:val="32"/>
        </w:rPr>
      </w:pPr>
      <w:r>
        <w:rPr>
          <w:rFonts w:hint="eastAsia" w:ascii="黑体" w:hAnsi="黑体" w:eastAsia="黑体"/>
          <w:kern w:val="44"/>
          <w:sz w:val="32"/>
          <w:szCs w:val="32"/>
        </w:rPr>
        <w:t>项目主要经验及做法、存在的问题和建议</w:t>
      </w:r>
      <w:bookmarkEnd w:id="27"/>
      <w:bookmarkStart w:id="28" w:name="_Toc9030"/>
    </w:p>
    <w:p>
      <w:pPr>
        <w:widowControl/>
        <w:shd w:val="clear" w:color="auto" w:fill="FFFFFF"/>
        <w:spacing w:line="560" w:lineRule="exact"/>
        <w:ind w:firstLine="640" w:firstLineChars="200"/>
        <w:jc w:val="left"/>
        <w:outlineLvl w:val="2"/>
        <w:rPr>
          <w:rFonts w:ascii="楷体_GB2312" w:eastAsia="楷体_GB2312" w:hAnsiTheme="majorHAnsi" w:cstheme="majorBidi"/>
          <w:sz w:val="32"/>
          <w:szCs w:val="32"/>
        </w:rPr>
      </w:pPr>
      <w:r>
        <w:rPr>
          <w:rFonts w:hint="eastAsia" w:ascii="楷体_GB2312" w:eastAsia="楷体_GB2312" w:hAnsiTheme="majorHAnsi" w:cstheme="majorBidi"/>
          <w:sz w:val="32"/>
          <w:szCs w:val="32"/>
        </w:rPr>
        <w:t>（一）主要经验及做法</w:t>
      </w:r>
      <w:bookmarkEnd w:id="28"/>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认真学习财政部《关于推进预算绩效管理的指导意见》（财预〔2014〕416号）、《云南省省级部门财政支出绩效办法》（云财预〔2016〕98号）、《盘龙区区级部门预算绩效自评管理暂行办法》、</w:t>
      </w:r>
      <w:r>
        <w:rPr>
          <w:rFonts w:ascii="Times New Roman" w:hAnsi="仿宋_GB2312" w:eastAsia="仿宋_GB2312" w:cs="Times New Roman"/>
          <w:sz w:val="32"/>
          <w:szCs w:val="32"/>
        </w:rPr>
        <w:t>《昆明市盘龙区财政局关于开展</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1</w:t>
      </w:r>
      <w:r>
        <w:rPr>
          <w:rFonts w:ascii="Times New Roman" w:hAnsi="仿宋_GB2312" w:eastAsia="仿宋_GB2312" w:cs="Times New Roman"/>
          <w:sz w:val="32"/>
          <w:szCs w:val="32"/>
        </w:rPr>
        <w:t>年度区级预算支出绩效自评工作的通知》</w:t>
      </w:r>
      <w:r>
        <w:rPr>
          <w:rFonts w:ascii="Times New Roman" w:hAnsi="Times New Roman" w:eastAsia="仿宋_GB2312" w:cs="Times New Roman"/>
          <w:color w:val="333333"/>
          <w:kern w:val="0"/>
          <w:sz w:val="32"/>
          <w:szCs w:val="32"/>
        </w:rPr>
        <w:t>相关绩效管理文件，吃透文件精神，强化绩效管理的理念。</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bookmarkStart w:id="29" w:name="_Toc28194"/>
      <w:bookmarkStart w:id="30" w:name="_（二）存在的问题_1"/>
    </w:p>
    <w:p>
      <w:pPr>
        <w:widowControl/>
        <w:shd w:val="clear" w:color="auto" w:fill="FFFFFF"/>
        <w:spacing w:line="560" w:lineRule="exact"/>
        <w:ind w:firstLine="420" w:firstLineChars="200"/>
        <w:jc w:val="left"/>
        <w:outlineLvl w:val="2"/>
        <w:rPr>
          <w:rFonts w:ascii="楷体_GB2312" w:eastAsia="楷体_GB2312" w:hAnsiTheme="majorHAnsi" w:cstheme="majorBidi"/>
          <w:sz w:val="32"/>
          <w:szCs w:val="32"/>
        </w:rPr>
      </w:pPr>
      <w:r>
        <w:fldChar w:fldCharType="begin"/>
      </w:r>
      <w:r>
        <w:instrText xml:space="preserve"> HYPERLINK \l "_（二）存在的问题_1" </w:instrText>
      </w:r>
      <w:r>
        <w:fldChar w:fldCharType="separate"/>
      </w:r>
      <w:r>
        <w:rPr>
          <w:rStyle w:val="14"/>
          <w:rFonts w:hint="eastAsia" w:ascii="楷体_GB2312" w:eastAsia="楷体_GB2312" w:hAnsiTheme="majorHAnsi" w:cstheme="majorBidi"/>
          <w:color w:val="auto"/>
          <w:sz w:val="32"/>
          <w:szCs w:val="32"/>
          <w:u w:val="none"/>
        </w:rPr>
        <w:t>（二）存在的问题</w:t>
      </w:r>
      <w:r>
        <w:rPr>
          <w:rStyle w:val="14"/>
          <w:rFonts w:hint="eastAsia" w:ascii="楷体_GB2312" w:eastAsia="楷体_GB2312" w:hAnsiTheme="majorHAnsi" w:cstheme="majorBidi"/>
          <w:color w:val="auto"/>
          <w:sz w:val="32"/>
          <w:szCs w:val="32"/>
          <w:u w:val="none"/>
        </w:rPr>
        <w:fldChar w:fldCharType="end"/>
      </w:r>
      <w:bookmarkEnd w:id="29"/>
    </w:p>
    <w:bookmarkEnd w:id="30"/>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机关后勤服务综合管理费主要用于保安、保洁及其他劳务派遣人员的工资等费用支出，目前我单位对这些人员和服务的监管相对薄弱，考核评价体系及相应制度有待进一步完善。</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为避免工作中出现矛盾，大部分人员的工资水平差距不大，致使部分人员的薪资水平与社会平均工资差异较大，使得这部分人工作积极性难以提高。</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Times New Roman" w:hAnsi="Times New Roman" w:eastAsia="仿宋_GB2312" w:cs="Times New Roman"/>
          <w:color w:val="333333"/>
          <w:kern w:val="0"/>
          <w:sz w:val="32"/>
          <w:szCs w:val="32"/>
        </w:rPr>
        <w:t>3</w:t>
      </w:r>
      <w:r>
        <w:rPr>
          <w:rFonts w:ascii="Times New Roman" w:hAnsi="Times New Roman" w:eastAsia="仿宋_GB2312" w:cs="Times New Roman"/>
          <w:color w:val="333333"/>
          <w:kern w:val="0"/>
          <w:sz w:val="32"/>
          <w:szCs w:val="32"/>
        </w:rPr>
        <w:t>.</w:t>
      </w:r>
      <w:r>
        <w:rPr>
          <w:rFonts w:hint="eastAsia" w:ascii="仿宋_GB2312" w:hAnsi="仿宋" w:eastAsia="仿宋_GB2312" w:cs="宋体"/>
          <w:color w:val="333333"/>
          <w:kern w:val="0"/>
          <w:sz w:val="32"/>
          <w:szCs w:val="32"/>
        </w:rPr>
        <w:t>因种种特殊原因，向社会购买服务的范围有待进一步扩大。</w:t>
      </w:r>
      <w:bookmarkStart w:id="31" w:name="_Toc26689"/>
    </w:p>
    <w:p>
      <w:pPr>
        <w:widowControl/>
        <w:shd w:val="clear" w:color="auto" w:fill="FFFFFF"/>
        <w:spacing w:line="560" w:lineRule="exact"/>
        <w:ind w:firstLine="640" w:firstLineChars="200"/>
        <w:jc w:val="left"/>
        <w:rPr>
          <w:rFonts w:ascii="楷体_GB2312" w:eastAsia="楷体_GB2312" w:hAnsiTheme="majorHAnsi" w:cstheme="majorBidi"/>
          <w:sz w:val="32"/>
          <w:szCs w:val="32"/>
        </w:rPr>
      </w:pPr>
      <w:r>
        <w:rPr>
          <w:rFonts w:hint="eastAsia" w:ascii="楷体_GB2312" w:eastAsia="楷体_GB2312" w:hAnsiTheme="majorHAnsi" w:cstheme="majorBidi"/>
          <w:sz w:val="32"/>
          <w:szCs w:val="32"/>
        </w:rPr>
        <w:t>（三）建议和改进措施</w:t>
      </w:r>
      <w:bookmarkEnd w:id="31"/>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1.</w:t>
      </w:r>
      <w:r>
        <w:rPr>
          <w:rFonts w:hint="eastAsia" w:ascii="仿宋_GB2312" w:hAnsi="仿宋" w:eastAsia="仿宋_GB2312" w:cs="宋体"/>
          <w:color w:val="333333"/>
          <w:kern w:val="0"/>
          <w:sz w:val="32"/>
          <w:szCs w:val="32"/>
        </w:rPr>
        <w:t>根据不同的服务内容，制定更加科学、合理、细致的考核评价体系，强化对各类服务人员的日常监管，切实提高服务水平。</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ascii="Times New Roman" w:hAnsi="Times New Roman" w:eastAsia="仿宋_GB2312" w:cs="Times New Roman"/>
          <w:color w:val="333333"/>
          <w:kern w:val="0"/>
          <w:sz w:val="32"/>
          <w:szCs w:val="32"/>
        </w:rPr>
        <w:t>2.</w:t>
      </w:r>
      <w:r>
        <w:rPr>
          <w:rFonts w:hint="eastAsia" w:ascii="仿宋_GB2312" w:hAnsi="仿宋" w:eastAsia="仿宋_GB2312" w:cs="宋体"/>
          <w:color w:val="333333"/>
          <w:kern w:val="0"/>
          <w:sz w:val="32"/>
          <w:szCs w:val="32"/>
        </w:rPr>
        <w:t>根据不同工作岗位的重要性、工作量、专业技术水平等，制定更加合理的薪资标准，不断激励并倡导所有人员不断学习进步。</w:t>
      </w:r>
    </w:p>
    <w:p>
      <w:pPr>
        <w:widowControl/>
        <w:shd w:val="clear" w:color="auto" w:fill="FFFFFF"/>
        <w:spacing w:line="560" w:lineRule="exact"/>
        <w:ind w:firstLine="640" w:firstLineChars="200"/>
        <w:jc w:val="left"/>
        <w:rPr>
          <w:rFonts w:ascii="仿宋_GB2312" w:hAnsi="仿宋" w:eastAsia="仿宋_GB2312" w:cs="宋体"/>
          <w:color w:val="333333"/>
          <w:kern w:val="0"/>
          <w:sz w:val="32"/>
          <w:szCs w:val="32"/>
        </w:rPr>
      </w:pPr>
      <w:r>
        <w:rPr>
          <w:rFonts w:hint="eastAsia" w:ascii="Times New Roman" w:hAnsi="Times New Roman" w:eastAsia="仿宋_GB2312" w:cs="Times New Roman"/>
          <w:color w:val="333333"/>
          <w:kern w:val="0"/>
          <w:sz w:val="32"/>
          <w:szCs w:val="32"/>
        </w:rPr>
        <w:t>3</w:t>
      </w:r>
      <w:r>
        <w:rPr>
          <w:rFonts w:ascii="Times New Roman" w:hAnsi="Times New Roman" w:eastAsia="仿宋_GB2312" w:cs="Times New Roman"/>
          <w:color w:val="333333"/>
          <w:kern w:val="0"/>
          <w:sz w:val="32"/>
          <w:szCs w:val="32"/>
        </w:rPr>
        <w:t>.</w:t>
      </w:r>
      <w:r>
        <w:rPr>
          <w:rFonts w:hint="eastAsia" w:ascii="仿宋_GB2312" w:hAnsi="仿宋" w:eastAsia="仿宋_GB2312" w:cs="宋体"/>
          <w:color w:val="333333"/>
          <w:kern w:val="0"/>
          <w:sz w:val="32"/>
          <w:szCs w:val="32"/>
        </w:rPr>
        <w:t>积极探索向社会购买服务的模式，继续扩大机关后勤服务社会化程度，由服务提供者向监管者转变。</w:t>
      </w:r>
    </w:p>
    <w:p>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2056" o:spid="_x0000_s2056"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05E05A"/>
    <w:multiLevelType w:val="singleLevel"/>
    <w:tmpl w:val="D705E05A"/>
    <w:lvl w:ilvl="0" w:tentative="0">
      <w:start w:val="1"/>
      <w:numFmt w:val="chineseCounting"/>
      <w:suff w:val="nothing"/>
      <w:lvlText w:val="%1、"/>
      <w:lvlJc w:val="left"/>
      <w:rPr>
        <w:rFonts w:hint="eastAsia"/>
      </w:rPr>
    </w:lvl>
  </w:abstractNum>
  <w:abstractNum w:abstractNumId="1">
    <w:nsid w:val="DC2FE2F3"/>
    <w:multiLevelType w:val="singleLevel"/>
    <w:tmpl w:val="DC2FE2F3"/>
    <w:lvl w:ilvl="0" w:tentative="0">
      <w:start w:val="2"/>
      <w:numFmt w:val="decimal"/>
      <w:suff w:val="nothing"/>
      <w:lvlText w:val="（%1）"/>
      <w:lvlJc w:val="left"/>
      <w:rPr>
        <w:rFonts w:hint="default" w:ascii="Times New Roman" w:hAnsi="Times New Roman" w:cs="Times New Roman"/>
      </w:rPr>
    </w:lvl>
  </w:abstractNum>
  <w:abstractNum w:abstractNumId="2">
    <w:nsid w:val="31F5B582"/>
    <w:multiLevelType w:val="singleLevel"/>
    <w:tmpl w:val="31F5B582"/>
    <w:lvl w:ilvl="0" w:tentative="0">
      <w:start w:val="1"/>
      <w:numFmt w:val="chineseCounting"/>
      <w:suff w:val="nothing"/>
      <w:lvlText w:val="%1、"/>
      <w:lvlJc w:val="left"/>
      <w:rPr>
        <w:rFonts w:hint="eastAsia"/>
      </w:rPr>
    </w:lvl>
  </w:abstractNum>
  <w:abstractNum w:abstractNumId="3">
    <w:nsid w:val="5D52352A"/>
    <w:multiLevelType w:val="singleLevel"/>
    <w:tmpl w:val="5D52352A"/>
    <w:lvl w:ilvl="0" w:tentative="0">
      <w:start w:val="2"/>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641D6"/>
    <w:rsid w:val="000067C5"/>
    <w:rsid w:val="00016188"/>
    <w:rsid w:val="0003079A"/>
    <w:rsid w:val="00052DD1"/>
    <w:rsid w:val="00064085"/>
    <w:rsid w:val="00065FAB"/>
    <w:rsid w:val="000A189D"/>
    <w:rsid w:val="000C23F4"/>
    <w:rsid w:val="000D4284"/>
    <w:rsid w:val="000E03E5"/>
    <w:rsid w:val="00125208"/>
    <w:rsid w:val="00125431"/>
    <w:rsid w:val="00126F57"/>
    <w:rsid w:val="0013320E"/>
    <w:rsid w:val="00161615"/>
    <w:rsid w:val="00176E0C"/>
    <w:rsid w:val="0017797D"/>
    <w:rsid w:val="001A07AF"/>
    <w:rsid w:val="001B7840"/>
    <w:rsid w:val="001D7066"/>
    <w:rsid w:val="001E6CD3"/>
    <w:rsid w:val="002057B2"/>
    <w:rsid w:val="002801AE"/>
    <w:rsid w:val="002A7442"/>
    <w:rsid w:val="002E12C6"/>
    <w:rsid w:val="003033E8"/>
    <w:rsid w:val="00370834"/>
    <w:rsid w:val="003759C8"/>
    <w:rsid w:val="00382F35"/>
    <w:rsid w:val="003A6B1A"/>
    <w:rsid w:val="00404B4C"/>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50121"/>
    <w:rsid w:val="0075317D"/>
    <w:rsid w:val="00753A9C"/>
    <w:rsid w:val="00797B22"/>
    <w:rsid w:val="007A2583"/>
    <w:rsid w:val="007A54AC"/>
    <w:rsid w:val="007C61D5"/>
    <w:rsid w:val="007F12BD"/>
    <w:rsid w:val="007F16C0"/>
    <w:rsid w:val="007F2B86"/>
    <w:rsid w:val="007F4380"/>
    <w:rsid w:val="00800142"/>
    <w:rsid w:val="00820FF4"/>
    <w:rsid w:val="0084602A"/>
    <w:rsid w:val="00862191"/>
    <w:rsid w:val="00874737"/>
    <w:rsid w:val="008A1F73"/>
    <w:rsid w:val="008C57A2"/>
    <w:rsid w:val="008E639C"/>
    <w:rsid w:val="008F235D"/>
    <w:rsid w:val="00912263"/>
    <w:rsid w:val="0093757A"/>
    <w:rsid w:val="009647CC"/>
    <w:rsid w:val="009845E8"/>
    <w:rsid w:val="00A079AD"/>
    <w:rsid w:val="00A169DA"/>
    <w:rsid w:val="00A246C6"/>
    <w:rsid w:val="00A340FE"/>
    <w:rsid w:val="00A53BF3"/>
    <w:rsid w:val="00A55682"/>
    <w:rsid w:val="00A766EB"/>
    <w:rsid w:val="00AA0784"/>
    <w:rsid w:val="00AA121B"/>
    <w:rsid w:val="00B119F6"/>
    <w:rsid w:val="00B756D2"/>
    <w:rsid w:val="00B90055"/>
    <w:rsid w:val="00BB42A4"/>
    <w:rsid w:val="00BC16C8"/>
    <w:rsid w:val="00BD3A6A"/>
    <w:rsid w:val="00BE5D8B"/>
    <w:rsid w:val="00C331EC"/>
    <w:rsid w:val="00C52C64"/>
    <w:rsid w:val="00CA1539"/>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B6335"/>
    <w:rsid w:val="00EF2A7D"/>
    <w:rsid w:val="00F27E3A"/>
    <w:rsid w:val="00F46785"/>
    <w:rsid w:val="00F65B66"/>
    <w:rsid w:val="00F722B8"/>
    <w:rsid w:val="00FC6E77"/>
    <w:rsid w:val="00FF14B8"/>
    <w:rsid w:val="01483505"/>
    <w:rsid w:val="02D23897"/>
    <w:rsid w:val="06965518"/>
    <w:rsid w:val="07F04F9A"/>
    <w:rsid w:val="097974C6"/>
    <w:rsid w:val="09E5197D"/>
    <w:rsid w:val="0B404BEE"/>
    <w:rsid w:val="0BA06440"/>
    <w:rsid w:val="0CA674F8"/>
    <w:rsid w:val="0ED10E41"/>
    <w:rsid w:val="0F004637"/>
    <w:rsid w:val="0FFC6E1B"/>
    <w:rsid w:val="136C1CD5"/>
    <w:rsid w:val="137A131F"/>
    <w:rsid w:val="1A625BCD"/>
    <w:rsid w:val="208E5B92"/>
    <w:rsid w:val="23DA27E5"/>
    <w:rsid w:val="2737138A"/>
    <w:rsid w:val="27925635"/>
    <w:rsid w:val="29D46115"/>
    <w:rsid w:val="2A77636F"/>
    <w:rsid w:val="2B351D79"/>
    <w:rsid w:val="2CB36BB7"/>
    <w:rsid w:val="2D8424A9"/>
    <w:rsid w:val="2E400984"/>
    <w:rsid w:val="2E647F5B"/>
    <w:rsid w:val="31631F13"/>
    <w:rsid w:val="336B279D"/>
    <w:rsid w:val="352B17C6"/>
    <w:rsid w:val="36DD1220"/>
    <w:rsid w:val="37BF6CF4"/>
    <w:rsid w:val="38C41239"/>
    <w:rsid w:val="3D5849ED"/>
    <w:rsid w:val="3F6F6360"/>
    <w:rsid w:val="400055F8"/>
    <w:rsid w:val="40291366"/>
    <w:rsid w:val="40DD7EE2"/>
    <w:rsid w:val="42183AD3"/>
    <w:rsid w:val="422635D8"/>
    <w:rsid w:val="42AC6394"/>
    <w:rsid w:val="42B94498"/>
    <w:rsid w:val="44854A8D"/>
    <w:rsid w:val="44A21A1B"/>
    <w:rsid w:val="46B6177C"/>
    <w:rsid w:val="47305AF0"/>
    <w:rsid w:val="473A651E"/>
    <w:rsid w:val="47A51F24"/>
    <w:rsid w:val="49755782"/>
    <w:rsid w:val="4A1F2AFD"/>
    <w:rsid w:val="4A1F7D85"/>
    <w:rsid w:val="4A8C4597"/>
    <w:rsid w:val="4DB13B20"/>
    <w:rsid w:val="4DE90284"/>
    <w:rsid w:val="4F64691C"/>
    <w:rsid w:val="509D11B7"/>
    <w:rsid w:val="51D1285D"/>
    <w:rsid w:val="51ED37B4"/>
    <w:rsid w:val="525C1593"/>
    <w:rsid w:val="56BD287A"/>
    <w:rsid w:val="5C522226"/>
    <w:rsid w:val="5E51338C"/>
    <w:rsid w:val="5F28567D"/>
    <w:rsid w:val="60BE3BD6"/>
    <w:rsid w:val="6367177A"/>
    <w:rsid w:val="65676B4D"/>
    <w:rsid w:val="658E5C27"/>
    <w:rsid w:val="678D63A1"/>
    <w:rsid w:val="6AE22D92"/>
    <w:rsid w:val="6E24286C"/>
    <w:rsid w:val="6F4A095B"/>
    <w:rsid w:val="6F6C5AB7"/>
    <w:rsid w:val="6FD72083"/>
    <w:rsid w:val="70362C9B"/>
    <w:rsid w:val="710A032F"/>
    <w:rsid w:val="715D42E6"/>
    <w:rsid w:val="74184B06"/>
    <w:rsid w:val="772B7CE5"/>
    <w:rsid w:val="77384AC5"/>
    <w:rsid w:val="774A25F1"/>
    <w:rsid w:val="793768CA"/>
    <w:rsid w:val="7B7B5C69"/>
    <w:rsid w:val="7BB33C55"/>
    <w:rsid w:val="7D9D1A39"/>
    <w:rsid w:val="7DB224DB"/>
    <w:rsid w:val="7DB2537A"/>
    <w:rsid w:val="7EB86F1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5"/>
        <o:r id="V:Rule2" type="connector" idref="#直接箭头连接符 1"/>
        <o:r id="V:Rule3" type="connector" idref="#直接箭头连接符 2"/>
        <o:r id="V:Rule4" type="connector" idref="#直接箭头连接符 3"/>
        <o:r id="V:Rule5" type="connector" idref="#直接箭头连接符 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6"/>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7"/>
    <w:qFormat/>
    <w:uiPriority w:val="9"/>
    <w:pPr>
      <w:widowControl/>
      <w:jc w:val="left"/>
      <w:outlineLvl w:val="2"/>
    </w:pPr>
    <w:rPr>
      <w:rFonts w:ascii="宋体" w:hAnsi="宋体" w:eastAsia="宋体" w:cs="宋体"/>
      <w:b/>
      <w:bCs/>
      <w:kern w:val="0"/>
      <w:sz w:val="27"/>
      <w:szCs w:val="27"/>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Balloon Text"/>
    <w:basedOn w:val="1"/>
    <w:link w:val="20"/>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9">
    <w:name w:val="toc 2"/>
    <w:basedOn w:val="1"/>
    <w:next w:val="1"/>
    <w:unhideWhenUsed/>
    <w:qFormat/>
    <w:uiPriority w:val="39"/>
    <w:pPr>
      <w:ind w:left="420" w:leftChars="200"/>
    </w:pPr>
  </w:style>
  <w:style w:type="paragraph" w:styleId="10">
    <w:name w:val="Normal (Web)"/>
    <w:basedOn w:val="1"/>
    <w:unhideWhenUsed/>
    <w:qFormat/>
    <w:uiPriority w:val="99"/>
    <w:pPr>
      <w:widowControl/>
      <w:jc w:val="left"/>
    </w:pPr>
    <w:rPr>
      <w:rFonts w:ascii="宋体" w:hAnsi="宋体" w:eastAsia="宋体" w:cs="宋体"/>
      <w:kern w:val="0"/>
      <w:sz w:val="24"/>
      <w:szCs w:val="24"/>
    </w:r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rPr>
  </w:style>
  <w:style w:type="character" w:customStyle="1" w:styleId="15">
    <w:name w:val="标题 1 Char"/>
    <w:basedOn w:val="12"/>
    <w:link w:val="2"/>
    <w:qFormat/>
    <w:uiPriority w:val="9"/>
    <w:rPr>
      <w:rFonts w:ascii="宋体" w:hAnsi="宋体" w:eastAsia="宋体" w:cs="宋体"/>
      <w:b/>
      <w:bCs/>
      <w:kern w:val="36"/>
      <w:sz w:val="48"/>
      <w:szCs w:val="48"/>
    </w:rPr>
  </w:style>
  <w:style w:type="character" w:customStyle="1" w:styleId="16">
    <w:name w:val="标题 2 Char"/>
    <w:basedOn w:val="12"/>
    <w:link w:val="3"/>
    <w:qFormat/>
    <w:uiPriority w:val="9"/>
    <w:rPr>
      <w:rFonts w:ascii="宋体" w:hAnsi="宋体" w:eastAsia="宋体" w:cs="宋体"/>
      <w:b/>
      <w:bCs/>
      <w:kern w:val="0"/>
      <w:sz w:val="36"/>
      <w:szCs w:val="36"/>
    </w:rPr>
  </w:style>
  <w:style w:type="character" w:customStyle="1" w:styleId="17">
    <w:name w:val="标题 3 Char"/>
    <w:basedOn w:val="12"/>
    <w:link w:val="4"/>
    <w:qFormat/>
    <w:uiPriority w:val="9"/>
    <w:rPr>
      <w:rFonts w:ascii="宋体" w:hAnsi="宋体" w:eastAsia="宋体" w:cs="宋体"/>
      <w:b/>
      <w:bCs/>
      <w:kern w:val="0"/>
      <w:sz w:val="27"/>
      <w:szCs w:val="27"/>
    </w:rPr>
  </w:style>
  <w:style w:type="character" w:customStyle="1" w:styleId="18">
    <w:name w:val="页眉 Char"/>
    <w:basedOn w:val="12"/>
    <w:link w:val="7"/>
    <w:qFormat/>
    <w:uiPriority w:val="99"/>
    <w:rPr>
      <w:sz w:val="18"/>
      <w:szCs w:val="18"/>
    </w:rPr>
  </w:style>
  <w:style w:type="character" w:customStyle="1" w:styleId="19">
    <w:name w:val="页脚 Char"/>
    <w:basedOn w:val="12"/>
    <w:link w:val="6"/>
    <w:qFormat/>
    <w:uiPriority w:val="99"/>
    <w:rPr>
      <w:sz w:val="18"/>
      <w:szCs w:val="18"/>
    </w:rPr>
  </w:style>
  <w:style w:type="character" w:customStyle="1" w:styleId="20">
    <w:name w:val="批注框文本 Char"/>
    <w:basedOn w:val="12"/>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6"/>
    <customShpInfo spid="_x0000_s1026"/>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1430CB-3B24-49FD-A134-206D6269528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7550</Words>
  <Characters>7901</Characters>
  <Lines>69</Lines>
  <Paragraphs>19</Paragraphs>
  <TotalTime>23</TotalTime>
  <ScaleCrop>false</ScaleCrop>
  <LinksUpToDate>false</LinksUpToDate>
  <CharactersWithSpaces>7953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WPS_1591345644</cp:lastModifiedBy>
  <cp:lastPrinted>2022-04-28T06:53:00Z</cp:lastPrinted>
  <dcterms:modified xsi:type="dcterms:W3CDTF">2022-04-29T01:25:04Z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A146421AE71343E6884A089EC3F3B95B</vt:lpwstr>
  </property>
</Properties>
</file>