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ascii="方正小标宋_GBK" w:hAnsi="Calibri" w:eastAsia="方正小标宋_GBK" w:cs="Times New Roman"/>
          <w:sz w:val="28"/>
          <w:szCs w:val="28"/>
        </w:rPr>
      </w:pPr>
    </w:p>
    <w:p>
      <w:pPr>
        <w:spacing w:before="120" w:after="120" w:line="480" w:lineRule="auto"/>
        <w:jc w:val="center"/>
        <w:rPr>
          <w:rFonts w:ascii="Times New Roman" w:hAnsi="Times New Roman" w:eastAsia="黑体" w:cs="Times New Roman"/>
          <w:b/>
          <w:bCs/>
          <w:sz w:val="52"/>
          <w:szCs w:val="52"/>
        </w:rPr>
      </w:pPr>
    </w:p>
    <w:p>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水电费项目支出绩效自评报告</w:t>
      </w:r>
    </w:p>
    <w:p>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（2021年度）</w:t>
      </w:r>
    </w:p>
    <w:p>
      <w:pPr>
        <w:spacing w:before="120" w:after="120" w:line="480" w:lineRule="auto"/>
        <w:jc w:val="center"/>
        <w:rPr>
          <w:rFonts w:ascii="Times New Roman" w:hAnsi="Times New Roman" w:eastAsia="黑体" w:cs="Times New Roman"/>
          <w:sz w:val="52"/>
          <w:szCs w:val="52"/>
        </w:rPr>
      </w:pPr>
    </w:p>
    <w:p>
      <w:pPr>
        <w:spacing w:before="120" w:after="120" w:line="480" w:lineRule="auto"/>
        <w:jc w:val="center"/>
        <w:rPr>
          <w:rFonts w:ascii="Times New Roman" w:hAnsi="Times New Roman" w:eastAsia="宋体" w:cs="Times New Roman"/>
          <w:sz w:val="44"/>
          <w:szCs w:val="44"/>
        </w:rPr>
      </w:pPr>
    </w:p>
    <w:p>
      <w:pPr>
        <w:spacing w:before="120" w:after="120" w:line="480" w:lineRule="auto"/>
        <w:jc w:val="center"/>
        <w:rPr>
          <w:rFonts w:ascii="Times New Roman" w:hAnsi="Times New Roman" w:eastAsia="宋体" w:cs="Times New Roman"/>
          <w:sz w:val="44"/>
          <w:szCs w:val="44"/>
        </w:rPr>
      </w:pPr>
    </w:p>
    <w:p>
      <w:pPr>
        <w:spacing w:before="120" w:after="120" w:line="480" w:lineRule="auto"/>
        <w:jc w:val="center"/>
        <w:rPr>
          <w:rFonts w:ascii="Times New Roman" w:hAnsi="Times New Roman" w:eastAsia="黑体" w:cs="Times New Roman"/>
          <w:sz w:val="44"/>
          <w:szCs w:val="44"/>
        </w:rPr>
      </w:pPr>
    </w:p>
    <w:p>
      <w:pPr>
        <w:adjustRightInd w:val="0"/>
        <w:snapToGrid w:val="0"/>
        <w:spacing w:line="360" w:lineRule="auto"/>
        <w:ind w:left="1260" w:leftChars="600"/>
        <w:rPr>
          <w:rFonts w:ascii="Times New Roman" w:hAnsi="Times New Roman" w:eastAsia="黑体" w:cs="黑体"/>
          <w:sz w:val="28"/>
          <w:szCs w:val="28"/>
        </w:rPr>
      </w:pPr>
      <w:r>
        <w:rPr>
          <w:rFonts w:ascii="Times New Roman" w:hAnsi="Times New Roman" w:eastAsia="黑体" w:cs="黑体"/>
          <w:sz w:val="28"/>
          <w:szCs w:val="28"/>
        </w:rPr>
        <w:pict>
          <v:shape id="直接箭头连接符 5" o:spid="_x0000_s1026" o:spt="32" type="#_x0000_t32" style="position:absolute;left:0pt;margin-left:186.75pt;margin-top:15.45pt;height:0pt;width:196.5pt;z-index:25165926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ERBPgIAAEcEAAAOAAAAZHJzL2Uyb0RvYy54bWysU82O0zAQviPxDpbvbZqSLG3UdIWSlssC&#10;lXZ5ANd2GovEtmy3aYV4BV4AiRNwAk5752lgeQzG7o+6cEGIHJyxx/PNNzOfJ5fbtkEbbqxQMsdx&#10;f4ARl1QxIVc5fnkz740wso5IRholeY533OLL6cMHk05nfKhq1TBuEIBIm3U6x7VzOosiS2veEttX&#10;mktwVsq0xMHWrCJmSAfobRMNB4OLqFOGaaMotxZOy70TTwN+VXHqXlSV5Q41OQZuLqwmrEu/RtMJ&#10;yVaG6FrQAw3yDyxaIiQkPUGVxBG0NuIPqFZQo6yqXJ+qNlJVJSgPNUA18eC3aq5ronmoBZpj9alN&#10;9v/B0uebhUGC5TjFSJIWRnT37vbH2493X798/3D789t7b3/+hFLfqk7bDCIKuTC+WLqV1/pK0VcW&#10;SVXURK54oHyz04AT+4joXojfWA0Jl90zxeAOWTsV+ratTOshoSNoG8azO42Hbx2icDhMxmmawhTp&#10;0ReR7BiojXVPuWqRN3JsnSFiVbtCSQkiUCYOacjmyjpPi2THAJ9VqrlomqCFRqIux+N0mIYAqxrB&#10;vNNfs2a1LBqDNsSrKXyhRvCcXzNqLVkAqzlhs4PtiGj2NiRvpMeDwoDOwdrL5fV4MJ6NZqOklwwv&#10;Zr1kUJa9J/Mi6V3M48dp+agsijJ+46nFSVYLxrj07I7SjZO/k8bhEe1FdxLvqQ3RffTQLyB7/AfS&#10;YbJ+mHtZLBXbLcxx4qDWcPnwsvxzON+Dff7+p78AAAD//wMAUEsDBBQABgAIAAAAIQCERfLI3gAA&#10;AAkBAAAPAAAAZHJzL2Rvd25yZXYueG1sTI9Bb8IwDIXvSPsPkZF2QSMBRBldU4Qm7bDjAGnX0Hht&#10;R+NUTUo7fv087bDd7Peenj9nu9E14opdqD1pWMwVCKTC25pKDafjy8MjiBANWdN4Qg1fGGCX300y&#10;k1o/0BteD7EUXEIhNRqqGNtUylBU6EyY+xaJvQ/fORN57UppOzNwuWvkUqlEOlMTX6hMi88VFpdD&#10;7zRg6NcLtd+68vR6G2bvy9vn0B61vp+O+ycQEcf4F4YffEaHnJnOvicbRKNhtVmtOcqD2oLgwCZJ&#10;WDj/CjLP5P8P8m8AAAD//wMAUEsBAi0AFAAGAAgAAAAhALaDOJL+AAAA4QEAABMAAAAAAAAAAAAA&#10;AAAAAAAAAFtDb250ZW50X1R5cGVzXS54bWxQSwECLQAUAAYACAAAACEAOP0h/9YAAACUAQAACwAA&#10;AAAAAAAAAAAAAAAvAQAAX3JlbHMvLnJlbHNQSwECLQAUAAYACAAAACEAurBEQT4CAABHBAAADgAA&#10;AAAAAAAAAAAAAAAuAgAAZHJzL2Uyb0RvYy54bWxQSwECLQAUAAYACAAAACEAhEXyyN4AAAAJAQAA&#10;DwAAAAAAAAAAAAAAAACYBAAAZHJzL2Rvd25yZXYueG1sUEsFBgAAAAAEAAQA8wAAAKMFAAAAAA==&#10;">
            <v:path arrowok="t"/>
            <v:fill on="f" focussize="0,0"/>
            <v:stroke/>
            <v:imagedata o:title=""/>
            <o:lock v:ext="edit"/>
          </v:shape>
        </w:pict>
      </w:r>
      <w:r>
        <w:rPr>
          <w:rFonts w:hint="eastAsia" w:ascii="Times New Roman" w:hAnsi="Times New Roman" w:eastAsia="黑体" w:cs="黑体"/>
          <w:sz w:val="28"/>
          <w:szCs w:val="28"/>
        </w:rPr>
        <w:t>部门名称（公章）：昆明市盘龙区机关事务管理服务中心</w:t>
      </w:r>
    </w:p>
    <w:p>
      <w:pPr>
        <w:adjustRightInd w:val="0"/>
        <w:snapToGrid w:val="0"/>
        <w:spacing w:line="360" w:lineRule="auto"/>
        <w:ind w:left="1260" w:leftChars="600"/>
        <w:rPr>
          <w:rFonts w:ascii="Times New Roman" w:hAnsi="Times New Roman" w:eastAsia="黑体" w:cs="Times New Roman"/>
          <w:sz w:val="28"/>
          <w:szCs w:val="28"/>
        </w:rPr>
      </w:pPr>
      <w:r>
        <w:rPr>
          <w:rFonts w:ascii="Times New Roman" w:hAnsi="Times New Roman" w:eastAsia="黑体" w:cs="黑体"/>
          <w:sz w:val="28"/>
          <w:szCs w:val="28"/>
        </w:rPr>
        <w:pict>
          <v:shape id="直接箭头连接符 3" o:spid="_x0000_s1029" o:spt="32" type="#_x0000_t32" style="position:absolute;left:0pt;margin-left:135pt;margin-top:14.25pt;height:0pt;width:196.5pt;z-index:25166028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sVFPwIAAEcEAAAOAAAAZHJzL2Uyb0RvYy54bWysU82O0zAQviPxDpbvbZo2Xdqo6QolLZcF&#10;Ku3yAK7tNBaJbdlu0wrxCrwA0p6AE3DaO08Dy2Mwdn/UhQtC5OCMPZ5vvpn5PLncNjXacGOFkhmO&#10;uz2MuKSKCbnK8KubeWeEkXVEMlIryTO84xZfTh8/mrQ65X1VqZpxgwBE2rTVGa6c02kUWVrxhtiu&#10;0lyCs1SmIQ62ZhUxQ1pAb+qo3+tdRK0yTBtFubVwWuydeBrwy5JT97IsLXeozjBwc2E1YV36NZpO&#10;SLoyRFeCHmiQf2DRECEh6QmqII6gtRF/QDWCGmVV6bpUNZEqS0F5qAGqiXu/VXNdEc1DLdAcq09t&#10;sv8Plr7YLAwSLMMDjCRpYET37+9+vPt4//XL9w93P7/devvzJzTwrWq1TSEilwvji6Vbea2vFH1t&#10;kVR5ReSKB8o3Ow04sY+IHoT4jdWQcNk+VwzukLVToW/b0jQeEjqCtmE8u9N4+NYhCof9ZDwcDmGK&#10;9OiLSHoM1Ma6Z1w1yBsZts4QsapcrqQEESgThzRkc2Wdp0XSY4DPKtVc1HXQQi1Rm+HxsD8MAVbV&#10;gnmnv2bNapnXBm2IV1P4Qo3gOb9m1FqyAFZxwmYH2xFR721IXkuPB4UBnYO1l8ubcW88G81GSSfp&#10;X8w6Sa8oOk/nedK5mMdPhsWgyPMifuupxUlaCca49OyO0o2Tv5PG4RHtRXcS76kN0UP00C8ge/wH&#10;0mGyfph7WSwV2y3MceKg1nD58LL8czjfg33+/qe/AAAA//8DAFBLAwQUAAYACAAAACEAlY8R090A&#10;AAAJAQAADwAAAGRycy9kb3ducmV2LnhtbEyPQU/DMAyF70j8h8hIuyCWrGhllKbTNIkDR7ZJXLPG&#10;tN0ap2rStezXY8QBbvbz0/P38vXkWnHBPjSeNCzmCgRS6W1DlYbD/vVhBSJEQ9a0nlDDFwZYF7c3&#10;ucmsH+kdL7tYCQ6hkBkNdYxdJmUoa3QmzH2HxLdP3zsTee0raXszcrhrZaJUKp1piD/UpsNtjeV5&#10;NzgNGIblQm2eXXV4u473H8n1NHZ7rWd30+YFRMQp/pnhB5/RoWCmox/IBtFqSJ4Ud4k8rJYg2JCm&#10;jywcfwVZ5PJ/g+IbAAD//wMAUEsBAi0AFAAGAAgAAAAhALaDOJL+AAAA4QEAABMAAAAAAAAAAAAA&#10;AAAAAAAAAFtDb250ZW50X1R5cGVzXS54bWxQSwECLQAUAAYACAAAACEAOP0h/9YAAACUAQAACwAA&#10;AAAAAAAAAAAAAAAvAQAAX3JlbHMvLnJlbHNQSwECLQAUAAYACAAAACEAncrFRT8CAABHBAAADgAA&#10;AAAAAAAAAAAAAAAuAgAAZHJzL2Uyb0RvYy54bWxQSwECLQAUAAYACAAAACEAlY8R090AAAAJAQAA&#10;DwAAAAAAAAAAAAAAAACZBAAAZHJzL2Rvd25yZXYueG1sUEsFBgAAAAAEAAQA8wAAAKMFAAAAAA==&#10;">
            <v:path arrowok="t"/>
            <v:fill on="f" focussize="0,0"/>
            <v:stroke/>
            <v:imagedata o:title=""/>
            <o:lock v:ext="edit"/>
          </v:shape>
        </w:pict>
      </w:r>
      <w:r>
        <w:rPr>
          <w:rFonts w:hint="eastAsia" w:ascii="Times New Roman" w:hAnsi="Times New Roman" w:eastAsia="黑体" w:cs="黑体"/>
          <w:sz w:val="28"/>
          <w:szCs w:val="28"/>
        </w:rPr>
        <w:t>主管部门：昆明市盘龙区机关事务管理服务中心</w:t>
      </w:r>
    </w:p>
    <w:p>
      <w:pPr>
        <w:adjustRightInd w:val="0"/>
        <w:snapToGrid w:val="0"/>
        <w:spacing w:line="360" w:lineRule="auto"/>
        <w:ind w:left="1260" w:leftChars="600"/>
        <w:rPr>
          <w:rFonts w:ascii="Times New Roman" w:hAnsi="Times New Roman" w:eastAsia="黑体" w:cs="Times New Roman"/>
          <w:sz w:val="28"/>
          <w:szCs w:val="28"/>
        </w:rPr>
      </w:pPr>
      <w:r>
        <w:rPr>
          <w:rFonts w:ascii="Times New Roman" w:hAnsi="Times New Roman" w:eastAsia="黑体" w:cs="黑体"/>
          <w:sz w:val="28"/>
          <w:szCs w:val="28"/>
        </w:rPr>
        <w:pict>
          <v:shape id="直接箭头连接符 2" o:spid="_x0000_s1028" o:spt="32" type="#_x0000_t32" style="position:absolute;left:0pt;margin-left:135pt;margin-top:14.25pt;height:0pt;width:196.5pt;z-index:25166131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r2pPgIAAEcEAAAOAAAAZHJzL2Uyb0RvYy54bWysU82O0zAQviPxDpbvbZqQLm3UdIWSlssC&#10;lXZ5ANd2GovEtmy3aYV4BV4AiRNwAk5752lgeQzG7o+6cEGIHJyxx/PNNzOfJ5fbtkEbbqxQMsdx&#10;f4ARl1QxIVc5fnkz740wso5IRholeY533OLL6cMHk05nPFG1ahg3CECkzTqd49o5nUWRpTVvie0r&#10;zSU4K2Va4mBrVhEzpAP0tomSweAi6pRh2ijKrYXTcu/E04BfVZy6F1VluUNNjoGbC6sJ69Kv0XRC&#10;spUhuhb0QIP8A4uWCAlJT1AlcQStjfgDqhXUKKsq16eqjVRVCcpDDVBNPPitmuuaaB5qgeZYfWqT&#10;/X+w9PlmYZBgOU4wkqSFEd29u/3x9uPd1y/fP9z+/Pbe258/ocS3qtM2g4hCLowvlm7ltb5S9JVF&#10;UhU1kSseKN/sNODEPiK6F+I3VkPCZfdMMbhD1k6Fvm0r03pI6AjahvHsTuPhW4coHCbpeDgcwhTp&#10;0ReR7BiojXVPuWqRN3JsnSFiVbtCSQkiUCYOacjmyjpPi2THAJ9VqrlomqCFRqIux+NhMgwBVjWC&#10;eae/Zs1qWTQGbYhXU/hCjeA5v2bUWrIAVnPCZgfbEdHsbUjeSI8HhQGdg7WXy+vxYDwbzUZpL00u&#10;Zr10UJa9J/Mi7V3M48fD8lFZFGX8xlOL06wWjHHp2R2lG6d/J43DI9qL7iTeUxui++ihX0D2+A+k&#10;w2T9MPeyWCq2W5jjxEGt4fLhZfnncL4H+/z9T38BAAD//wMAUEsDBBQABgAIAAAAIQCVjxHT3QAA&#10;AAkBAAAPAAAAZHJzL2Rvd25yZXYueG1sTI9BT8MwDIXvSPyHyEi7IJasaGWUptM0iQNHtklcs8a0&#10;3RqnatK17NdjxAFu9vPT8/fy9eRaccE+NJ40LOYKBFLpbUOVhsP+9WEFIkRD1rSeUMMXBlgXtze5&#10;yawf6R0vu1gJDqGQGQ11jF0mZShrdCbMfYfEt0/fOxN57StpezNyuGtlolQqnWmIP9Smw22N5Xk3&#10;OA0YhuVCbZ5ddXi7jvcfyfU0dnutZ3fT5gVExCn+meEHn9GhYKajH8gG0WpInhR3iTysliDYkKaP&#10;LBx/BVnk8n+D4hsAAP//AwBQSwECLQAUAAYACAAAACEAtoM4kv4AAADhAQAAEwAAAAAAAAAAAAAA&#10;AAAAAAAAW0NvbnRlbnRfVHlwZXNdLnhtbFBLAQItABQABgAIAAAAIQA4/SH/1gAAAJQBAAALAAAA&#10;AAAAAAAAAAAAAC8BAABfcmVscy8ucmVsc1BLAQItABQABgAIAAAAIQCzIr2pPgIAAEcEAAAOAAAA&#10;AAAAAAAAAAAAAC4CAABkcnMvZTJvRG9jLnhtbFBLAQItABQABgAIAAAAIQCVjxHT3QAAAAkBAAAP&#10;AAAAAAAAAAAAAAAAAJgEAABkcnMvZG93bnJldi54bWxQSwUGAAAAAAQABADzAAAAogUAAAAA&#10;">
            <v:path arrowok="t"/>
            <v:fill on="f" focussize="0,0"/>
            <v:stroke/>
            <v:imagedata o:title=""/>
            <o:lock v:ext="edit"/>
          </v:shape>
        </w:pict>
      </w:r>
      <w:r>
        <w:rPr>
          <w:rFonts w:hint="eastAsia" w:ascii="Times New Roman" w:hAnsi="Times New Roman" w:eastAsia="黑体" w:cs="黑体"/>
          <w:sz w:val="28"/>
          <w:szCs w:val="28"/>
        </w:rPr>
        <w:t>项目名称：</w:t>
      </w:r>
      <w:r>
        <w:rPr>
          <w:rFonts w:hint="eastAsia" w:ascii="Times New Roman" w:hAnsi="Times New Roman" w:eastAsia="黑体" w:cs="Times New Roman"/>
          <w:sz w:val="28"/>
          <w:szCs w:val="28"/>
        </w:rPr>
        <w:t>水电费</w:t>
      </w:r>
    </w:p>
    <w:p>
      <w:pPr>
        <w:adjustRightInd w:val="0"/>
        <w:snapToGrid w:val="0"/>
        <w:spacing w:line="360" w:lineRule="auto"/>
        <w:ind w:left="1260" w:leftChars="600"/>
        <w:rPr>
          <w:rFonts w:ascii="Times New Roman" w:hAnsi="Times New Roman" w:eastAsia="黑体" w:cs="Times New Roman"/>
          <w:sz w:val="28"/>
          <w:szCs w:val="28"/>
        </w:rPr>
      </w:pPr>
      <w:r>
        <w:rPr>
          <w:rFonts w:ascii="Times New Roman" w:hAnsi="Times New Roman" w:eastAsia="黑体" w:cs="黑体"/>
          <w:sz w:val="28"/>
          <w:szCs w:val="28"/>
        </w:rPr>
        <w:pict>
          <v:shape id="直接箭头连接符 1" o:spid="_x0000_s1027" o:spt="32" type="#_x0000_t32" style="position:absolute;left:0pt;margin-left:135pt;margin-top:14.25pt;height:0pt;width:196.5pt;z-index:251662336;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VGPwIAAEcEAAAOAAAAZHJzL2Uyb0RvYy54bWysU82O0zAQviPxDlbubZKSLG3UdIWSlssC&#10;lXZ5ANd2EovEtmy3aYV4BV4AiRNwAk5752lgeQzG7g8ULgiRgzO2Zz5/M/PN9HLbtWjDtOFS5EE8&#10;jALEBJGUizoPnt8sBuMAGYsFxa0ULA92zASXs/v3pr3K2Eg2sqVMIwARJutVHjTWqiwMDWlYh81Q&#10;KibgspK6wxa2ug6pxj2gd204iqKLsJeaKi0JMwZOy/1lMPP4VcWIfVZVhlnU5gFws37Vfl25NZxN&#10;cVZrrBpODjTwP7DoMBfw6AmqxBajteZ/QHWcaGlkZYdEdqGsKk6YzwGyiaPfsrlusGI+FyiOUacy&#10;mf8HS55ulhpxCr0LkMAdtOjuze231+/vPn/6+u72+5e3zv74AcWuVL0yGUQUYqldsmQrrtWVJC8M&#10;ErJosKiZp3yzU4DjI8KzELcxCh5c9U8kBR+8ttLXbVvpzkFCRdDWt2d3ag/bWkTgcJRM0jSFLpLj&#10;XYizY6DSxj5mskPOyANjNeZ1YwspBIhA6tg/gzdXxkIiEHgMcK8KueBt67XQCtTnwSQdpT7AyJZT&#10;d+ncjK5XRavRBjs1+c9VBcDO3LRcC+rBGobp/GBbzNu9Df6tcHiQGNA5WHu5vJxEk/l4Pk4Gyehi&#10;Pkiishw8WhTJ4GIRP0zLB2VRlPErRy1OsoZTyoRjd5RunPydNA5DtBfdSbynMoTn6D5FIHv8e9K+&#10;s66Ze1msJN0ttauGazKo1TsfJsuNw6977/Vz/mc/AAAA//8DAFBLAwQUAAYACAAAACEAlY8R090A&#10;AAAJAQAADwAAAGRycy9kb3ducmV2LnhtbEyPQU/DMAyF70j8h8hIuyCWrGhllKbTNIkDR7ZJXLPG&#10;tN0ap2rStezXY8QBbvbz0/P38vXkWnHBPjSeNCzmCgRS6W1DlYbD/vVhBSJEQ9a0nlDDFwZYF7c3&#10;ucmsH+kdL7tYCQ6hkBkNdYxdJmUoa3QmzH2HxLdP3zsTee0raXszcrhrZaJUKp1piD/UpsNtjeV5&#10;NzgNGIblQm2eXXV4u473H8n1NHZ7rWd30+YFRMQp/pnhB5/RoWCmox/IBtFqSJ4Ud4k8rJYg2JCm&#10;jywcfwVZ5PJ/g+IbAAD//wMAUEsBAi0AFAAGAAgAAAAhALaDOJL+AAAA4QEAABMAAAAAAAAAAAAA&#10;AAAAAAAAAFtDb250ZW50X1R5cGVzXS54bWxQSwECLQAUAAYACAAAACEAOP0h/9YAAACUAQAACwAA&#10;AAAAAAAAAAAAAAAvAQAAX3JlbHMvLnJlbHNQSwECLQAUAAYACAAAACEAgBxFRj8CAABHBAAADgAA&#10;AAAAAAAAAAAAAAAuAgAAZHJzL2Uyb0RvYy54bWxQSwECLQAUAAYACAAAACEAlY8R090AAAAJAQAA&#10;DwAAAAAAAAAAAAAAAACZBAAAZHJzL2Rvd25yZXYueG1sUEsFBgAAAAAEAAQA8wAAAKMFAAAAAA==&#10;">
            <v:path arrowok="t"/>
            <v:fill on="f" focussize="0,0"/>
            <v:stroke/>
            <v:imagedata o:title=""/>
            <o:lock v:ext="edit"/>
          </v:shape>
        </w:pict>
      </w:r>
      <w:r>
        <w:rPr>
          <w:rFonts w:hint="eastAsia" w:ascii="Times New Roman" w:hAnsi="Times New Roman" w:eastAsia="黑体" w:cs="黑体"/>
          <w:sz w:val="28"/>
          <w:szCs w:val="28"/>
        </w:rPr>
        <w:t>绩效自评日期：</w:t>
      </w:r>
      <w:r>
        <w:rPr>
          <w:rFonts w:hint="eastAsia" w:ascii="Times New Roman" w:hAnsi="Times New Roman" w:eastAsia="黑体" w:cs="Times New Roman"/>
          <w:sz w:val="28"/>
          <w:szCs w:val="28"/>
        </w:rPr>
        <w:t>2022年4月25日</w:t>
      </w:r>
    </w:p>
    <w:p>
      <w:pPr>
        <w:spacing w:line="360" w:lineRule="auto"/>
        <w:ind w:left="1218" w:leftChars="580"/>
        <w:rPr>
          <w:rFonts w:ascii="Times New Roman" w:hAnsi="Times New Roman" w:eastAsia="黑体" w:cs="Times New Roman"/>
          <w:b/>
          <w:bCs/>
          <w:sz w:val="28"/>
          <w:szCs w:val="28"/>
        </w:rPr>
      </w:pPr>
    </w:p>
    <w:p>
      <w:pPr>
        <w:jc w:val="center"/>
        <w:rPr>
          <w:rFonts w:ascii="Times New Roman" w:hAnsi="Times New Roman" w:eastAsia="黑体" w:cs="黑体"/>
          <w:b/>
          <w:bCs/>
          <w:sz w:val="28"/>
          <w:szCs w:val="28"/>
        </w:rPr>
      </w:pPr>
    </w:p>
    <w:p>
      <w:pPr>
        <w:jc w:val="center"/>
        <w:rPr>
          <w:rFonts w:ascii="仿宋" w:hAnsi="仿宋" w:eastAsia="仿宋" w:cs="黑体"/>
          <w:b/>
          <w:bCs/>
          <w:sz w:val="32"/>
          <w:szCs w:val="32"/>
        </w:rPr>
      </w:pPr>
      <w:r>
        <w:rPr>
          <w:rFonts w:ascii="仿宋" w:hAnsi="仿宋" w:eastAsia="仿宋"/>
          <w:b/>
          <w:bCs/>
          <w:sz w:val="32"/>
          <w:szCs w:val="32"/>
        </w:rPr>
        <w:t>20</w:t>
      </w:r>
      <w:r>
        <w:rPr>
          <w:rFonts w:hint="eastAsia" w:ascii="仿宋" w:hAnsi="仿宋" w:eastAsia="仿宋"/>
          <w:b/>
          <w:bCs/>
          <w:sz w:val="32"/>
          <w:szCs w:val="32"/>
        </w:rPr>
        <w:t>22</w:t>
      </w:r>
      <w:r>
        <w:rPr>
          <w:rFonts w:hint="eastAsia" w:ascii="仿宋" w:hAnsi="仿宋" w:eastAsia="仿宋" w:cs="黑体"/>
          <w:b/>
          <w:bCs/>
          <w:sz w:val="32"/>
          <w:szCs w:val="32"/>
        </w:rPr>
        <w:t>年4月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sectPr>
          <w:headerReference r:id="rId3" w:type="default"/>
          <w:pgSz w:w="11906" w:h="16838"/>
          <w:pgMar w:top="1440" w:right="1800" w:bottom="1440" w:left="1800" w:header="851" w:footer="992" w:gutter="0"/>
          <w:cols w:space="425" w:num="1"/>
          <w:docGrid w:type="lines" w:linePitch="312" w:charSpace="0"/>
        </w:sectPr>
      </w:pPr>
    </w:p>
    <w:p>
      <w:pPr>
        <w:jc w:val="center"/>
        <w:rPr>
          <w:rFonts w:ascii="Times New Roman" w:hAnsi="Times New Roman" w:eastAsia="黑体" w:cs="黑体"/>
          <w:b/>
          <w:bCs/>
          <w:sz w:val="28"/>
          <w:szCs w:val="28"/>
        </w:rPr>
      </w:pPr>
    </w:p>
    <w:p>
      <w:pPr>
        <w:spacing w:line="360" w:lineRule="auto"/>
        <w:ind w:left="420" w:leftChars="200"/>
        <w:rPr>
          <w:rFonts w:ascii="Times New Roman" w:hAnsi="Times New Roman" w:eastAsia="黑体" w:cs="黑体"/>
          <w:color w:val="000000"/>
          <w:sz w:val="24"/>
          <w:szCs w:val="24"/>
          <w:u w:color="000000"/>
          <w:lang w:val="zh-TW" w:eastAsia="zh-TW"/>
        </w:rPr>
      </w:pPr>
    </w:p>
    <w:p>
      <w:pPr>
        <w:spacing w:line="360" w:lineRule="auto"/>
        <w:ind w:left="420" w:leftChars="200"/>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10"/>
        <w:tblpPr w:leftFromText="180" w:rightFromText="180" w:vertAnchor="text" w:horzAnchor="margin" w:tblpX="109" w:tblpY="72"/>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1620"/>
        <w:gridCol w:w="1753"/>
        <w:gridCol w:w="1488"/>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2"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753"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488"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922"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512" w:type="dxa"/>
            <w:vAlign w:val="center"/>
          </w:tcPr>
          <w:p>
            <w:pPr>
              <w:spacing w:line="360" w:lineRule="auto"/>
              <w:jc w:val="center"/>
              <w:rPr>
                <w:rFonts w:ascii="仿宋_GB2312" w:hAnsi="仿宋_GB2312" w:eastAsia="仿宋_GB2312" w:cs="仿宋_GB2312"/>
                <w:color w:val="000000"/>
                <w:sz w:val="24"/>
                <w:szCs w:val="24"/>
                <w:u w:color="000000"/>
                <w:lang w:val="zh-TW"/>
              </w:rPr>
            </w:pPr>
            <w:r>
              <w:rPr>
                <w:rFonts w:hint="eastAsia" w:ascii="仿宋_GB2312" w:hAnsi="仿宋_GB2312" w:eastAsia="仿宋_GB2312" w:cs="仿宋_GB2312"/>
                <w:color w:val="000000"/>
                <w:sz w:val="24"/>
                <w:szCs w:val="24"/>
                <w:u w:color="000000"/>
                <w:lang w:val="zh-TW"/>
              </w:rPr>
              <w:t>组长</w:t>
            </w:r>
          </w:p>
        </w:tc>
        <w:tc>
          <w:tcPr>
            <w:tcW w:w="1620" w:type="dxa"/>
            <w:vAlign w:val="center"/>
          </w:tcPr>
          <w:p>
            <w:pPr>
              <w:spacing w:line="360" w:lineRule="auto"/>
              <w:jc w:val="center"/>
              <w:rPr>
                <w:rFonts w:ascii="仿宋_GB2312" w:hAnsi="仿宋_GB2312" w:eastAsia="仿宋_GB2312" w:cs="仿宋_GB2312"/>
                <w:color w:val="000000"/>
                <w:sz w:val="24"/>
                <w:szCs w:val="24"/>
                <w:u w:color="000000"/>
                <w:lang w:val="zh-TW"/>
              </w:rPr>
            </w:pPr>
            <w:r>
              <w:rPr>
                <w:rFonts w:hint="eastAsia" w:ascii="仿宋_GB2312" w:hAnsi="仿宋_GB2312" w:eastAsia="仿宋_GB2312" w:cs="仿宋_GB2312"/>
                <w:color w:val="000000"/>
                <w:sz w:val="24"/>
                <w:szCs w:val="24"/>
                <w:u w:color="000000"/>
                <w:lang w:val="zh-TW"/>
              </w:rPr>
              <w:t>杨艳</w:t>
            </w:r>
          </w:p>
        </w:tc>
        <w:tc>
          <w:tcPr>
            <w:tcW w:w="1753" w:type="dxa"/>
            <w:vAlign w:val="center"/>
          </w:tcPr>
          <w:p>
            <w:pPr>
              <w:spacing w:line="360" w:lineRule="auto"/>
              <w:jc w:val="center"/>
              <w:rPr>
                <w:rFonts w:ascii="仿宋_GB2312" w:hAnsi="仿宋_GB2312" w:eastAsia="仿宋_GB2312" w:cs="仿宋_GB2312"/>
                <w:color w:val="000000"/>
                <w:sz w:val="24"/>
                <w:szCs w:val="24"/>
                <w:u w:color="000000"/>
                <w:lang w:val="zh-TW"/>
              </w:rPr>
            </w:pPr>
            <w:r>
              <w:rPr>
                <w:rFonts w:hint="eastAsia" w:ascii="仿宋_GB2312" w:hAnsi="仿宋_GB2312" w:eastAsia="仿宋_GB2312" w:cs="仿宋_GB2312"/>
                <w:color w:val="000000"/>
                <w:sz w:val="24"/>
                <w:szCs w:val="24"/>
                <w:u w:color="000000"/>
                <w:lang w:val="zh-TW"/>
              </w:rPr>
              <w:t>副主任</w:t>
            </w:r>
          </w:p>
        </w:tc>
        <w:tc>
          <w:tcPr>
            <w:tcW w:w="1488" w:type="dxa"/>
            <w:vAlign w:val="center"/>
          </w:tcPr>
          <w:p>
            <w:pPr>
              <w:spacing w:line="360" w:lineRule="auto"/>
              <w:jc w:val="center"/>
              <w:rPr>
                <w:rFonts w:ascii="仿宋_GB2312" w:hAnsi="仿宋_GB2312" w:eastAsia="仿宋_GB2312" w:cs="仿宋_GB2312"/>
                <w:color w:val="000000"/>
                <w:sz w:val="24"/>
                <w:szCs w:val="24"/>
                <w:u w:color="000000"/>
                <w:lang w:val="zh-TW" w:eastAsia="zh-TW"/>
              </w:rPr>
            </w:pPr>
            <w:r>
              <w:rPr>
                <w:rFonts w:hint="eastAsia" w:ascii="仿宋_GB2312" w:hAnsi="仿宋_GB2312" w:eastAsia="仿宋_GB2312" w:cs="仿宋_GB2312"/>
                <w:color w:val="000000"/>
                <w:sz w:val="24"/>
                <w:szCs w:val="24"/>
                <w:u w:color="000000"/>
                <w:lang w:val="zh-TW"/>
              </w:rPr>
              <w:t>机关事务管理服务中心</w:t>
            </w:r>
          </w:p>
        </w:tc>
        <w:tc>
          <w:tcPr>
            <w:tcW w:w="1922"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12" w:type="dxa"/>
            <w:vAlign w:val="center"/>
          </w:tcPr>
          <w:p>
            <w:pPr>
              <w:spacing w:line="360" w:lineRule="auto"/>
              <w:jc w:val="center"/>
              <w:rPr>
                <w:rFonts w:ascii="仿宋_GB2312" w:hAnsi="仿宋_GB2312" w:eastAsia="仿宋_GB2312" w:cs="仿宋_GB2312"/>
                <w:color w:val="000000"/>
                <w:sz w:val="24"/>
                <w:szCs w:val="24"/>
                <w:u w:color="000000"/>
                <w:lang w:val="zh-TW"/>
              </w:rPr>
            </w:pPr>
            <w:r>
              <w:rPr>
                <w:rFonts w:hint="eastAsia" w:ascii="仿宋_GB2312" w:hAnsi="仿宋_GB2312" w:eastAsia="仿宋_GB2312" w:cs="仿宋_GB2312"/>
                <w:color w:val="000000"/>
                <w:sz w:val="24"/>
                <w:szCs w:val="24"/>
                <w:u w:color="000000"/>
                <w:lang w:val="zh-TW"/>
              </w:rPr>
              <w:t>副组长</w:t>
            </w:r>
          </w:p>
        </w:tc>
        <w:tc>
          <w:tcPr>
            <w:tcW w:w="1620" w:type="dxa"/>
            <w:vAlign w:val="center"/>
          </w:tcPr>
          <w:p>
            <w:pPr>
              <w:spacing w:line="360" w:lineRule="auto"/>
              <w:jc w:val="center"/>
              <w:rPr>
                <w:rFonts w:ascii="仿宋_GB2312" w:hAnsi="仿宋_GB2312" w:eastAsia="仿宋_GB2312" w:cs="仿宋_GB2312"/>
                <w:color w:val="000000"/>
                <w:sz w:val="24"/>
                <w:szCs w:val="24"/>
                <w:u w:color="000000"/>
                <w:lang w:val="zh-TW"/>
              </w:rPr>
            </w:pPr>
            <w:r>
              <w:rPr>
                <w:rFonts w:hint="eastAsia" w:ascii="仿宋_GB2312" w:hAnsi="仿宋_GB2312" w:eastAsia="仿宋_GB2312" w:cs="仿宋_GB2312"/>
                <w:color w:val="000000"/>
                <w:sz w:val="24"/>
                <w:szCs w:val="24"/>
                <w:u w:color="000000"/>
                <w:lang w:val="zh-TW"/>
              </w:rPr>
              <w:t>闫鑫</w:t>
            </w:r>
          </w:p>
        </w:tc>
        <w:tc>
          <w:tcPr>
            <w:tcW w:w="1753" w:type="dxa"/>
            <w:vAlign w:val="center"/>
          </w:tcPr>
          <w:p>
            <w:pPr>
              <w:spacing w:line="360" w:lineRule="auto"/>
              <w:jc w:val="center"/>
              <w:rPr>
                <w:rFonts w:ascii="仿宋_GB2312" w:hAnsi="仿宋_GB2312" w:eastAsia="仿宋_GB2312" w:cs="仿宋_GB2312"/>
                <w:color w:val="000000"/>
                <w:sz w:val="24"/>
                <w:szCs w:val="24"/>
                <w:u w:color="000000"/>
                <w:lang w:val="zh-TW"/>
              </w:rPr>
            </w:pPr>
            <w:r>
              <w:rPr>
                <w:rFonts w:hint="eastAsia" w:ascii="仿宋_GB2312" w:hAnsi="仿宋_GB2312" w:eastAsia="仿宋_GB2312" w:cs="仿宋_GB2312"/>
                <w:color w:val="000000"/>
                <w:sz w:val="24"/>
                <w:szCs w:val="24"/>
                <w:u w:color="000000"/>
                <w:lang w:val="zh-TW"/>
              </w:rPr>
              <w:t>副主任</w:t>
            </w:r>
          </w:p>
        </w:tc>
        <w:tc>
          <w:tcPr>
            <w:tcW w:w="1488" w:type="dxa"/>
            <w:vAlign w:val="center"/>
          </w:tcPr>
          <w:p>
            <w:pPr>
              <w:spacing w:line="360" w:lineRule="auto"/>
              <w:jc w:val="center"/>
              <w:rPr>
                <w:rFonts w:ascii="仿宋_GB2312" w:hAnsi="仿宋_GB2312" w:eastAsia="仿宋_GB2312" w:cs="仿宋_GB2312"/>
                <w:color w:val="000000"/>
                <w:sz w:val="24"/>
                <w:szCs w:val="24"/>
                <w:u w:color="000000"/>
                <w:lang w:val="zh-TW" w:eastAsia="zh-TW"/>
              </w:rPr>
            </w:pPr>
            <w:r>
              <w:rPr>
                <w:rFonts w:hint="eastAsia" w:ascii="仿宋_GB2312" w:hAnsi="仿宋_GB2312" w:eastAsia="仿宋_GB2312" w:cs="仿宋_GB2312"/>
                <w:color w:val="000000"/>
                <w:sz w:val="24"/>
                <w:szCs w:val="24"/>
                <w:u w:color="000000"/>
                <w:lang w:val="zh-TW"/>
              </w:rPr>
              <w:t>机关事务管理服务中心</w:t>
            </w:r>
          </w:p>
        </w:tc>
        <w:tc>
          <w:tcPr>
            <w:tcW w:w="1922"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512" w:type="dxa"/>
            <w:vAlign w:val="center"/>
          </w:tcPr>
          <w:p>
            <w:pPr>
              <w:spacing w:line="360" w:lineRule="auto"/>
              <w:jc w:val="center"/>
              <w:rPr>
                <w:rFonts w:ascii="仿宋_GB2312" w:hAnsi="仿宋_GB2312" w:eastAsia="仿宋_GB2312" w:cs="仿宋_GB2312"/>
                <w:color w:val="000000"/>
                <w:sz w:val="24"/>
                <w:szCs w:val="24"/>
                <w:u w:color="000000"/>
                <w:lang w:val="zh-TW"/>
              </w:rPr>
            </w:pPr>
            <w:r>
              <w:rPr>
                <w:rFonts w:hint="eastAsia" w:ascii="仿宋_GB2312" w:hAnsi="仿宋_GB2312" w:eastAsia="仿宋_GB2312" w:cs="仿宋_GB2312"/>
                <w:color w:val="000000"/>
                <w:sz w:val="24"/>
                <w:szCs w:val="24"/>
                <w:u w:color="000000"/>
                <w:lang w:val="zh-TW"/>
              </w:rPr>
              <w:t>组员</w:t>
            </w:r>
          </w:p>
        </w:tc>
        <w:tc>
          <w:tcPr>
            <w:tcW w:w="1620" w:type="dxa"/>
          </w:tcPr>
          <w:p>
            <w:pPr>
              <w:spacing w:line="360" w:lineRule="auto"/>
              <w:jc w:val="center"/>
              <w:rPr>
                <w:rFonts w:ascii="仿宋_GB2312" w:hAnsi="仿宋_GB2312" w:eastAsia="仿宋_GB2312" w:cs="仿宋_GB2312"/>
                <w:color w:val="000000"/>
                <w:sz w:val="24"/>
                <w:szCs w:val="24"/>
                <w:u w:color="000000"/>
              </w:rPr>
            </w:pPr>
            <w:r>
              <w:rPr>
                <w:rFonts w:hint="eastAsia" w:ascii="仿宋_GB2312" w:hAnsi="仿宋_GB2312" w:eastAsia="仿宋_GB2312" w:cs="仿宋_GB2312"/>
                <w:color w:val="000000"/>
                <w:sz w:val="24"/>
                <w:szCs w:val="24"/>
                <w:u w:color="000000"/>
                <w:lang w:val="zh-TW"/>
              </w:rPr>
              <w:t>和娟</w:t>
            </w:r>
          </w:p>
        </w:tc>
        <w:tc>
          <w:tcPr>
            <w:tcW w:w="1753" w:type="dxa"/>
          </w:tcPr>
          <w:p>
            <w:pPr>
              <w:spacing w:line="360" w:lineRule="auto"/>
              <w:jc w:val="center"/>
              <w:rPr>
                <w:rFonts w:ascii="仿宋_GB2312" w:hAnsi="仿宋_GB2312" w:eastAsia="仿宋_GB2312" w:cs="仿宋_GB2312"/>
                <w:color w:val="000000"/>
                <w:sz w:val="24"/>
                <w:szCs w:val="24"/>
                <w:u w:color="000000"/>
                <w:lang w:val="zh-TW" w:eastAsia="zh-TW"/>
              </w:rPr>
            </w:pPr>
            <w:r>
              <w:rPr>
                <w:rFonts w:hint="eastAsia" w:ascii="仿宋_GB2312" w:hAnsi="仿宋_GB2312" w:eastAsia="仿宋_GB2312" w:cs="仿宋_GB2312"/>
                <w:color w:val="000000"/>
                <w:sz w:val="24"/>
                <w:szCs w:val="24"/>
                <w:u w:color="000000"/>
                <w:lang w:val="zh-TW"/>
              </w:rPr>
              <w:t>主任</w:t>
            </w:r>
          </w:p>
        </w:tc>
        <w:tc>
          <w:tcPr>
            <w:tcW w:w="1488" w:type="dxa"/>
          </w:tcPr>
          <w:p>
            <w:pPr>
              <w:spacing w:line="360" w:lineRule="auto"/>
              <w:jc w:val="center"/>
              <w:rPr>
                <w:rFonts w:ascii="仿宋_GB2312" w:hAnsi="仿宋_GB2312" w:eastAsia="仿宋_GB2312" w:cs="仿宋_GB2312"/>
                <w:color w:val="000000"/>
                <w:sz w:val="24"/>
                <w:szCs w:val="24"/>
                <w:u w:color="000000"/>
                <w:lang w:val="zh-TW" w:eastAsia="zh-TW"/>
              </w:rPr>
            </w:pPr>
            <w:r>
              <w:rPr>
                <w:rFonts w:hint="eastAsia" w:ascii="仿宋_GB2312" w:hAnsi="仿宋_GB2312" w:eastAsia="仿宋_GB2312" w:cs="仿宋_GB2312"/>
                <w:color w:val="000000"/>
                <w:sz w:val="24"/>
                <w:szCs w:val="24"/>
                <w:u w:color="000000"/>
                <w:lang w:val="zh-TW"/>
              </w:rPr>
              <w:t>办公室</w:t>
            </w:r>
          </w:p>
        </w:tc>
        <w:tc>
          <w:tcPr>
            <w:tcW w:w="1922"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512" w:type="dxa"/>
            <w:vAlign w:val="center"/>
          </w:tcPr>
          <w:p>
            <w:pPr>
              <w:spacing w:line="360" w:lineRule="auto"/>
              <w:jc w:val="center"/>
              <w:rPr>
                <w:rFonts w:ascii="仿宋_GB2312" w:hAnsi="仿宋_GB2312" w:eastAsia="仿宋_GB2312" w:cs="仿宋_GB2312"/>
                <w:color w:val="000000"/>
                <w:sz w:val="24"/>
                <w:szCs w:val="24"/>
                <w:u w:color="000000"/>
                <w:lang w:val="zh-TW"/>
              </w:rPr>
            </w:pPr>
            <w:r>
              <w:rPr>
                <w:rFonts w:hint="eastAsia" w:ascii="仿宋_GB2312" w:hAnsi="仿宋_GB2312" w:eastAsia="仿宋_GB2312" w:cs="仿宋_GB2312"/>
                <w:color w:val="000000"/>
                <w:sz w:val="24"/>
                <w:szCs w:val="24"/>
                <w:u w:color="000000"/>
                <w:lang w:val="zh-TW"/>
              </w:rPr>
              <w:t>组员</w:t>
            </w:r>
          </w:p>
        </w:tc>
        <w:tc>
          <w:tcPr>
            <w:tcW w:w="1620" w:type="dxa"/>
          </w:tcPr>
          <w:p>
            <w:pPr>
              <w:spacing w:line="360" w:lineRule="auto"/>
              <w:jc w:val="center"/>
              <w:rPr>
                <w:rFonts w:ascii="仿宋_GB2312" w:hAnsi="仿宋_GB2312" w:eastAsia="仿宋_GB2312" w:cs="仿宋_GB2312"/>
                <w:color w:val="000000"/>
                <w:sz w:val="24"/>
                <w:szCs w:val="24"/>
                <w:u w:color="000000"/>
              </w:rPr>
            </w:pPr>
            <w:r>
              <w:rPr>
                <w:rFonts w:hint="eastAsia" w:ascii="仿宋_GB2312" w:hAnsi="仿宋_GB2312" w:eastAsia="仿宋_GB2312" w:cs="仿宋_GB2312"/>
                <w:color w:val="000000"/>
                <w:sz w:val="24"/>
                <w:szCs w:val="24"/>
                <w:u w:color="000000"/>
              </w:rPr>
              <w:t>兰剑</w:t>
            </w:r>
          </w:p>
        </w:tc>
        <w:tc>
          <w:tcPr>
            <w:tcW w:w="1753" w:type="dxa"/>
          </w:tcPr>
          <w:p>
            <w:pPr>
              <w:spacing w:line="360" w:lineRule="auto"/>
              <w:jc w:val="center"/>
              <w:rPr>
                <w:rFonts w:ascii="仿宋_GB2312" w:hAnsi="仿宋_GB2312" w:eastAsia="仿宋_GB2312" w:cs="仿宋_GB2312"/>
                <w:color w:val="000000"/>
                <w:sz w:val="24"/>
                <w:szCs w:val="24"/>
                <w:u w:color="000000"/>
                <w:lang w:val="zh-TW"/>
              </w:rPr>
            </w:pPr>
            <w:r>
              <w:rPr>
                <w:rFonts w:hint="eastAsia" w:ascii="仿宋_GB2312" w:hAnsi="仿宋_GB2312" w:eastAsia="仿宋_GB2312" w:cs="仿宋_GB2312"/>
                <w:color w:val="000000"/>
                <w:sz w:val="24"/>
                <w:szCs w:val="24"/>
                <w:u w:color="000000"/>
                <w:lang w:val="zh-TW"/>
              </w:rPr>
              <w:t>科长</w:t>
            </w:r>
          </w:p>
        </w:tc>
        <w:tc>
          <w:tcPr>
            <w:tcW w:w="1488" w:type="dxa"/>
          </w:tcPr>
          <w:p>
            <w:pPr>
              <w:spacing w:line="360" w:lineRule="auto"/>
              <w:jc w:val="center"/>
              <w:rPr>
                <w:rFonts w:ascii="仿宋_GB2312" w:hAnsi="仿宋_GB2312" w:eastAsia="仿宋_GB2312" w:cs="仿宋_GB2312"/>
                <w:color w:val="000000"/>
                <w:sz w:val="24"/>
                <w:szCs w:val="24"/>
                <w:u w:color="000000"/>
                <w:lang w:val="zh-TW" w:eastAsia="zh-TW"/>
              </w:rPr>
            </w:pPr>
            <w:r>
              <w:rPr>
                <w:rFonts w:hint="eastAsia" w:ascii="仿宋_GB2312" w:hAnsi="仿宋_GB2312" w:eastAsia="仿宋_GB2312" w:cs="仿宋_GB2312"/>
                <w:color w:val="000000"/>
                <w:sz w:val="24"/>
                <w:szCs w:val="24"/>
                <w:u w:color="000000"/>
                <w:lang w:val="zh-TW"/>
              </w:rPr>
              <w:t>房产基建科</w:t>
            </w:r>
          </w:p>
        </w:tc>
        <w:tc>
          <w:tcPr>
            <w:tcW w:w="1922"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295"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rPr>
              <w:t xml:space="preserve">                       </w:t>
            </w:r>
            <w:r>
              <w:rPr>
                <w:rFonts w:hint="eastAsia" w:ascii="Times New Roman" w:hAnsi="Times New Roman" w:eastAsia="黑体" w:cs="黑体"/>
                <w:color w:val="000000"/>
                <w:sz w:val="24"/>
                <w:szCs w:val="24"/>
                <w:u w:color="000000"/>
                <w:lang w:val="zh-TW"/>
              </w:rPr>
              <w:t>年</w:t>
            </w:r>
            <w:r>
              <w:rPr>
                <w:rFonts w:hint="eastAsia" w:ascii="Times New Roman" w:hAnsi="Times New Roman" w:eastAsia="黑体" w:cs="黑体"/>
                <w:color w:val="000000"/>
                <w:sz w:val="24"/>
                <w:szCs w:val="24"/>
                <w:u w:color="000000"/>
              </w:rPr>
              <w:t xml:space="preserve">    </w:t>
            </w:r>
            <w:r>
              <w:rPr>
                <w:rFonts w:hint="eastAsia" w:ascii="Times New Roman" w:hAnsi="Times New Roman" w:eastAsia="黑体" w:cs="黑体"/>
                <w:color w:val="000000"/>
                <w:sz w:val="24"/>
                <w:szCs w:val="24"/>
                <w:u w:color="000000"/>
                <w:lang w:val="zh-TW"/>
              </w:rPr>
              <w:t>月</w:t>
            </w:r>
            <w:r>
              <w:rPr>
                <w:rFonts w:hint="eastAsia" w:ascii="Times New Roman" w:hAnsi="Times New Roman" w:eastAsia="黑体" w:cs="黑体"/>
                <w:color w:val="000000"/>
                <w:sz w:val="24"/>
                <w:szCs w:val="24"/>
                <w:u w:color="000000"/>
              </w:rPr>
              <w:t xml:space="preserve">   </w:t>
            </w:r>
            <w:r>
              <w:rPr>
                <w:rFonts w:hint="eastAsia" w:ascii="Times New Roman" w:hAnsi="Times New Roman" w:eastAsia="黑体" w:cs="黑体"/>
                <w:color w:val="000000"/>
                <w:sz w:val="24"/>
                <w:szCs w:val="24"/>
                <w:u w:color="000000"/>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295"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rPr>
              <w:t xml:space="preserve">                          </w:t>
            </w:r>
            <w:r>
              <w:rPr>
                <w:rFonts w:hint="eastAsia" w:ascii="Times New Roman" w:hAnsi="Times New Roman" w:eastAsia="黑体" w:cs="黑体"/>
                <w:color w:val="000000"/>
                <w:sz w:val="24"/>
                <w:szCs w:val="24"/>
                <w:u w:color="000000"/>
                <w:lang w:val="zh-TW"/>
              </w:rPr>
              <w:t>年</w:t>
            </w:r>
            <w:r>
              <w:rPr>
                <w:rFonts w:hint="eastAsia" w:ascii="Times New Roman" w:hAnsi="Times New Roman" w:eastAsia="黑体" w:cs="黑体"/>
                <w:color w:val="000000"/>
                <w:sz w:val="24"/>
                <w:szCs w:val="24"/>
                <w:u w:color="000000"/>
              </w:rPr>
              <w:t xml:space="preserve">   </w:t>
            </w:r>
            <w:r>
              <w:rPr>
                <w:rFonts w:hint="eastAsia" w:ascii="Times New Roman" w:hAnsi="Times New Roman" w:eastAsia="黑体" w:cs="黑体"/>
                <w:color w:val="000000"/>
                <w:sz w:val="24"/>
                <w:szCs w:val="24"/>
                <w:u w:color="000000"/>
                <w:lang w:val="zh-TW"/>
              </w:rPr>
              <w:t>月</w:t>
            </w:r>
            <w:r>
              <w:rPr>
                <w:rFonts w:hint="eastAsia" w:ascii="Times New Roman" w:hAnsi="Times New Roman" w:eastAsia="黑体" w:cs="黑体"/>
                <w:color w:val="000000"/>
                <w:sz w:val="24"/>
                <w:szCs w:val="24"/>
                <w:u w:color="000000"/>
              </w:rPr>
              <w:t xml:space="preserve">   </w:t>
            </w:r>
            <w:r>
              <w:rPr>
                <w:rFonts w:hint="eastAsia" w:ascii="Times New Roman" w:hAnsi="Times New Roman" w:eastAsia="黑体" w:cs="黑体"/>
                <w:color w:val="000000"/>
                <w:sz w:val="24"/>
                <w:szCs w:val="24"/>
                <w:u w:color="000000"/>
                <w:lang w:val="zh-TW"/>
              </w:rPr>
              <w:t>日</w:t>
            </w:r>
          </w:p>
        </w:tc>
      </w:tr>
    </w:tbl>
    <w:p>
      <w:pPr>
        <w:pStyle w:val="7"/>
        <w:rPr>
          <w:rStyle w:val="13"/>
          <w:color w:val="auto"/>
          <w:u w:val="none"/>
        </w:rPr>
      </w:pPr>
    </w:p>
    <w:p>
      <w:pPr>
        <w:pStyle w:val="7"/>
        <w:rPr>
          <w:rStyle w:val="13"/>
          <w:color w:val="auto"/>
          <w:u w:val="none"/>
        </w:rPr>
      </w:pPr>
    </w:p>
    <w:p>
      <w:pPr>
        <w:pStyle w:val="7"/>
        <w:rPr>
          <w:rStyle w:val="13"/>
          <w:color w:val="auto"/>
          <w:u w:val="none"/>
        </w:rPr>
      </w:pPr>
    </w:p>
    <w:p>
      <w:pPr>
        <w:pStyle w:val="7"/>
        <w:rPr>
          <w:rStyle w:val="13"/>
          <w:color w:val="auto"/>
          <w:u w:val="none"/>
        </w:rPr>
      </w:pPr>
    </w:p>
    <w:p>
      <w:pPr>
        <w:rPr>
          <w:rStyle w:val="13"/>
          <w:color w:val="auto"/>
          <w:u w:val="none"/>
        </w:rPr>
      </w:pPr>
    </w:p>
    <w:p>
      <w:pPr>
        <w:rPr>
          <w:rStyle w:val="13"/>
          <w:color w:val="auto"/>
          <w:u w:val="none"/>
        </w:rPr>
        <w:sectPr>
          <w:footerReference r:id="rId4" w:type="default"/>
          <w:pgSz w:w="11906" w:h="16838"/>
          <w:pgMar w:top="1440" w:right="1800" w:bottom="1440" w:left="1800" w:header="851" w:footer="992" w:gutter="0"/>
          <w:pgNumType w:start="1"/>
          <w:cols w:space="425" w:num="1"/>
          <w:docGrid w:type="lines" w:linePitch="312" w:charSpace="0"/>
        </w:sectPr>
      </w:pPr>
    </w:p>
    <w:p>
      <w:pPr>
        <w:rPr>
          <w:rStyle w:val="13"/>
          <w:color w:val="auto"/>
          <w:u w:val="none"/>
        </w:rPr>
      </w:pPr>
    </w:p>
    <w:p>
      <w:pPr>
        <w:pStyle w:val="7"/>
        <w:spacing w:line="440" w:lineRule="exact"/>
        <w:rPr>
          <w:rStyle w:val="13"/>
          <w:rFonts w:ascii="黑体" w:hAnsi="黑体" w:cs="黑体"/>
          <w:color w:val="auto"/>
          <w:sz w:val="44"/>
          <w:szCs w:val="44"/>
          <w:u w:val="none"/>
        </w:rPr>
      </w:pPr>
      <w:r>
        <w:rPr>
          <w:rStyle w:val="13"/>
          <w:rFonts w:hint="eastAsia" w:ascii="黑体" w:hAnsi="黑体" w:cs="黑体"/>
          <w:color w:val="auto"/>
          <w:sz w:val="44"/>
          <w:szCs w:val="44"/>
          <w:u w:val="none"/>
        </w:rPr>
        <w:t>目录</w:t>
      </w:r>
    </w:p>
    <w:p>
      <w:pPr>
        <w:spacing w:line="440" w:lineRule="exact"/>
        <w:rPr>
          <w:rFonts w:ascii="黑体" w:hAnsi="黑体" w:eastAsia="黑体" w:cs="黑体"/>
          <w:sz w:val="28"/>
          <w:szCs w:val="28"/>
        </w:rPr>
      </w:pPr>
    </w:p>
    <w:p>
      <w:pPr>
        <w:pStyle w:val="7"/>
        <w:spacing w:line="440" w:lineRule="exact"/>
        <w:rPr>
          <w:rStyle w:val="13"/>
          <w:rFonts w:ascii="黑体" w:hAnsi="黑体" w:cs="黑体"/>
          <w:color w:val="auto"/>
          <w:sz w:val="28"/>
          <w:szCs w:val="28"/>
          <w:u w:val="none"/>
        </w:rPr>
      </w:pPr>
      <w:r>
        <w:rPr>
          <w:rStyle w:val="13"/>
          <w:rFonts w:hint="eastAsia" w:ascii="黑体" w:hAnsi="黑体" w:cs="黑体"/>
          <w:color w:val="auto"/>
          <w:sz w:val="28"/>
          <w:szCs w:val="28"/>
          <w:u w:val="none"/>
        </w:rPr>
        <w:t>摘要</w:t>
      </w:r>
    </w:p>
    <w:p>
      <w:pPr>
        <w:pStyle w:val="7"/>
        <w:tabs>
          <w:tab w:val="right" w:leader="dot" w:pos="8306"/>
          <w:tab w:val="clear" w:pos="8296"/>
        </w:tabs>
        <w:spacing w:line="440" w:lineRule="exact"/>
        <w:rPr>
          <w:rFonts w:ascii="黑体" w:hAnsi="黑体" w:cs="黑体"/>
          <w:sz w:val="24"/>
          <w:szCs w:val="24"/>
        </w:rPr>
      </w:pPr>
      <w:r>
        <w:rPr>
          <w:rStyle w:val="13"/>
          <w:rFonts w:hint="eastAsia"/>
        </w:rPr>
        <w:fldChar w:fldCharType="begin"/>
      </w:r>
      <w:r>
        <w:rPr>
          <w:rStyle w:val="13"/>
          <w:rFonts w:hint="eastAsia" w:ascii="黑体" w:hAnsi="黑体" w:cs="黑体"/>
          <w:sz w:val="28"/>
          <w:szCs w:val="28"/>
        </w:rPr>
        <w:instrText xml:space="preserve">TOC \o "1-2" \h \z \u</w:instrText>
      </w:r>
      <w:r>
        <w:rPr>
          <w:rStyle w:val="13"/>
          <w:rFonts w:hint="eastAsia"/>
        </w:rPr>
        <w:fldChar w:fldCharType="separate"/>
      </w:r>
      <w:r>
        <w:fldChar w:fldCharType="begin"/>
      </w:r>
      <w:r>
        <w:instrText xml:space="preserve"> HYPERLINK \l "_Toc21999" </w:instrText>
      </w:r>
      <w:r>
        <w:fldChar w:fldCharType="separate"/>
      </w:r>
      <w:r>
        <w:rPr>
          <w:rFonts w:hint="eastAsia" w:ascii="黑体" w:hAnsi="黑体" w:cs="黑体"/>
          <w:kern w:val="44"/>
          <w:sz w:val="24"/>
          <w:szCs w:val="24"/>
        </w:rPr>
        <w:t>一、项目概况</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_Toc21999 </w:instrText>
      </w:r>
      <w:r>
        <w:rPr>
          <w:rFonts w:hint="eastAsia" w:ascii="黑体" w:hAnsi="黑体" w:cs="黑体"/>
          <w:sz w:val="24"/>
          <w:szCs w:val="24"/>
        </w:rPr>
        <w:fldChar w:fldCharType="separate"/>
      </w:r>
      <w:r>
        <w:rPr>
          <w:rFonts w:hint="eastAsia" w:ascii="黑体" w:hAnsi="黑体" w:cs="黑体"/>
          <w:sz w:val="24"/>
          <w:szCs w:val="24"/>
        </w:rPr>
        <w:t>1</w:t>
      </w:r>
      <w:r>
        <w:rPr>
          <w:rFonts w:hint="eastAsia" w:ascii="黑体" w:hAnsi="黑体" w:cs="黑体"/>
          <w:sz w:val="24"/>
          <w:szCs w:val="24"/>
        </w:rPr>
        <w:fldChar w:fldCharType="end"/>
      </w:r>
      <w:r>
        <w:rPr>
          <w:rFonts w:hint="eastAsia" w:ascii="黑体" w:hAnsi="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"_Toc27318" </w:instrText>
      </w:r>
      <w:r>
        <w:fldChar w:fldCharType="separate"/>
      </w:r>
      <w:r>
        <w:rPr>
          <w:rFonts w:hint="eastAsia" w:ascii="黑体" w:hAnsi="黑体" w:eastAsia="黑体" w:cs="黑体"/>
          <w:sz w:val="24"/>
          <w:szCs w:val="24"/>
        </w:rPr>
        <w:t>（一）项目立项背景及目的</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_Toc27318 </w:instrText>
      </w:r>
      <w:r>
        <w:rPr>
          <w:rFonts w:hint="eastAsia" w:ascii="黑体" w:hAnsi="黑体" w:eastAsia="黑体" w:cs="黑体"/>
          <w:sz w:val="24"/>
          <w:szCs w:val="24"/>
        </w:rPr>
        <w:fldChar w:fldCharType="separate"/>
      </w:r>
      <w:r>
        <w:rPr>
          <w:rFonts w:hint="eastAsia" w:ascii="黑体" w:hAnsi="黑体" w:eastAsia="黑体" w:cs="黑体"/>
          <w:sz w:val="24"/>
          <w:szCs w:val="24"/>
        </w:rPr>
        <w:t>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"_Toc8460" </w:instrText>
      </w:r>
      <w:r>
        <w:fldChar w:fldCharType="separate"/>
      </w:r>
      <w:r>
        <w:rPr>
          <w:rFonts w:hint="eastAsia" w:ascii="黑体" w:hAnsi="黑体" w:eastAsia="黑体" w:cs="黑体"/>
          <w:sz w:val="24"/>
          <w:szCs w:val="24"/>
        </w:rPr>
        <w:t>（二）预算收支情况</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_Toc8460 </w:instrText>
      </w:r>
      <w:r>
        <w:rPr>
          <w:rFonts w:hint="eastAsia" w:ascii="黑体" w:hAnsi="黑体" w:eastAsia="黑体" w:cs="黑体"/>
          <w:sz w:val="24"/>
          <w:szCs w:val="24"/>
        </w:rPr>
        <w:fldChar w:fldCharType="separate"/>
      </w:r>
      <w:r>
        <w:rPr>
          <w:rFonts w:hint="eastAsia" w:ascii="黑体" w:hAnsi="黑体" w:eastAsia="黑体" w:cs="黑体"/>
          <w:sz w:val="24"/>
          <w:szCs w:val="24"/>
        </w:rPr>
        <w:t>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7"/>
        <w:tabs>
          <w:tab w:val="right" w:leader="dot" w:pos="8306"/>
          <w:tab w:val="clear" w:pos="8296"/>
        </w:tabs>
        <w:spacing w:line="440" w:lineRule="exact"/>
        <w:rPr>
          <w:rFonts w:ascii="黑体" w:hAnsi="黑体" w:cs="黑体"/>
          <w:sz w:val="24"/>
          <w:szCs w:val="24"/>
        </w:rPr>
      </w:pPr>
      <w:r>
        <w:fldChar w:fldCharType="begin"/>
      </w:r>
      <w:r>
        <w:instrText xml:space="preserve"> HYPERLINK \l "_Toc11128" </w:instrText>
      </w:r>
      <w:r>
        <w:fldChar w:fldCharType="separate"/>
      </w:r>
      <w:r>
        <w:rPr>
          <w:rFonts w:hint="eastAsia" w:ascii="黑体" w:hAnsi="黑体" w:cs="黑体"/>
          <w:kern w:val="44"/>
          <w:sz w:val="24"/>
          <w:szCs w:val="24"/>
        </w:rPr>
        <w:t>二、评价结论</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_Toc11128 </w:instrText>
      </w:r>
      <w:r>
        <w:rPr>
          <w:rFonts w:hint="eastAsia" w:ascii="黑体" w:hAnsi="黑体" w:cs="黑体"/>
          <w:sz w:val="24"/>
          <w:szCs w:val="24"/>
        </w:rPr>
        <w:fldChar w:fldCharType="separate"/>
      </w:r>
      <w:r>
        <w:rPr>
          <w:rFonts w:hint="eastAsia" w:ascii="黑体" w:hAnsi="黑体" w:cs="黑体"/>
          <w:sz w:val="24"/>
          <w:szCs w:val="24"/>
        </w:rPr>
        <w:t>1</w:t>
      </w:r>
      <w:r>
        <w:rPr>
          <w:rFonts w:hint="eastAsia" w:ascii="黑体" w:hAnsi="黑体" w:cs="黑体"/>
          <w:sz w:val="24"/>
          <w:szCs w:val="24"/>
        </w:rPr>
        <w:fldChar w:fldCharType="end"/>
      </w:r>
      <w:r>
        <w:rPr>
          <w:rFonts w:hint="eastAsia" w:ascii="黑体" w:hAnsi="黑体" w:cs="黑体"/>
          <w:sz w:val="24"/>
          <w:szCs w:val="24"/>
        </w:rPr>
        <w:fldChar w:fldCharType="end"/>
      </w:r>
    </w:p>
    <w:p>
      <w:pPr>
        <w:pStyle w:val="7"/>
        <w:tabs>
          <w:tab w:val="right" w:leader="dot" w:pos="8306"/>
          <w:tab w:val="clear" w:pos="8296"/>
        </w:tabs>
        <w:spacing w:line="440" w:lineRule="exact"/>
        <w:rPr>
          <w:rFonts w:ascii="黑体" w:hAnsi="黑体" w:cs="黑体"/>
          <w:sz w:val="24"/>
          <w:szCs w:val="24"/>
        </w:rPr>
      </w:pPr>
      <w:r>
        <w:fldChar w:fldCharType="begin"/>
      </w:r>
      <w:r>
        <w:instrText xml:space="preserve"> HYPERLINK \l "_Toc8608" </w:instrText>
      </w:r>
      <w:r>
        <w:fldChar w:fldCharType="separate"/>
      </w:r>
      <w:r>
        <w:rPr>
          <w:rFonts w:hint="eastAsia" w:ascii="黑体" w:hAnsi="黑体" w:cs="黑体"/>
          <w:kern w:val="44"/>
          <w:sz w:val="24"/>
          <w:szCs w:val="24"/>
        </w:rPr>
        <w:t>三、经验、问题和建议</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_Toc8608 </w:instrText>
      </w:r>
      <w:r>
        <w:rPr>
          <w:rFonts w:hint="eastAsia" w:ascii="黑体" w:hAnsi="黑体" w:cs="黑体"/>
          <w:sz w:val="24"/>
          <w:szCs w:val="24"/>
        </w:rPr>
        <w:fldChar w:fldCharType="separate"/>
      </w:r>
      <w:r>
        <w:rPr>
          <w:rFonts w:hint="eastAsia" w:ascii="黑体" w:hAnsi="黑体" w:cs="黑体"/>
          <w:sz w:val="24"/>
          <w:szCs w:val="24"/>
        </w:rPr>
        <w:t>2</w:t>
      </w:r>
      <w:r>
        <w:rPr>
          <w:rFonts w:hint="eastAsia" w:ascii="黑体" w:hAnsi="黑体" w:cs="黑体"/>
          <w:sz w:val="24"/>
          <w:szCs w:val="24"/>
        </w:rPr>
        <w:fldChar w:fldCharType="end"/>
      </w:r>
      <w:r>
        <w:rPr>
          <w:rFonts w:hint="eastAsia" w:ascii="黑体" w:hAnsi="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"_Toc26064" </w:instrText>
      </w:r>
      <w:r>
        <w:fldChar w:fldCharType="separate"/>
      </w:r>
      <w:r>
        <w:rPr>
          <w:rFonts w:hint="eastAsia" w:ascii="黑体" w:hAnsi="黑体" w:eastAsia="黑体" w:cs="黑体"/>
          <w:sz w:val="24"/>
          <w:szCs w:val="24"/>
        </w:rPr>
        <w:t>（一）主要经验及做法</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_Toc26064 </w:instrText>
      </w:r>
      <w:r>
        <w:rPr>
          <w:rFonts w:hint="eastAsia" w:ascii="黑体" w:hAnsi="黑体" w:eastAsia="黑体" w:cs="黑体"/>
          <w:sz w:val="24"/>
          <w:szCs w:val="24"/>
        </w:rPr>
        <w:fldChar w:fldCharType="separate"/>
      </w:r>
      <w:r>
        <w:rPr>
          <w:rFonts w:hint="eastAsia" w:ascii="黑体" w:hAnsi="黑体" w:eastAsia="黑体" w:cs="黑体"/>
          <w:sz w:val="24"/>
          <w:szCs w:val="24"/>
        </w:rPr>
        <w:t>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"_Toc12407" </w:instrText>
      </w:r>
      <w:r>
        <w:fldChar w:fldCharType="separate"/>
      </w:r>
      <w:r>
        <w:rPr>
          <w:rFonts w:hint="eastAsia" w:ascii="黑体" w:hAnsi="黑体" w:eastAsia="黑体" w:cs="黑体"/>
          <w:sz w:val="24"/>
          <w:szCs w:val="24"/>
        </w:rPr>
        <w:t>（二）存在的问题</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_Toc12407 </w:instrText>
      </w:r>
      <w:r>
        <w:rPr>
          <w:rFonts w:hint="eastAsia" w:ascii="黑体" w:hAnsi="黑体" w:eastAsia="黑体" w:cs="黑体"/>
          <w:sz w:val="24"/>
          <w:szCs w:val="24"/>
        </w:rPr>
        <w:fldChar w:fldCharType="separate"/>
      </w:r>
      <w:r>
        <w:rPr>
          <w:rFonts w:hint="eastAsia" w:ascii="黑体" w:hAnsi="黑体" w:eastAsia="黑体" w:cs="黑体"/>
          <w:sz w:val="24"/>
          <w:szCs w:val="24"/>
        </w:rPr>
        <w:t>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"_Toc10578" </w:instrText>
      </w:r>
      <w:r>
        <w:fldChar w:fldCharType="separate"/>
      </w:r>
      <w:r>
        <w:rPr>
          <w:rFonts w:hint="eastAsia" w:ascii="黑体" w:hAnsi="黑体" w:eastAsia="黑体" w:cs="黑体"/>
          <w:sz w:val="24"/>
          <w:szCs w:val="24"/>
        </w:rPr>
        <w:t>（三）建议和改进措施</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_Toc10578 </w:instrText>
      </w:r>
      <w:r>
        <w:rPr>
          <w:rFonts w:hint="eastAsia" w:ascii="黑体" w:hAnsi="黑体" w:eastAsia="黑体" w:cs="黑体"/>
          <w:sz w:val="24"/>
          <w:szCs w:val="24"/>
        </w:rPr>
        <w:fldChar w:fldCharType="separate"/>
      </w:r>
      <w:r>
        <w:rPr>
          <w:rFonts w:hint="eastAsia" w:ascii="黑体" w:hAnsi="黑体" w:eastAsia="黑体" w:cs="黑体"/>
          <w:sz w:val="24"/>
          <w:szCs w:val="24"/>
        </w:rPr>
        <w:t>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7"/>
        <w:spacing w:line="440" w:lineRule="exact"/>
        <w:rPr>
          <w:rStyle w:val="13"/>
          <w:rFonts w:ascii="黑体" w:hAnsi="黑体" w:cs="黑体"/>
          <w:color w:val="auto"/>
          <w:sz w:val="24"/>
          <w:szCs w:val="24"/>
          <w:u w:val="none"/>
        </w:rPr>
      </w:pPr>
      <w:r>
        <w:rPr>
          <w:rStyle w:val="13"/>
          <w:rFonts w:hint="eastAsia" w:ascii="黑体" w:hAnsi="黑体" w:cs="黑体"/>
          <w:color w:val="auto"/>
          <w:sz w:val="24"/>
          <w:szCs w:val="24"/>
          <w:u w:val="none"/>
        </w:rPr>
        <w:t>正文</w:t>
      </w:r>
    </w:p>
    <w:p>
      <w:pPr>
        <w:pStyle w:val="7"/>
        <w:tabs>
          <w:tab w:val="right" w:leader="dot" w:pos="8306"/>
          <w:tab w:val="clear" w:pos="8296"/>
        </w:tabs>
        <w:spacing w:line="440" w:lineRule="exact"/>
        <w:rPr>
          <w:rFonts w:ascii="黑体" w:hAnsi="黑体" w:cs="黑体"/>
          <w:sz w:val="24"/>
          <w:szCs w:val="24"/>
        </w:rPr>
      </w:pPr>
      <w:r>
        <w:fldChar w:fldCharType="begin"/>
      </w:r>
      <w:r>
        <w:instrText xml:space="preserve"> HYPERLINK \l "_Toc6396" </w:instrText>
      </w:r>
      <w:r>
        <w:fldChar w:fldCharType="separate"/>
      </w:r>
      <w:r>
        <w:rPr>
          <w:rFonts w:hint="eastAsia" w:ascii="黑体" w:hAnsi="黑体" w:cs="黑体"/>
          <w:kern w:val="44"/>
          <w:sz w:val="24"/>
          <w:szCs w:val="24"/>
        </w:rPr>
        <w:t>一、项目基本情况</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_Toc6396 </w:instrText>
      </w:r>
      <w:r>
        <w:rPr>
          <w:rFonts w:hint="eastAsia" w:ascii="黑体" w:hAnsi="黑体" w:cs="黑体"/>
          <w:sz w:val="24"/>
          <w:szCs w:val="24"/>
        </w:rPr>
        <w:fldChar w:fldCharType="separate"/>
      </w:r>
      <w:r>
        <w:rPr>
          <w:rFonts w:hint="eastAsia" w:ascii="黑体" w:hAnsi="黑体" w:cs="黑体"/>
          <w:sz w:val="24"/>
          <w:szCs w:val="24"/>
        </w:rPr>
        <w:t>3</w:t>
      </w:r>
      <w:r>
        <w:rPr>
          <w:rFonts w:hint="eastAsia" w:ascii="黑体" w:hAnsi="黑体" w:cs="黑体"/>
          <w:sz w:val="24"/>
          <w:szCs w:val="24"/>
        </w:rPr>
        <w:fldChar w:fldCharType="end"/>
      </w:r>
      <w:r>
        <w:rPr>
          <w:rFonts w:hint="eastAsia" w:ascii="黑体" w:hAnsi="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"_Toc19773" </w:instrText>
      </w:r>
      <w:r>
        <w:fldChar w:fldCharType="separate"/>
      </w:r>
      <w:r>
        <w:rPr>
          <w:rFonts w:hint="eastAsia" w:ascii="黑体" w:hAnsi="黑体" w:eastAsia="黑体" w:cs="黑体"/>
          <w:sz w:val="24"/>
          <w:szCs w:val="24"/>
        </w:rPr>
        <w:t>（一）项目概况</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_Toc19773 </w:instrText>
      </w:r>
      <w:r>
        <w:rPr>
          <w:rFonts w:hint="eastAsia" w:ascii="黑体" w:hAnsi="黑体" w:eastAsia="黑体" w:cs="黑体"/>
          <w:sz w:val="24"/>
          <w:szCs w:val="24"/>
        </w:rPr>
        <w:fldChar w:fldCharType="separate"/>
      </w:r>
      <w:r>
        <w:rPr>
          <w:rFonts w:hint="eastAsia" w:ascii="黑体" w:hAnsi="黑体" w:eastAsia="黑体" w:cs="黑体"/>
          <w:sz w:val="24"/>
          <w:szCs w:val="24"/>
        </w:rPr>
        <w:t>3</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"_Toc12531" </w:instrText>
      </w:r>
      <w:r>
        <w:fldChar w:fldCharType="separate"/>
      </w:r>
      <w:r>
        <w:rPr>
          <w:rFonts w:hint="eastAsia" w:ascii="黑体" w:hAnsi="黑体" w:eastAsia="黑体" w:cs="黑体"/>
          <w:sz w:val="24"/>
          <w:szCs w:val="24"/>
        </w:rPr>
        <w:t>（二）项目绩效目标</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_Toc12531 </w:instrText>
      </w:r>
      <w:r>
        <w:rPr>
          <w:rFonts w:hint="eastAsia" w:ascii="黑体" w:hAnsi="黑体" w:eastAsia="黑体" w:cs="黑体"/>
          <w:sz w:val="24"/>
          <w:szCs w:val="24"/>
        </w:rPr>
        <w:fldChar w:fldCharType="separate"/>
      </w:r>
      <w:r>
        <w:rPr>
          <w:rFonts w:hint="eastAsia" w:ascii="黑体" w:hAnsi="黑体" w:eastAsia="黑体" w:cs="黑体"/>
          <w:sz w:val="24"/>
          <w:szCs w:val="24"/>
        </w:rPr>
        <w:t>4</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7"/>
        <w:tabs>
          <w:tab w:val="right" w:leader="dot" w:pos="8306"/>
          <w:tab w:val="clear" w:pos="8296"/>
        </w:tabs>
        <w:spacing w:line="440" w:lineRule="exact"/>
        <w:rPr>
          <w:rFonts w:ascii="黑体" w:hAnsi="黑体" w:cs="黑体"/>
          <w:sz w:val="24"/>
          <w:szCs w:val="24"/>
        </w:rPr>
      </w:pPr>
      <w:r>
        <w:fldChar w:fldCharType="begin"/>
      </w:r>
      <w:r>
        <w:instrText xml:space="preserve"> HYPERLINK \l "_Toc17110" </w:instrText>
      </w:r>
      <w:r>
        <w:fldChar w:fldCharType="separate"/>
      </w:r>
      <w:r>
        <w:rPr>
          <w:rFonts w:hint="eastAsia" w:ascii="黑体" w:hAnsi="黑体" w:cs="黑体"/>
          <w:kern w:val="44"/>
          <w:sz w:val="24"/>
          <w:szCs w:val="24"/>
        </w:rPr>
        <w:t>二、绩效评价工作情况</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_Toc17110 </w:instrText>
      </w:r>
      <w:r>
        <w:rPr>
          <w:rFonts w:hint="eastAsia" w:ascii="黑体" w:hAnsi="黑体" w:cs="黑体"/>
          <w:sz w:val="24"/>
          <w:szCs w:val="24"/>
        </w:rPr>
        <w:fldChar w:fldCharType="separate"/>
      </w:r>
      <w:r>
        <w:rPr>
          <w:rFonts w:hint="eastAsia" w:ascii="黑体" w:hAnsi="黑体" w:cs="黑体"/>
          <w:sz w:val="24"/>
          <w:szCs w:val="24"/>
        </w:rPr>
        <w:t>4</w:t>
      </w:r>
      <w:r>
        <w:rPr>
          <w:rFonts w:hint="eastAsia" w:ascii="黑体" w:hAnsi="黑体" w:cs="黑体"/>
          <w:sz w:val="24"/>
          <w:szCs w:val="24"/>
        </w:rPr>
        <w:fldChar w:fldCharType="end"/>
      </w:r>
      <w:r>
        <w:rPr>
          <w:rFonts w:hint="eastAsia" w:ascii="黑体" w:hAnsi="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"_Toc9676" </w:instrText>
      </w:r>
      <w:r>
        <w:fldChar w:fldCharType="separate"/>
      </w:r>
      <w:r>
        <w:rPr>
          <w:rFonts w:hint="eastAsia" w:ascii="黑体" w:hAnsi="黑体" w:eastAsia="黑体" w:cs="黑体"/>
          <w:sz w:val="24"/>
          <w:szCs w:val="24"/>
        </w:rPr>
        <w:t>(一)评价的目的和依据</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_Toc9676 </w:instrText>
      </w:r>
      <w:r>
        <w:rPr>
          <w:rFonts w:hint="eastAsia" w:ascii="黑体" w:hAnsi="黑体" w:eastAsia="黑体" w:cs="黑体"/>
          <w:sz w:val="24"/>
          <w:szCs w:val="24"/>
        </w:rPr>
        <w:fldChar w:fldCharType="separate"/>
      </w:r>
      <w:r>
        <w:rPr>
          <w:rFonts w:hint="eastAsia" w:ascii="黑体" w:hAnsi="黑体" w:eastAsia="黑体" w:cs="黑体"/>
          <w:sz w:val="24"/>
          <w:szCs w:val="24"/>
        </w:rPr>
        <w:t>4</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"_Toc2086" </w:instrText>
      </w:r>
      <w:r>
        <w:fldChar w:fldCharType="separate"/>
      </w:r>
      <w:r>
        <w:rPr>
          <w:rFonts w:hint="eastAsia" w:ascii="黑体" w:hAnsi="黑体" w:eastAsia="黑体" w:cs="黑体"/>
          <w:sz w:val="24"/>
          <w:szCs w:val="24"/>
        </w:rPr>
        <w:t>（二）绩效评价工作方案制定过程</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_Toc2086 </w:instrText>
      </w:r>
      <w:r>
        <w:rPr>
          <w:rFonts w:hint="eastAsia" w:ascii="黑体" w:hAnsi="黑体" w:eastAsia="黑体" w:cs="黑体"/>
          <w:sz w:val="24"/>
          <w:szCs w:val="24"/>
        </w:rPr>
        <w:fldChar w:fldCharType="separate"/>
      </w:r>
      <w:r>
        <w:rPr>
          <w:rFonts w:hint="eastAsia" w:ascii="黑体" w:hAnsi="黑体" w:eastAsia="黑体" w:cs="黑体"/>
          <w:sz w:val="24"/>
          <w:szCs w:val="24"/>
        </w:rPr>
        <w:t>5</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"_Toc21465" </w:instrText>
      </w:r>
      <w:r>
        <w:fldChar w:fldCharType="separate"/>
      </w:r>
      <w:r>
        <w:rPr>
          <w:rFonts w:hint="eastAsia" w:ascii="黑体" w:hAnsi="黑体" w:eastAsia="黑体" w:cs="黑体"/>
          <w:sz w:val="24"/>
          <w:szCs w:val="24"/>
        </w:rPr>
        <w:t>（三）绩效评价原则及评价方法</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_Toc21465 </w:instrText>
      </w:r>
      <w:r>
        <w:rPr>
          <w:rFonts w:hint="eastAsia" w:ascii="黑体" w:hAnsi="黑体" w:eastAsia="黑体" w:cs="黑体"/>
          <w:sz w:val="24"/>
          <w:szCs w:val="24"/>
        </w:rPr>
        <w:fldChar w:fldCharType="separate"/>
      </w:r>
      <w:r>
        <w:rPr>
          <w:rFonts w:hint="eastAsia" w:ascii="黑体" w:hAnsi="黑体" w:eastAsia="黑体" w:cs="黑体"/>
          <w:sz w:val="24"/>
          <w:szCs w:val="24"/>
        </w:rPr>
        <w:t>6</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"_Toc6957" </w:instrText>
      </w:r>
      <w:r>
        <w:fldChar w:fldCharType="separate"/>
      </w:r>
      <w:r>
        <w:rPr>
          <w:rFonts w:hint="eastAsia" w:ascii="黑体" w:hAnsi="黑体" w:eastAsia="黑体" w:cs="黑体"/>
          <w:sz w:val="24"/>
          <w:szCs w:val="24"/>
        </w:rPr>
        <w:t>(四) 绩效评价实施过程</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_Toc6957 </w:instrText>
      </w:r>
      <w:r>
        <w:rPr>
          <w:rFonts w:hint="eastAsia" w:ascii="黑体" w:hAnsi="黑体" w:eastAsia="黑体" w:cs="黑体"/>
          <w:sz w:val="24"/>
          <w:szCs w:val="24"/>
        </w:rPr>
        <w:fldChar w:fldCharType="separate"/>
      </w:r>
      <w:r>
        <w:rPr>
          <w:rFonts w:hint="eastAsia" w:ascii="黑体" w:hAnsi="黑体" w:eastAsia="黑体" w:cs="黑体"/>
          <w:sz w:val="24"/>
          <w:szCs w:val="24"/>
        </w:rPr>
        <w:t>6</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"_Toc32216" </w:instrText>
      </w:r>
      <w:r>
        <w:fldChar w:fldCharType="separate"/>
      </w:r>
      <w:r>
        <w:rPr>
          <w:rFonts w:hint="eastAsia" w:ascii="黑体" w:hAnsi="黑体" w:eastAsia="黑体" w:cs="黑体"/>
          <w:sz w:val="24"/>
          <w:szCs w:val="24"/>
        </w:rPr>
        <w:t>（五）绩效评价的局限性</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_Toc32216 </w:instrText>
      </w:r>
      <w:r>
        <w:rPr>
          <w:rFonts w:hint="eastAsia" w:ascii="黑体" w:hAnsi="黑体" w:eastAsia="黑体" w:cs="黑体"/>
          <w:sz w:val="24"/>
          <w:szCs w:val="24"/>
        </w:rPr>
        <w:fldChar w:fldCharType="separate"/>
      </w:r>
      <w:r>
        <w:rPr>
          <w:rFonts w:hint="eastAsia" w:ascii="黑体" w:hAnsi="黑体" w:eastAsia="黑体" w:cs="黑体"/>
          <w:sz w:val="24"/>
          <w:szCs w:val="24"/>
        </w:rPr>
        <w:t>7</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7"/>
        <w:tabs>
          <w:tab w:val="right" w:leader="dot" w:pos="8306"/>
          <w:tab w:val="clear" w:pos="8296"/>
        </w:tabs>
        <w:spacing w:line="440" w:lineRule="exact"/>
        <w:rPr>
          <w:rFonts w:ascii="黑体" w:hAnsi="黑体" w:cs="黑体"/>
          <w:sz w:val="24"/>
          <w:szCs w:val="24"/>
        </w:rPr>
      </w:pPr>
      <w:r>
        <w:fldChar w:fldCharType="begin"/>
      </w:r>
      <w:r>
        <w:instrText xml:space="preserve"> HYPERLINK \l "_Toc17423" </w:instrText>
      </w:r>
      <w:r>
        <w:fldChar w:fldCharType="separate"/>
      </w:r>
      <w:r>
        <w:rPr>
          <w:rFonts w:hint="eastAsia" w:ascii="黑体" w:hAnsi="黑体" w:cs="黑体"/>
          <w:kern w:val="44"/>
          <w:sz w:val="24"/>
          <w:szCs w:val="24"/>
        </w:rPr>
        <w:t>三、评价结论和绩效分析</w:t>
      </w:r>
      <w:r>
        <w:rPr>
          <w:rFonts w:hint="eastAsia" w:ascii="黑体" w:hAnsi="黑体" w:cs="黑体"/>
          <w:sz w:val="24"/>
          <w:szCs w:val="24"/>
        </w:rPr>
        <w:tab/>
      </w:r>
      <w:bookmarkStart w:id="31" w:name="_GoBack"/>
      <w:bookmarkEnd w:id="31"/>
      <w:r>
        <w:rPr>
          <w:rFonts w:hint="eastAsia" w:ascii="黑体" w:hAnsi="黑体" w:cs="黑体"/>
          <w:sz w:val="24"/>
          <w:szCs w:val="24"/>
        </w:rPr>
        <w:fldChar w:fldCharType="begin"/>
      </w:r>
      <w:r>
        <w:rPr>
          <w:rFonts w:hint="eastAsia" w:ascii="黑体" w:hAnsi="黑体" w:cs="黑体"/>
          <w:sz w:val="24"/>
          <w:szCs w:val="24"/>
        </w:rPr>
        <w:instrText xml:space="preserve"> PAGEREF _Toc17423 </w:instrText>
      </w:r>
      <w:r>
        <w:rPr>
          <w:rFonts w:hint="eastAsia" w:ascii="黑体" w:hAnsi="黑体" w:cs="黑体"/>
          <w:sz w:val="24"/>
          <w:szCs w:val="24"/>
        </w:rPr>
        <w:fldChar w:fldCharType="separate"/>
      </w:r>
      <w:r>
        <w:rPr>
          <w:rFonts w:hint="eastAsia" w:ascii="黑体" w:hAnsi="黑体" w:cs="黑体"/>
          <w:sz w:val="24"/>
          <w:szCs w:val="24"/>
        </w:rPr>
        <w:t>7</w:t>
      </w:r>
      <w:r>
        <w:rPr>
          <w:rFonts w:hint="eastAsia" w:ascii="黑体" w:hAnsi="黑体" w:cs="黑体"/>
          <w:sz w:val="24"/>
          <w:szCs w:val="24"/>
        </w:rPr>
        <w:fldChar w:fldCharType="end"/>
      </w:r>
      <w:r>
        <w:rPr>
          <w:rFonts w:hint="eastAsia" w:ascii="黑体" w:hAnsi="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"_Toc7732" </w:instrText>
      </w:r>
      <w:r>
        <w:fldChar w:fldCharType="separate"/>
      </w:r>
      <w:r>
        <w:rPr>
          <w:rFonts w:hint="eastAsia" w:ascii="黑体" w:hAnsi="黑体" w:eastAsia="黑体" w:cs="黑体"/>
          <w:sz w:val="24"/>
          <w:szCs w:val="24"/>
        </w:rPr>
        <w:t>(一)评价结论</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_Toc7732 </w:instrText>
      </w:r>
      <w:r>
        <w:rPr>
          <w:rFonts w:hint="eastAsia" w:ascii="黑体" w:hAnsi="黑体" w:eastAsia="黑体" w:cs="黑体"/>
          <w:sz w:val="24"/>
          <w:szCs w:val="24"/>
        </w:rPr>
        <w:fldChar w:fldCharType="separate"/>
      </w:r>
      <w:r>
        <w:rPr>
          <w:rFonts w:hint="eastAsia" w:ascii="黑体" w:hAnsi="黑体" w:eastAsia="黑体" w:cs="黑体"/>
          <w:sz w:val="24"/>
          <w:szCs w:val="24"/>
        </w:rPr>
        <w:t>7</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"_Toc25367" </w:instrText>
      </w:r>
      <w:r>
        <w:fldChar w:fldCharType="separate"/>
      </w:r>
      <w:r>
        <w:rPr>
          <w:rFonts w:hint="eastAsia" w:ascii="黑体" w:hAnsi="黑体" w:eastAsia="黑体" w:cs="黑体"/>
          <w:sz w:val="24"/>
          <w:szCs w:val="24"/>
        </w:rPr>
        <w:t>（二）具体绩效分析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_Toc25367 </w:instrText>
      </w:r>
      <w:r>
        <w:rPr>
          <w:rFonts w:hint="eastAsia" w:ascii="黑体" w:hAnsi="黑体" w:eastAsia="黑体" w:cs="黑体"/>
          <w:sz w:val="24"/>
          <w:szCs w:val="24"/>
        </w:rPr>
        <w:fldChar w:fldCharType="separate"/>
      </w:r>
      <w:r>
        <w:rPr>
          <w:rFonts w:hint="eastAsia" w:ascii="黑体" w:hAnsi="黑体" w:eastAsia="黑体" w:cs="黑体"/>
          <w:sz w:val="24"/>
          <w:szCs w:val="24"/>
        </w:rPr>
        <w:t>8</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7"/>
        <w:tabs>
          <w:tab w:val="right" w:leader="dot" w:pos="8306"/>
          <w:tab w:val="clear" w:pos="8296"/>
        </w:tabs>
        <w:spacing w:line="440" w:lineRule="exact"/>
        <w:rPr>
          <w:rFonts w:ascii="黑体" w:hAnsi="黑体" w:cs="黑体"/>
          <w:sz w:val="24"/>
          <w:szCs w:val="24"/>
        </w:rPr>
      </w:pPr>
      <w:r>
        <w:fldChar w:fldCharType="begin"/>
      </w:r>
      <w:r>
        <w:instrText xml:space="preserve"> HYPERLINK \l "_Toc19821" </w:instrText>
      </w:r>
      <w:r>
        <w:fldChar w:fldCharType="separate"/>
      </w:r>
      <w:r>
        <w:rPr>
          <w:rFonts w:hint="eastAsia" w:ascii="黑体" w:hAnsi="黑体" w:cs="黑体"/>
          <w:kern w:val="44"/>
          <w:sz w:val="24"/>
          <w:szCs w:val="24"/>
        </w:rPr>
        <w:t>四、成本效益分析</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_Toc19821 </w:instrText>
      </w:r>
      <w:r>
        <w:rPr>
          <w:rFonts w:hint="eastAsia" w:ascii="黑体" w:hAnsi="黑体" w:cs="黑体"/>
          <w:sz w:val="24"/>
          <w:szCs w:val="24"/>
        </w:rPr>
        <w:fldChar w:fldCharType="separate"/>
      </w:r>
      <w:r>
        <w:rPr>
          <w:rFonts w:hint="eastAsia" w:ascii="黑体" w:hAnsi="黑体" w:cs="黑体"/>
          <w:sz w:val="24"/>
          <w:szCs w:val="24"/>
        </w:rPr>
        <w:t>8</w:t>
      </w:r>
      <w:r>
        <w:rPr>
          <w:rFonts w:hint="eastAsia" w:ascii="黑体" w:hAnsi="黑体" w:cs="黑体"/>
          <w:sz w:val="24"/>
          <w:szCs w:val="24"/>
        </w:rPr>
        <w:fldChar w:fldCharType="end"/>
      </w:r>
      <w:r>
        <w:rPr>
          <w:rFonts w:hint="eastAsia" w:ascii="黑体" w:hAnsi="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"_Toc2714" </w:instrText>
      </w:r>
      <w:r>
        <w:fldChar w:fldCharType="separate"/>
      </w:r>
      <w:r>
        <w:rPr>
          <w:rFonts w:hint="eastAsia" w:ascii="黑体" w:hAnsi="黑体" w:eastAsia="黑体" w:cs="黑体"/>
          <w:sz w:val="24"/>
          <w:szCs w:val="24"/>
        </w:rPr>
        <w:t>（一）项目经济性分析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_Toc2714 </w:instrText>
      </w:r>
      <w:r>
        <w:rPr>
          <w:rFonts w:hint="eastAsia" w:ascii="黑体" w:hAnsi="黑体" w:eastAsia="黑体" w:cs="黑体"/>
          <w:sz w:val="24"/>
          <w:szCs w:val="24"/>
        </w:rPr>
        <w:fldChar w:fldCharType="separate"/>
      </w:r>
      <w:r>
        <w:rPr>
          <w:rFonts w:hint="eastAsia" w:ascii="黑体" w:hAnsi="黑体" w:eastAsia="黑体" w:cs="黑体"/>
          <w:sz w:val="24"/>
          <w:szCs w:val="24"/>
        </w:rPr>
        <w:t>8</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"_Toc10483" </w:instrText>
      </w:r>
      <w:r>
        <w:fldChar w:fldCharType="separate"/>
      </w:r>
      <w:r>
        <w:rPr>
          <w:rFonts w:hint="eastAsia" w:ascii="黑体" w:hAnsi="黑体" w:eastAsia="黑体" w:cs="黑体"/>
          <w:sz w:val="24"/>
          <w:szCs w:val="24"/>
        </w:rPr>
        <w:t>（二）项目的效益性分析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_Toc10483 </w:instrText>
      </w:r>
      <w:r>
        <w:rPr>
          <w:rFonts w:hint="eastAsia" w:ascii="黑体" w:hAnsi="黑体" w:eastAsia="黑体" w:cs="黑体"/>
          <w:sz w:val="24"/>
          <w:szCs w:val="24"/>
        </w:rPr>
        <w:fldChar w:fldCharType="separate"/>
      </w:r>
      <w:r>
        <w:rPr>
          <w:rFonts w:hint="eastAsia" w:ascii="黑体" w:hAnsi="黑体" w:eastAsia="黑体" w:cs="黑体"/>
          <w:sz w:val="24"/>
          <w:szCs w:val="24"/>
        </w:rPr>
        <w:t>8</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7"/>
        <w:tabs>
          <w:tab w:val="right" w:leader="dot" w:pos="8306"/>
          <w:tab w:val="clear" w:pos="8296"/>
        </w:tabs>
        <w:spacing w:line="440" w:lineRule="exact"/>
        <w:rPr>
          <w:rFonts w:ascii="黑体" w:hAnsi="黑体" w:cs="黑体"/>
          <w:sz w:val="24"/>
          <w:szCs w:val="24"/>
        </w:rPr>
      </w:pPr>
      <w:r>
        <w:fldChar w:fldCharType="begin"/>
      </w:r>
      <w:r>
        <w:instrText xml:space="preserve"> HYPERLINK \l "_Toc11512" </w:instrText>
      </w:r>
      <w:r>
        <w:fldChar w:fldCharType="separate"/>
      </w:r>
      <w:r>
        <w:rPr>
          <w:rFonts w:hint="eastAsia" w:ascii="黑体" w:hAnsi="黑体" w:cs="黑体"/>
          <w:kern w:val="44"/>
          <w:sz w:val="24"/>
          <w:szCs w:val="24"/>
        </w:rPr>
        <w:t>五、项目主要经验及做法、存在的问题和建议</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_Toc11512 </w:instrText>
      </w:r>
      <w:r>
        <w:rPr>
          <w:rFonts w:hint="eastAsia" w:ascii="黑体" w:hAnsi="黑体" w:cs="黑体"/>
          <w:sz w:val="24"/>
          <w:szCs w:val="24"/>
        </w:rPr>
        <w:fldChar w:fldCharType="separate"/>
      </w:r>
      <w:r>
        <w:rPr>
          <w:rFonts w:hint="eastAsia" w:ascii="黑体" w:hAnsi="黑体" w:cs="黑体"/>
          <w:sz w:val="24"/>
          <w:szCs w:val="24"/>
        </w:rPr>
        <w:t>9</w:t>
      </w:r>
      <w:r>
        <w:rPr>
          <w:rFonts w:hint="eastAsia" w:ascii="黑体" w:hAnsi="黑体" w:cs="黑体"/>
          <w:sz w:val="24"/>
          <w:szCs w:val="24"/>
        </w:rPr>
        <w:fldChar w:fldCharType="end"/>
      </w:r>
      <w:r>
        <w:rPr>
          <w:rFonts w:hint="eastAsia" w:ascii="黑体" w:hAnsi="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"_Toc8621" </w:instrText>
      </w:r>
      <w:r>
        <w:fldChar w:fldCharType="separate"/>
      </w:r>
      <w:r>
        <w:rPr>
          <w:rFonts w:hint="eastAsia" w:ascii="黑体" w:hAnsi="黑体" w:eastAsia="黑体" w:cs="黑体"/>
          <w:sz w:val="24"/>
          <w:szCs w:val="24"/>
        </w:rPr>
        <w:t>（一）主要经验及做法</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_Toc8621 </w:instrText>
      </w:r>
      <w:r>
        <w:rPr>
          <w:rFonts w:hint="eastAsia" w:ascii="黑体" w:hAnsi="黑体" w:eastAsia="黑体" w:cs="黑体"/>
          <w:sz w:val="24"/>
          <w:szCs w:val="24"/>
        </w:rPr>
        <w:fldChar w:fldCharType="separate"/>
      </w:r>
      <w:r>
        <w:rPr>
          <w:rFonts w:hint="eastAsia" w:ascii="黑体" w:hAnsi="黑体" w:eastAsia="黑体" w:cs="黑体"/>
          <w:sz w:val="24"/>
          <w:szCs w:val="24"/>
        </w:rPr>
        <w:t>9</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"_Toc10098" </w:instrText>
      </w:r>
      <w:r>
        <w:fldChar w:fldCharType="separate"/>
      </w:r>
      <w:r>
        <w:rPr>
          <w:rFonts w:hint="eastAsia" w:ascii="黑体" w:hAnsi="黑体" w:eastAsia="黑体" w:cs="黑体"/>
          <w:sz w:val="24"/>
          <w:szCs w:val="24"/>
        </w:rPr>
        <w:t>（二）存在的问题</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_Toc10098 </w:instrText>
      </w:r>
      <w:r>
        <w:rPr>
          <w:rFonts w:hint="eastAsia" w:ascii="黑体" w:hAnsi="黑体" w:eastAsia="黑体" w:cs="黑体"/>
          <w:sz w:val="24"/>
          <w:szCs w:val="24"/>
        </w:rPr>
        <w:fldChar w:fldCharType="separate"/>
      </w:r>
      <w:r>
        <w:rPr>
          <w:rFonts w:hint="eastAsia" w:ascii="黑体" w:hAnsi="黑体" w:eastAsia="黑体" w:cs="黑体"/>
          <w:sz w:val="24"/>
          <w:szCs w:val="24"/>
        </w:rPr>
        <w:t>9</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s>
        <w:spacing w:line="440" w:lineRule="exact"/>
        <w:rPr>
          <w:rFonts w:ascii="黑体" w:hAnsi="黑体" w:eastAsia="黑体" w:cs="黑体"/>
          <w:sz w:val="24"/>
          <w:szCs w:val="24"/>
        </w:rPr>
      </w:pPr>
      <w:r>
        <w:fldChar w:fldCharType="begin"/>
      </w:r>
      <w:r>
        <w:instrText xml:space="preserve"> HYPERLINK \l "_Toc30693" </w:instrText>
      </w:r>
      <w:r>
        <w:fldChar w:fldCharType="separate"/>
      </w:r>
      <w:r>
        <w:rPr>
          <w:rFonts w:hint="eastAsia" w:ascii="黑体" w:hAnsi="黑体" w:eastAsia="黑体" w:cs="黑体"/>
          <w:sz w:val="24"/>
          <w:szCs w:val="24"/>
        </w:rPr>
        <w:t>（三）建议和改进措施</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_Toc30693 </w:instrText>
      </w:r>
      <w:r>
        <w:rPr>
          <w:rFonts w:hint="eastAsia" w:ascii="黑体" w:hAnsi="黑体" w:eastAsia="黑体" w:cs="黑体"/>
          <w:sz w:val="24"/>
          <w:szCs w:val="24"/>
        </w:rPr>
        <w:fldChar w:fldCharType="separate"/>
      </w:r>
      <w:r>
        <w:rPr>
          <w:rFonts w:hint="eastAsia" w:ascii="黑体" w:hAnsi="黑体" w:eastAsia="黑体" w:cs="黑体"/>
          <w:sz w:val="24"/>
          <w:szCs w:val="24"/>
        </w:rPr>
        <w:t>10</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rPr>
          <w:sz w:val="24"/>
          <w:szCs w:val="24"/>
        </w:rPr>
        <w:sectPr>
          <w:footerReference r:id="rId5" w:type="default"/>
          <w:pgSz w:w="11906" w:h="16838"/>
          <w:pgMar w:top="1440" w:right="1800" w:bottom="1440" w:left="1800" w:header="851" w:footer="992" w:gutter="0"/>
          <w:pgNumType w:start="1"/>
          <w:cols w:space="425" w:num="1"/>
          <w:docGrid w:type="lines" w:linePitch="312" w:charSpace="0"/>
        </w:sectPr>
      </w:pPr>
    </w:p>
    <w:p>
      <w:pPr>
        <w:pStyle w:val="7"/>
        <w:spacing w:line="560" w:lineRule="exact"/>
        <w:ind w:firstLine="560" w:firstLineChars="200"/>
        <w:rPr>
          <w:rFonts w:ascii="方正小标宋简体" w:hAnsi="方正小标宋简体" w:eastAsia="方正小标宋简体" w:cs="方正小标宋简体"/>
          <w:bCs/>
          <w:sz w:val="44"/>
          <w:szCs w:val="44"/>
        </w:rPr>
      </w:pPr>
      <w:r>
        <w:rPr>
          <w:rFonts w:hint="eastAsia" w:ascii="黑体" w:hAnsi="黑体" w:cs="黑体"/>
          <w:sz w:val="28"/>
          <w:szCs w:val="28"/>
        </w:rPr>
        <w:fldChar w:fldCharType="end"/>
      </w:r>
      <w:r>
        <w:rPr>
          <w:rFonts w:hint="eastAsia" w:ascii="方正小标宋简体" w:hAnsi="方正小标宋简体" w:eastAsia="方正小标宋简体" w:cs="方正小标宋简体"/>
          <w:bCs/>
          <w:sz w:val="44"/>
          <w:szCs w:val="44"/>
        </w:rPr>
        <w:t>昆明市盘龙区机关事务管理服务中心</w:t>
      </w:r>
    </w:p>
    <w:p>
      <w:pPr>
        <w:tabs>
          <w:tab w:val="left" w:pos="1215"/>
        </w:tabs>
        <w:spacing w:line="560" w:lineRule="exact"/>
        <w:ind w:firstLine="880" w:firstLineChars="20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水电费项目支出绩效自评报告</w:t>
      </w:r>
    </w:p>
    <w:p>
      <w:pPr>
        <w:widowControl/>
        <w:shd w:val="clear" w:color="auto" w:fill="FFFFFF"/>
        <w:spacing w:line="560" w:lineRule="exact"/>
        <w:ind w:firstLine="723" w:firstLineChars="200"/>
        <w:rPr>
          <w:rFonts w:ascii="仿宋" w:hAnsi="仿宋" w:eastAsia="仿宋" w:cs="宋体"/>
          <w:b/>
          <w:bCs/>
          <w:color w:val="333333"/>
          <w:kern w:val="0"/>
          <w:sz w:val="36"/>
          <w:szCs w:val="36"/>
        </w:rPr>
      </w:pPr>
    </w:p>
    <w:p>
      <w:pPr>
        <w:spacing w:line="560" w:lineRule="exact"/>
        <w:ind w:firstLine="560" w:firstLineChars="200"/>
        <w:jc w:val="center"/>
        <w:rPr>
          <w:rFonts w:ascii="方正小标宋_GBK" w:hAnsi="黑体" w:eastAsia="方正小标宋_GBK" w:cs="Times New Roman"/>
          <w:sz w:val="28"/>
          <w:szCs w:val="32"/>
        </w:rPr>
      </w:pPr>
      <w:r>
        <w:rPr>
          <w:rFonts w:hint="eastAsia" w:ascii="方正小标宋_GBK" w:hAnsi="黑体" w:eastAsia="方正小标宋_GBK" w:cs="Times New Roman"/>
          <w:sz w:val="28"/>
          <w:szCs w:val="32"/>
        </w:rPr>
        <w:t>摘要</w:t>
      </w:r>
      <w:bookmarkStart w:id="0" w:name="_Toc21999"/>
    </w:p>
    <w:p>
      <w:pPr>
        <w:numPr>
          <w:ilvl w:val="0"/>
          <w:numId w:val="1"/>
        </w:numPr>
        <w:spacing w:line="560" w:lineRule="exact"/>
        <w:ind w:firstLine="640" w:firstLineChars="200"/>
        <w:rPr>
          <w:rFonts w:ascii="楷体_GB2312" w:eastAsia="楷体_GB2312" w:hAnsiTheme="majorHAnsi" w:cstheme="majorBidi"/>
          <w:sz w:val="32"/>
          <w:szCs w:val="32"/>
        </w:rPr>
      </w:pPr>
      <w:r>
        <w:rPr>
          <w:rFonts w:hint="eastAsia" w:ascii="黑体" w:hAnsi="黑体" w:eastAsia="黑体"/>
          <w:kern w:val="44"/>
          <w:sz w:val="32"/>
          <w:szCs w:val="32"/>
        </w:rPr>
        <w:t>项目概况</w:t>
      </w:r>
      <w:bookmarkEnd w:id="0"/>
      <w:bookmarkStart w:id="1" w:name="_Toc27318"/>
    </w:p>
    <w:p>
      <w:pPr>
        <w:spacing w:line="560" w:lineRule="exact"/>
        <w:ind w:firstLine="640" w:firstLineChars="200"/>
        <w:rPr>
          <w:rFonts w:ascii="楷体_GB2312" w:eastAsia="楷体_GB2312" w:hAnsiTheme="majorHAnsi" w:cstheme="majorBidi"/>
          <w:sz w:val="32"/>
          <w:szCs w:val="32"/>
        </w:rPr>
      </w:pPr>
      <w:r>
        <w:rPr>
          <w:rFonts w:hint="eastAsia" w:ascii="楷体_GB2312" w:eastAsia="楷体_GB2312" w:hAnsiTheme="majorHAnsi" w:cstheme="majorBidi"/>
          <w:sz w:val="32"/>
          <w:szCs w:val="32"/>
        </w:rPr>
        <w:t>（一）项目立项背景及目的</w:t>
      </w:r>
      <w:bookmarkEnd w:id="1"/>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围绕区委、区政府中心工作，切实履行各项职责，高效服务，保障区委、区政府的各项工作高效有序运转。根据</w:t>
      </w:r>
      <w:r>
        <w:rPr>
          <w:rFonts w:hint="eastAsia" w:ascii="Times New Roman" w:hAnsi="Times New Roman" w:eastAsia="仿宋_GB2312" w:cs="Times New Roman"/>
          <w:color w:val="333333"/>
          <w:kern w:val="0"/>
          <w:sz w:val="32"/>
          <w:szCs w:val="32"/>
        </w:rPr>
        <w:t>《中共昆明市盘龙区委机构编制委员会关于撤销盘龙区政府采购中心并调整盘龙区机关事务管理服务中心机构编制相关事项的批复》</w:t>
      </w:r>
      <w:r>
        <w:rPr>
          <w:rFonts w:ascii="Times New Roman" w:hAnsi="Times New Roman" w:eastAsia="仿宋_GB2312" w:cs="Times New Roman"/>
          <w:color w:val="333333"/>
          <w:kern w:val="0"/>
          <w:sz w:val="32"/>
          <w:szCs w:val="32"/>
        </w:rPr>
        <w:t>（盘</w:t>
      </w:r>
      <w:r>
        <w:rPr>
          <w:rFonts w:hint="eastAsia" w:ascii="Times New Roman" w:hAnsi="Times New Roman" w:eastAsia="仿宋_GB2312" w:cs="Times New Roman"/>
          <w:color w:val="333333"/>
          <w:kern w:val="0"/>
          <w:sz w:val="32"/>
          <w:szCs w:val="32"/>
        </w:rPr>
        <w:t>机编复</w:t>
      </w:r>
      <w:r>
        <w:rPr>
          <w:rFonts w:ascii="Times New Roman" w:cs="Times New Roman" w:hAnsiTheme="minorEastAsia"/>
          <w:color w:val="333333"/>
          <w:kern w:val="0"/>
          <w:sz w:val="32"/>
          <w:szCs w:val="32"/>
        </w:rPr>
        <w:t>﹝</w:t>
      </w:r>
      <w:r>
        <w:rPr>
          <w:rFonts w:hint="eastAsia" w:ascii="Times New Roman" w:hAnsi="Times New Roman" w:eastAsia="仿宋_GB2312" w:cs="Times New Roman"/>
          <w:color w:val="333333"/>
          <w:kern w:val="0"/>
          <w:sz w:val="32"/>
          <w:szCs w:val="32"/>
        </w:rPr>
        <w:t>2020</w:t>
      </w:r>
      <w:r>
        <w:rPr>
          <w:rFonts w:ascii="Times New Roman" w:hAnsi="宋体" w:eastAsia="宋体" w:cs="Times New Roman"/>
          <w:color w:val="333333"/>
          <w:kern w:val="0"/>
          <w:sz w:val="32"/>
          <w:szCs w:val="32"/>
        </w:rPr>
        <w:t>﹞</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号）文件精神，</w:t>
      </w:r>
      <w:r>
        <w:rPr>
          <w:rFonts w:hint="eastAsia" w:ascii="仿宋_GB2312" w:hAnsi="仿宋" w:eastAsia="仿宋_GB2312" w:cs="宋体"/>
          <w:color w:val="333333"/>
          <w:kern w:val="0"/>
          <w:sz w:val="32"/>
          <w:szCs w:val="32"/>
        </w:rPr>
        <w:t>区机关事务管理服务中心主要承担区级机关后勤保障服务。</w:t>
      </w:r>
      <w:bookmarkStart w:id="2" w:name="_Toc8460"/>
    </w:p>
    <w:p>
      <w:pPr>
        <w:widowControl/>
        <w:shd w:val="clear" w:color="auto" w:fill="FFFFFF"/>
        <w:spacing w:line="560" w:lineRule="exact"/>
        <w:ind w:firstLine="640" w:firstLineChars="200"/>
        <w:jc w:val="left"/>
        <w:rPr>
          <w:rFonts w:ascii="楷体_GB2312" w:eastAsia="楷体_GB2312" w:hAnsiTheme="majorHAnsi" w:cstheme="majorBidi"/>
          <w:sz w:val="32"/>
          <w:szCs w:val="32"/>
        </w:rPr>
      </w:pPr>
      <w:r>
        <w:rPr>
          <w:rFonts w:hint="eastAsia" w:ascii="楷体_GB2312" w:eastAsia="楷体_GB2312" w:hAnsiTheme="majorHAnsi" w:cstheme="majorBidi"/>
          <w:sz w:val="32"/>
          <w:szCs w:val="32"/>
        </w:rPr>
        <w:t>（二）预算收支情况</w:t>
      </w:r>
      <w:bookmarkEnd w:id="2"/>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为确保区级机关后勤保障工作到位，需申请水电经费</w:t>
      </w:r>
      <w:r>
        <w:rPr>
          <w:rFonts w:ascii="Times New Roman" w:hAnsi="Times New Roman" w:eastAsia="仿宋_GB2312" w:cs="Times New Roman"/>
          <w:color w:val="333333"/>
          <w:kern w:val="0"/>
          <w:sz w:val="32"/>
          <w:szCs w:val="32"/>
        </w:rPr>
        <w:t>1820000</w:t>
      </w:r>
      <w:r>
        <w:rPr>
          <w:rFonts w:hint="eastAsia" w:ascii="仿宋_GB2312" w:hAnsi="仿宋" w:eastAsia="仿宋_GB2312" w:cs="宋体"/>
          <w:color w:val="333333"/>
          <w:kern w:val="0"/>
          <w:sz w:val="32"/>
          <w:szCs w:val="32"/>
        </w:rPr>
        <w:t>元，</w:t>
      </w:r>
      <w:r>
        <w:rPr>
          <w:rFonts w:ascii="Times New Roman" w:hAnsi="Times New Roman" w:eastAsia="仿宋_GB2312" w:cs="Times New Roman"/>
          <w:color w:val="333333"/>
          <w:kern w:val="0"/>
          <w:sz w:val="32"/>
          <w:szCs w:val="32"/>
        </w:rPr>
        <w:t>2021</w:t>
      </w:r>
      <w:r>
        <w:rPr>
          <w:rFonts w:hint="eastAsia" w:ascii="仿宋_GB2312" w:hAnsi="仿宋" w:eastAsia="仿宋_GB2312" w:cs="宋体"/>
          <w:color w:val="333333"/>
          <w:kern w:val="0"/>
          <w:sz w:val="32"/>
          <w:szCs w:val="32"/>
        </w:rPr>
        <w:t>年实际收到财政拨款</w:t>
      </w:r>
      <w:r>
        <w:rPr>
          <w:rFonts w:ascii="Times New Roman" w:hAnsi="Times New Roman" w:eastAsia="仿宋_GB2312" w:cs="Times New Roman"/>
          <w:color w:val="333333"/>
          <w:kern w:val="0"/>
          <w:sz w:val="32"/>
          <w:szCs w:val="32"/>
        </w:rPr>
        <w:t>1820000</w:t>
      </w:r>
      <w:r>
        <w:rPr>
          <w:rFonts w:hint="eastAsia" w:ascii="仿宋_GB2312" w:hAnsi="仿宋" w:eastAsia="仿宋_GB2312" w:cs="宋体"/>
          <w:color w:val="333333"/>
          <w:kern w:val="0"/>
          <w:sz w:val="32"/>
          <w:szCs w:val="32"/>
        </w:rPr>
        <w:t>元，实际支出</w:t>
      </w:r>
      <w:r>
        <w:rPr>
          <w:rFonts w:ascii="Times New Roman" w:hAnsi="Times New Roman" w:eastAsia="仿宋_GB2312" w:cs="Times New Roman"/>
          <w:color w:val="333333"/>
          <w:kern w:val="0"/>
          <w:sz w:val="32"/>
          <w:szCs w:val="32"/>
        </w:rPr>
        <w:t>1728757.33</w:t>
      </w:r>
      <w:r>
        <w:rPr>
          <w:rFonts w:hint="eastAsia" w:ascii="仿宋_GB2312" w:hAnsi="仿宋" w:eastAsia="仿宋_GB2312" w:cs="宋体"/>
          <w:color w:val="333333"/>
          <w:kern w:val="0"/>
          <w:sz w:val="32"/>
          <w:szCs w:val="32"/>
        </w:rPr>
        <w:t>元。 </w:t>
      </w:r>
      <w:bookmarkStart w:id="3" w:name="_Toc11128"/>
    </w:p>
    <w:p>
      <w:pPr>
        <w:widowControl/>
        <w:shd w:val="clear" w:color="auto" w:fill="FFFFFF"/>
        <w:spacing w:line="560" w:lineRule="exact"/>
        <w:ind w:firstLine="640" w:firstLineChars="200"/>
        <w:jc w:val="left"/>
        <w:rPr>
          <w:rFonts w:ascii="黑体" w:hAnsi="黑体" w:eastAsia="黑体"/>
          <w:kern w:val="44"/>
          <w:sz w:val="32"/>
          <w:szCs w:val="32"/>
        </w:rPr>
      </w:pPr>
      <w:r>
        <w:rPr>
          <w:rFonts w:hint="eastAsia" w:ascii="黑体" w:hAnsi="黑体" w:eastAsia="黑体"/>
          <w:kern w:val="44"/>
          <w:sz w:val="32"/>
          <w:szCs w:val="32"/>
        </w:rPr>
        <w:t>二、评价结论</w:t>
      </w:r>
      <w:bookmarkEnd w:id="3"/>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1.评分结果</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根据制定的绩效指标考评体系，本次绩效考核得分</w:t>
      </w:r>
      <w:r>
        <w:rPr>
          <w:rFonts w:ascii="Times New Roman" w:hAnsi="Times New Roman" w:eastAsia="仿宋_GB2312" w:cs="Times New Roman"/>
          <w:color w:val="333333"/>
          <w:kern w:val="0"/>
          <w:sz w:val="32"/>
          <w:szCs w:val="32"/>
        </w:rPr>
        <w:t>96</w:t>
      </w:r>
      <w:r>
        <w:rPr>
          <w:rFonts w:hint="eastAsia" w:ascii="仿宋_GB2312" w:hAnsi="仿宋" w:eastAsia="仿宋_GB2312" w:cs="宋体"/>
          <w:color w:val="333333"/>
          <w:kern w:val="0"/>
          <w:sz w:val="32"/>
          <w:szCs w:val="32"/>
        </w:rPr>
        <w:t>分，绩效评价等级为优秀。</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2.主要结论</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本项目不属于投资建设类项目，主要内容为我单位管理的集中办公区、住宅区的水、电费用支出。机关事务管理服务中心2021年度完成工作效益较好，保证了区委、区政府各项工作的顺利开展。</w:t>
      </w:r>
      <w:bookmarkStart w:id="4" w:name="_Toc8608"/>
    </w:p>
    <w:p>
      <w:pPr>
        <w:widowControl/>
        <w:numPr>
          <w:ilvl w:val="0"/>
          <w:numId w:val="1"/>
        </w:numPr>
        <w:shd w:val="clear" w:color="auto" w:fill="FFFFFF"/>
        <w:spacing w:line="560" w:lineRule="exact"/>
        <w:ind w:firstLine="640" w:firstLineChars="200"/>
        <w:jc w:val="left"/>
        <w:rPr>
          <w:rFonts w:ascii="黑体" w:hAnsi="黑体" w:eastAsia="黑体"/>
          <w:kern w:val="44"/>
          <w:sz w:val="32"/>
          <w:szCs w:val="32"/>
        </w:rPr>
      </w:pPr>
      <w:r>
        <w:rPr>
          <w:rFonts w:hint="eastAsia" w:ascii="黑体" w:hAnsi="黑体" w:eastAsia="黑体"/>
          <w:kern w:val="44"/>
          <w:sz w:val="32"/>
          <w:szCs w:val="32"/>
        </w:rPr>
        <w:t>经验、问题和建议</w:t>
      </w:r>
      <w:bookmarkEnd w:id="4"/>
      <w:bookmarkStart w:id="5" w:name="_Toc26064"/>
    </w:p>
    <w:p>
      <w:pPr>
        <w:widowControl/>
        <w:shd w:val="clear" w:color="auto" w:fill="FFFFFF"/>
        <w:spacing w:line="560" w:lineRule="exact"/>
        <w:ind w:firstLine="640" w:firstLineChars="200"/>
        <w:jc w:val="left"/>
        <w:rPr>
          <w:rFonts w:ascii="楷体_GB2312" w:eastAsia="楷体_GB2312" w:hAnsiTheme="majorHAnsi" w:cstheme="majorBidi"/>
          <w:sz w:val="32"/>
          <w:szCs w:val="32"/>
        </w:rPr>
      </w:pPr>
      <w:r>
        <w:rPr>
          <w:rFonts w:hint="eastAsia" w:ascii="楷体_GB2312" w:eastAsia="楷体_GB2312" w:hAnsiTheme="majorHAnsi" w:cstheme="majorBidi"/>
          <w:sz w:val="32"/>
          <w:szCs w:val="32"/>
        </w:rPr>
        <w:t>（一）主要经验及做法</w:t>
      </w:r>
      <w:bookmarkEnd w:id="5"/>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机关事务管理服务中心根据</w:t>
      </w:r>
      <w:r>
        <w:rPr>
          <w:rFonts w:hint="eastAsia" w:ascii="仿宋_GB2312" w:hAnsi="仿宋_GB2312" w:eastAsia="仿宋_GB2312" w:cs="仿宋_GB2312"/>
          <w:sz w:val="32"/>
          <w:szCs w:val="32"/>
        </w:rPr>
        <w:t>《盘龙区区级部门预算绩效自评管理暂行办法》、《昆明市盘龙区财政局关于开展</w:t>
      </w:r>
      <w:r>
        <w:rPr>
          <w:rFonts w:ascii="Times New Roman" w:hAnsi="Times New Roman" w:eastAsia="仿宋_GB2312" w:cs="Times New Roman"/>
          <w:sz w:val="32"/>
          <w:szCs w:val="32"/>
        </w:rPr>
        <w:t>2021</w:t>
      </w:r>
      <w:r>
        <w:rPr>
          <w:rFonts w:hint="eastAsia" w:ascii="仿宋_GB2312" w:hAnsi="仿宋_GB2312" w:eastAsia="仿宋_GB2312" w:cs="仿宋_GB2312"/>
          <w:sz w:val="32"/>
          <w:szCs w:val="32"/>
        </w:rPr>
        <w:t>年度区级预算支出绩效自评工作的通知》</w:t>
      </w:r>
      <w:r>
        <w:rPr>
          <w:rFonts w:hint="eastAsia" w:ascii="仿宋_GB2312" w:hAnsi="仿宋" w:eastAsia="仿宋_GB2312" w:cs="宋体"/>
          <w:color w:val="333333"/>
          <w:kern w:val="0"/>
          <w:sz w:val="32"/>
          <w:szCs w:val="32"/>
        </w:rPr>
        <w:t>精神，进行了自评，通过前期调研工作，充分了解评价项目有关情况；通过查看资金使用情况，核实</w:t>
      </w:r>
      <w:r>
        <w:rPr>
          <w:rFonts w:ascii="Times New Roman" w:hAnsi="Times New Roman" w:eastAsia="仿宋_GB2312" w:cs="Times New Roman"/>
          <w:color w:val="333333"/>
          <w:kern w:val="0"/>
          <w:sz w:val="32"/>
          <w:szCs w:val="32"/>
        </w:rPr>
        <w:t>2021</w:t>
      </w:r>
      <w:r>
        <w:rPr>
          <w:rFonts w:hint="eastAsia" w:ascii="仿宋_GB2312" w:hAnsi="仿宋" w:eastAsia="仿宋_GB2312" w:cs="宋体"/>
          <w:color w:val="333333"/>
          <w:kern w:val="0"/>
          <w:sz w:val="32"/>
          <w:szCs w:val="32"/>
        </w:rPr>
        <w:t>年水、电费支出的合法性、合规性；通过分析目标完成情况，查找存在的问题及总结好的经验方法，较好的完成了自评工作。</w:t>
      </w:r>
      <w:bookmarkStart w:id="6" w:name="_Toc12407"/>
    </w:p>
    <w:p>
      <w:pPr>
        <w:widowControl/>
        <w:shd w:val="clear" w:color="auto" w:fill="FFFFFF"/>
        <w:spacing w:line="560" w:lineRule="exact"/>
        <w:ind w:firstLine="640" w:firstLineChars="200"/>
        <w:jc w:val="left"/>
        <w:rPr>
          <w:rFonts w:ascii="楷体_GB2312" w:eastAsia="楷体_GB2312" w:hAnsiTheme="majorHAnsi" w:cstheme="majorBidi"/>
          <w:sz w:val="32"/>
          <w:szCs w:val="32"/>
        </w:rPr>
      </w:pPr>
      <w:r>
        <w:rPr>
          <w:rFonts w:hint="eastAsia" w:ascii="楷体_GB2312" w:eastAsia="楷体_GB2312" w:hAnsiTheme="majorHAnsi" w:cstheme="majorBidi"/>
          <w:sz w:val="32"/>
          <w:szCs w:val="32"/>
        </w:rPr>
        <w:t>（二）存在的问题</w:t>
      </w:r>
      <w:bookmarkEnd w:id="6"/>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水电费成本较高。</w:t>
      </w:r>
      <w:bookmarkStart w:id="7" w:name="_Toc10578"/>
    </w:p>
    <w:p>
      <w:pPr>
        <w:widowControl/>
        <w:shd w:val="clear" w:color="auto" w:fill="FFFFFF"/>
        <w:spacing w:line="560" w:lineRule="exact"/>
        <w:ind w:firstLine="640" w:firstLineChars="200"/>
        <w:jc w:val="left"/>
        <w:rPr>
          <w:rFonts w:ascii="楷体_GB2312" w:eastAsia="楷体_GB2312" w:hAnsiTheme="majorHAnsi" w:cstheme="majorBidi"/>
          <w:sz w:val="32"/>
          <w:szCs w:val="32"/>
        </w:rPr>
      </w:pPr>
      <w:r>
        <w:rPr>
          <w:rFonts w:hint="eastAsia" w:ascii="楷体_GB2312" w:eastAsia="楷体_GB2312" w:hAnsiTheme="majorHAnsi" w:cstheme="majorBidi"/>
          <w:sz w:val="32"/>
          <w:szCs w:val="32"/>
        </w:rPr>
        <w:t>（三）建议和改进措施</w:t>
      </w:r>
      <w:bookmarkEnd w:id="7"/>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提高我们的服务水平和服务质量，让各类公职人员和住宅区居民提升满意度。</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进一步控制水电费成本，降低水电费成本。</w:t>
      </w:r>
    </w:p>
    <w:p>
      <w:pPr>
        <w:spacing w:line="560" w:lineRule="exact"/>
        <w:ind w:firstLine="880" w:firstLineChars="200"/>
        <w:jc w:val="center"/>
        <w:rPr>
          <w:rFonts w:ascii="方正小标宋_GBK" w:eastAsia="方正小标宋_GBK"/>
          <w:sz w:val="44"/>
          <w:szCs w:val="44"/>
        </w:rPr>
      </w:pPr>
    </w:p>
    <w:p>
      <w:pPr>
        <w:spacing w:line="560" w:lineRule="exact"/>
        <w:ind w:firstLine="880" w:firstLineChars="200"/>
        <w:rPr>
          <w:rFonts w:ascii="方正小标宋_GBK" w:eastAsia="方正小标宋_GBK"/>
          <w:sz w:val="44"/>
          <w:szCs w:val="44"/>
        </w:rPr>
      </w:pPr>
    </w:p>
    <w:p>
      <w:pPr>
        <w:spacing w:line="560" w:lineRule="exact"/>
        <w:ind w:firstLine="880" w:firstLineChars="200"/>
        <w:rPr>
          <w:rFonts w:ascii="方正小标宋_GBK" w:eastAsia="方正小标宋_GBK"/>
          <w:sz w:val="44"/>
          <w:szCs w:val="44"/>
        </w:rPr>
      </w:pPr>
    </w:p>
    <w:p>
      <w:pPr>
        <w:spacing w:line="560" w:lineRule="exact"/>
        <w:ind w:firstLine="880" w:firstLineChars="200"/>
        <w:rPr>
          <w:rFonts w:ascii="方正小标宋_GBK" w:eastAsia="方正小标宋_GBK"/>
          <w:sz w:val="44"/>
          <w:szCs w:val="44"/>
        </w:rPr>
      </w:pPr>
    </w:p>
    <w:p>
      <w:pPr>
        <w:spacing w:line="560" w:lineRule="exact"/>
        <w:ind w:firstLine="880" w:firstLineChars="200"/>
        <w:rPr>
          <w:rFonts w:ascii="方正小标宋_GBK" w:eastAsia="方正小标宋_GBK"/>
          <w:sz w:val="44"/>
          <w:szCs w:val="44"/>
        </w:rPr>
      </w:pPr>
    </w:p>
    <w:p>
      <w:pPr>
        <w:spacing w:line="560" w:lineRule="exact"/>
        <w:ind w:firstLine="880" w:firstLineChars="200"/>
        <w:rPr>
          <w:rFonts w:ascii="方正小标宋_GBK" w:eastAsia="方正小标宋_GBK"/>
          <w:sz w:val="44"/>
          <w:szCs w:val="44"/>
        </w:rPr>
      </w:pPr>
    </w:p>
    <w:p>
      <w:pPr>
        <w:spacing w:line="560" w:lineRule="exact"/>
        <w:ind w:firstLine="883" w:firstLineChars="200"/>
        <w:rPr>
          <w:rFonts w:ascii="方正小标宋_GBK" w:eastAsia="方正小标宋_GBK"/>
          <w:b/>
          <w:bCs/>
          <w:sz w:val="44"/>
          <w:szCs w:val="44"/>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正文：昆明市盘龙区机关事务管理服务中心水电费项目支出绩效自评报告</w:t>
      </w:r>
      <w:bookmarkStart w:id="8" w:name="_Toc6396"/>
    </w:p>
    <w:p>
      <w:pPr>
        <w:spacing w:line="560" w:lineRule="exact"/>
        <w:jc w:val="center"/>
        <w:rPr>
          <w:rFonts w:ascii="方正小标宋简体" w:hAnsi="方正小标宋简体" w:eastAsia="方正小标宋简体" w:cs="方正小标宋简体"/>
          <w:sz w:val="44"/>
          <w:szCs w:val="44"/>
        </w:rPr>
      </w:pPr>
    </w:p>
    <w:p>
      <w:pPr>
        <w:numPr>
          <w:ilvl w:val="0"/>
          <w:numId w:val="2"/>
        </w:numPr>
        <w:spacing w:line="560" w:lineRule="exact"/>
        <w:ind w:firstLine="640" w:firstLineChars="200"/>
        <w:rPr>
          <w:rFonts w:ascii="黑体" w:hAnsi="黑体" w:eastAsia="黑体"/>
          <w:kern w:val="44"/>
          <w:sz w:val="32"/>
          <w:szCs w:val="32"/>
        </w:rPr>
      </w:pPr>
      <w:r>
        <w:rPr>
          <w:rFonts w:hint="eastAsia" w:ascii="黑体" w:hAnsi="黑体" w:eastAsia="黑体"/>
          <w:kern w:val="44"/>
          <w:sz w:val="32"/>
          <w:szCs w:val="32"/>
        </w:rPr>
        <w:t>项目基本情况</w:t>
      </w:r>
      <w:bookmarkEnd w:id="8"/>
      <w:bookmarkStart w:id="9" w:name="_Toc19773"/>
      <w:bookmarkStart w:id="10" w:name="_Toc531033281"/>
    </w:p>
    <w:p>
      <w:pPr>
        <w:spacing w:line="560" w:lineRule="exact"/>
        <w:ind w:firstLine="640" w:firstLineChars="200"/>
        <w:rPr>
          <w:rFonts w:ascii="楷体_GB2312" w:eastAsia="楷体_GB2312" w:hAnsiTheme="majorHAnsi" w:cstheme="majorBidi"/>
          <w:sz w:val="32"/>
          <w:szCs w:val="32"/>
        </w:rPr>
      </w:pPr>
      <w:r>
        <w:rPr>
          <w:rFonts w:hint="eastAsia" w:ascii="楷体_GB2312" w:eastAsia="楷体_GB2312" w:hAnsiTheme="majorHAnsi" w:cstheme="majorBidi"/>
          <w:sz w:val="32"/>
          <w:szCs w:val="32"/>
        </w:rPr>
        <w:t>（一）项目概况</w:t>
      </w:r>
      <w:bookmarkEnd w:id="9"/>
      <w:bookmarkEnd w:id="10"/>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项目立项背景及目的</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紧紧围绕区委、区政府中心工作，切实履行各项职责，高效服务，力促发展，保障了区委、区政府各项工作高效有序运转。通过完善水电支付及水电维护、保养、零星修缮等各项工作职责及服务流程，狠抓日常工作落实及服务监管，为区委、区政府提供了坚强有力的后勤保障服务。</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为确保区委、区政府后勤服务正常开展，上级机关交办事项办理到位，需申请水电费</w:t>
      </w:r>
      <w:r>
        <w:rPr>
          <w:rFonts w:ascii="Times New Roman" w:hAnsi="Times New Roman" w:eastAsia="仿宋_GB2312" w:cs="Times New Roman"/>
          <w:color w:val="333333"/>
          <w:kern w:val="0"/>
          <w:sz w:val="32"/>
          <w:szCs w:val="32"/>
        </w:rPr>
        <w:t>1820000</w:t>
      </w:r>
      <w:r>
        <w:rPr>
          <w:rFonts w:hint="eastAsia" w:ascii="仿宋_GB2312" w:hAnsi="仿宋" w:eastAsia="仿宋_GB2312" w:cs="宋体"/>
          <w:color w:val="333333"/>
          <w:kern w:val="0"/>
          <w:sz w:val="32"/>
          <w:szCs w:val="32"/>
        </w:rPr>
        <w:t>元，用于各办公区、住宅区水电费支出。</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项目实施情况</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根据各办公区、住宅区实际用水用电量，按期完成水电费缴纳工作。</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3.</w:t>
      </w:r>
      <w:r>
        <w:rPr>
          <w:rFonts w:hint="eastAsia" w:ascii="仿宋_GB2312" w:hAnsi="仿宋" w:eastAsia="仿宋_GB2312" w:cs="宋体"/>
          <w:color w:val="333333"/>
          <w:kern w:val="0"/>
          <w:sz w:val="32"/>
          <w:szCs w:val="32"/>
        </w:rPr>
        <w:t xml:space="preserve">项目资金来源及使用情况 </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项目经费来源</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根据昆明市盘龙区财政局《关于下达盘龙区</w:t>
      </w:r>
      <w:r>
        <w:rPr>
          <w:rFonts w:ascii="Times New Roman" w:hAnsi="Times New Roman" w:eastAsia="仿宋_GB2312" w:cs="Times New Roman"/>
          <w:color w:val="333333"/>
          <w:kern w:val="0"/>
          <w:sz w:val="32"/>
          <w:szCs w:val="32"/>
        </w:rPr>
        <w:t>2021</w:t>
      </w:r>
      <w:r>
        <w:rPr>
          <w:rFonts w:hint="eastAsia" w:ascii="仿宋_GB2312" w:hAnsi="仿宋" w:eastAsia="仿宋_GB2312" w:cs="宋体"/>
          <w:color w:val="333333"/>
          <w:kern w:val="0"/>
          <w:sz w:val="32"/>
          <w:szCs w:val="32"/>
        </w:rPr>
        <w:t>年部门预算的批复》（盘财〔</w:t>
      </w:r>
      <w:r>
        <w:rPr>
          <w:rFonts w:hint="eastAsia" w:ascii="Times New Roman" w:hAnsi="Times New Roman" w:eastAsia="仿宋_GB2312" w:cs="Times New Roman"/>
          <w:color w:val="333333"/>
          <w:kern w:val="0"/>
          <w:sz w:val="32"/>
          <w:szCs w:val="32"/>
        </w:rPr>
        <w:t>2021</w:t>
      </w:r>
      <w:r>
        <w:rPr>
          <w:rFonts w:hint="eastAsia" w:ascii="仿宋_GB2312" w:hAnsi="仿宋" w:eastAsia="仿宋_GB2312" w:cs="宋体"/>
          <w:color w:val="333333"/>
          <w:kern w:val="0"/>
          <w:sz w:val="32"/>
          <w:szCs w:val="32"/>
        </w:rPr>
        <w:t>〕</w:t>
      </w: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号）文件安排项目资金</w:t>
      </w:r>
      <w:r>
        <w:rPr>
          <w:rFonts w:ascii="Times New Roman" w:hAnsi="Times New Roman" w:eastAsia="仿宋_GB2312" w:cs="Times New Roman"/>
          <w:color w:val="333333"/>
          <w:kern w:val="0"/>
          <w:sz w:val="32"/>
          <w:szCs w:val="32"/>
        </w:rPr>
        <w:t>1820000</w:t>
      </w:r>
      <w:r>
        <w:rPr>
          <w:rFonts w:hint="eastAsia" w:ascii="仿宋_GB2312" w:hAnsi="仿宋" w:eastAsia="仿宋_GB2312" w:cs="宋体"/>
          <w:color w:val="333333"/>
          <w:kern w:val="0"/>
          <w:sz w:val="32"/>
          <w:szCs w:val="32"/>
        </w:rPr>
        <w:t>元，资金来源全部为区级财政拨款。</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项目经费使用情况</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截至</w:t>
      </w:r>
      <w:r>
        <w:rPr>
          <w:rFonts w:ascii="Times New Roman" w:hAnsi="Times New Roman" w:eastAsia="仿宋_GB2312" w:cs="Times New Roman"/>
          <w:color w:val="333333"/>
          <w:kern w:val="0"/>
          <w:sz w:val="32"/>
          <w:szCs w:val="32"/>
        </w:rPr>
        <w:t>2021</w:t>
      </w:r>
      <w:r>
        <w:rPr>
          <w:rFonts w:hint="eastAsia" w:ascii="仿宋_GB2312" w:hAnsi="仿宋" w:eastAsia="仿宋_GB2312" w:cs="宋体"/>
          <w:color w:val="333333"/>
          <w:kern w:val="0"/>
          <w:sz w:val="32"/>
          <w:szCs w:val="32"/>
        </w:rPr>
        <w:t>年</w:t>
      </w:r>
      <w:r>
        <w:rPr>
          <w:rFonts w:ascii="Times New Roman" w:hAnsi="Times New Roman" w:eastAsia="仿宋_GB2312" w:cs="Times New Roman"/>
          <w:color w:val="333333"/>
          <w:kern w:val="0"/>
          <w:sz w:val="32"/>
          <w:szCs w:val="32"/>
        </w:rPr>
        <w:t>12</w:t>
      </w:r>
      <w:r>
        <w:rPr>
          <w:rFonts w:hint="eastAsia" w:ascii="仿宋_GB2312" w:hAnsi="仿宋" w:eastAsia="仿宋_GB2312" w:cs="宋体"/>
          <w:color w:val="333333"/>
          <w:kern w:val="0"/>
          <w:sz w:val="32"/>
          <w:szCs w:val="32"/>
        </w:rPr>
        <w:t>月</w:t>
      </w:r>
      <w:r>
        <w:rPr>
          <w:rFonts w:ascii="Times New Roman" w:hAnsi="Times New Roman" w:eastAsia="仿宋_GB2312" w:cs="Times New Roman"/>
          <w:color w:val="333333"/>
          <w:kern w:val="0"/>
          <w:sz w:val="32"/>
          <w:szCs w:val="32"/>
        </w:rPr>
        <w:t>31</w:t>
      </w:r>
      <w:r>
        <w:rPr>
          <w:rFonts w:hint="eastAsia" w:ascii="仿宋_GB2312" w:hAnsi="仿宋" w:eastAsia="仿宋_GB2312" w:cs="宋体"/>
          <w:color w:val="333333"/>
          <w:kern w:val="0"/>
          <w:sz w:val="32"/>
          <w:szCs w:val="32"/>
        </w:rPr>
        <w:t>日，水电费</w:t>
      </w:r>
      <w:r>
        <w:rPr>
          <w:rFonts w:ascii="Times New Roman" w:hAnsi="Times New Roman" w:eastAsia="仿宋_GB2312" w:cs="Times New Roman"/>
          <w:color w:val="333333"/>
          <w:kern w:val="0"/>
          <w:sz w:val="32"/>
          <w:szCs w:val="32"/>
        </w:rPr>
        <w:t>1728757.33</w:t>
      </w:r>
      <w:r>
        <w:rPr>
          <w:rFonts w:hint="eastAsia" w:ascii="仿宋_GB2312" w:hAnsi="仿宋" w:eastAsia="仿宋_GB2312" w:cs="宋体"/>
          <w:color w:val="333333"/>
          <w:kern w:val="0"/>
          <w:sz w:val="32"/>
          <w:szCs w:val="32"/>
        </w:rPr>
        <w:t>元已支出，主要用于水电费支出，具体详见下表：</w:t>
      </w:r>
    </w:p>
    <w:p>
      <w:pPr>
        <w:widowControl/>
        <w:shd w:val="clear" w:color="auto" w:fill="FFFFFF"/>
        <w:spacing w:line="560" w:lineRule="exact"/>
        <w:ind w:firstLine="480" w:firstLineChars="200"/>
        <w:jc w:val="right"/>
        <w:rPr>
          <w:rFonts w:ascii="仿宋_GB2312" w:hAnsi="微软雅黑" w:eastAsia="仿宋_GB2312" w:cs="宋体"/>
          <w:color w:val="333333"/>
          <w:kern w:val="0"/>
          <w:szCs w:val="24"/>
        </w:rPr>
      </w:pPr>
      <w:r>
        <w:rPr>
          <w:rFonts w:hint="eastAsia" w:ascii="仿宋_GB2312" w:hAnsi="仿宋" w:eastAsia="仿宋_GB2312" w:cs="宋体"/>
          <w:color w:val="333333"/>
          <w:kern w:val="0"/>
          <w:sz w:val="24"/>
          <w:szCs w:val="29"/>
        </w:rPr>
        <w:t>单位：元</w:t>
      </w:r>
    </w:p>
    <w:tbl>
      <w:tblPr>
        <w:tblStyle w:val="10"/>
        <w:tblW w:w="8339"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2113"/>
        <w:gridCol w:w="2541"/>
        <w:gridCol w:w="2083"/>
        <w:gridCol w:w="1602"/>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600" w:hRule="atLeast"/>
          <w:jc w:val="center"/>
        </w:trPr>
        <w:tc>
          <w:tcPr>
            <w:tcW w:w="211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bottom"/>
              <w:rPr>
                <w:rFonts w:ascii="黑体" w:hAnsi="黑体" w:eastAsia="黑体" w:cs="黑体"/>
                <w:bCs/>
                <w:color w:val="333333"/>
                <w:kern w:val="0"/>
                <w:sz w:val="28"/>
                <w:szCs w:val="28"/>
              </w:rPr>
            </w:pPr>
            <w:r>
              <w:rPr>
                <w:rFonts w:hint="eastAsia" w:ascii="黑体" w:hAnsi="黑体" w:eastAsia="黑体" w:cs="黑体"/>
                <w:bCs/>
                <w:color w:val="333333"/>
                <w:kern w:val="0"/>
                <w:sz w:val="28"/>
                <w:szCs w:val="28"/>
              </w:rPr>
              <w:t>项目内容</w:t>
            </w:r>
          </w:p>
        </w:tc>
        <w:tc>
          <w:tcPr>
            <w:tcW w:w="254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bottom"/>
              <w:rPr>
                <w:rFonts w:ascii="黑体" w:hAnsi="黑体" w:eastAsia="黑体" w:cs="黑体"/>
                <w:bCs/>
                <w:color w:val="333333"/>
                <w:kern w:val="0"/>
                <w:sz w:val="28"/>
                <w:szCs w:val="28"/>
              </w:rPr>
            </w:pPr>
            <w:r>
              <w:rPr>
                <w:rFonts w:hint="eastAsia" w:ascii="黑体" w:hAnsi="黑体" w:eastAsia="黑体" w:cs="黑体"/>
                <w:bCs/>
                <w:color w:val="333333"/>
                <w:kern w:val="0"/>
                <w:sz w:val="28"/>
                <w:szCs w:val="28"/>
              </w:rPr>
              <w:t>年初预算资金安排</w:t>
            </w:r>
          </w:p>
        </w:tc>
        <w:tc>
          <w:tcPr>
            <w:tcW w:w="208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bottom"/>
              <w:rPr>
                <w:rFonts w:ascii="黑体" w:hAnsi="黑体" w:eastAsia="黑体" w:cs="黑体"/>
                <w:bCs/>
                <w:color w:val="333333"/>
                <w:kern w:val="0"/>
                <w:sz w:val="28"/>
                <w:szCs w:val="28"/>
              </w:rPr>
            </w:pPr>
            <w:r>
              <w:rPr>
                <w:rFonts w:hint="eastAsia" w:ascii="黑体" w:hAnsi="黑体" w:eastAsia="黑体" w:cs="黑体"/>
                <w:bCs/>
                <w:color w:val="333333"/>
                <w:kern w:val="0"/>
                <w:sz w:val="28"/>
                <w:szCs w:val="28"/>
              </w:rPr>
              <w:t>实际支出数</w:t>
            </w:r>
          </w:p>
        </w:tc>
        <w:tc>
          <w:tcPr>
            <w:tcW w:w="1602" w:type="dxa"/>
            <w:tcBorders>
              <w:top w:val="single" w:color="auto" w:sz="4" w:space="0"/>
              <w:left w:val="single" w:color="auto" w:sz="4" w:space="0"/>
              <w:bottom w:val="single" w:color="auto" w:sz="4" w:space="0"/>
              <w:right w:val="single" w:color="000000" w:sz="6" w:space="0"/>
            </w:tcBorders>
            <w:shd w:val="clear" w:color="auto" w:fill="FFFFFF"/>
            <w:vAlign w:val="center"/>
          </w:tcPr>
          <w:p>
            <w:pPr>
              <w:widowControl/>
              <w:spacing w:line="560" w:lineRule="exact"/>
              <w:jc w:val="center"/>
              <w:textAlignment w:val="bottom"/>
              <w:rPr>
                <w:rFonts w:ascii="黑体" w:hAnsi="黑体" w:eastAsia="黑体" w:cs="黑体"/>
                <w:bCs/>
                <w:color w:val="333333"/>
                <w:kern w:val="0"/>
                <w:sz w:val="28"/>
                <w:szCs w:val="28"/>
              </w:rPr>
            </w:pPr>
            <w:r>
              <w:rPr>
                <w:rFonts w:hint="eastAsia" w:ascii="黑体" w:hAnsi="黑体" w:eastAsia="黑体" w:cs="黑体"/>
                <w:bCs/>
                <w:color w:val="333333"/>
                <w:kern w:val="0"/>
                <w:sz w:val="28"/>
                <w:szCs w:val="28"/>
              </w:rPr>
              <w:t>预算执行率</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11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center"/>
              <w:rPr>
                <w:rFonts w:ascii="仿宋_GB2312" w:hAnsi="微软雅黑" w:eastAsia="仿宋_GB2312" w:cs="宋体"/>
                <w:color w:val="333333"/>
                <w:kern w:val="0"/>
                <w:sz w:val="28"/>
                <w:szCs w:val="28"/>
              </w:rPr>
            </w:pPr>
            <w:r>
              <w:rPr>
                <w:rFonts w:hint="eastAsia" w:ascii="仿宋_GB2312" w:hAnsi="微软雅黑" w:eastAsia="仿宋_GB2312" w:cs="宋体"/>
                <w:color w:val="333333"/>
                <w:kern w:val="0"/>
                <w:sz w:val="28"/>
                <w:szCs w:val="28"/>
              </w:rPr>
              <w:t>水费</w:t>
            </w:r>
          </w:p>
        </w:tc>
        <w:tc>
          <w:tcPr>
            <w:tcW w:w="2541" w:type="dxa"/>
            <w:tcBorders>
              <w:top w:val="nil"/>
              <w:left w:val="nil"/>
              <w:bottom w:val="single" w:color="000000" w:sz="6" w:space="0"/>
              <w:right w:val="single" w:color="000000" w:sz="6" w:space="0"/>
            </w:tcBorders>
            <w:shd w:val="clear" w:color="auto" w:fill="FFFFFF"/>
            <w:vAlign w:val="center"/>
          </w:tcPr>
          <w:p>
            <w:pPr>
              <w:widowControl/>
              <w:spacing w:line="560" w:lineRule="exact"/>
              <w:jc w:val="center"/>
              <w:textAlignment w:val="center"/>
              <w:rPr>
                <w:rFonts w:ascii="Times New Roman" w:hAnsi="Times New Roman" w:eastAsia="仿宋_GB2312" w:cs="Times New Roman"/>
                <w:color w:val="333333"/>
                <w:kern w:val="0"/>
                <w:sz w:val="28"/>
                <w:szCs w:val="28"/>
              </w:rPr>
            </w:pPr>
            <w:r>
              <w:rPr>
                <w:rFonts w:ascii="Times New Roman" w:hAnsi="Times New Roman" w:eastAsia="宋体" w:cs="Times New Roman"/>
                <w:color w:val="000000"/>
                <w:kern w:val="0"/>
                <w:sz w:val="28"/>
                <w:szCs w:val="28"/>
                <w:lang w:bidi="ar"/>
              </w:rPr>
              <w:t>720000</w:t>
            </w:r>
          </w:p>
        </w:tc>
        <w:tc>
          <w:tcPr>
            <w:tcW w:w="2083" w:type="dxa"/>
            <w:tcBorders>
              <w:top w:val="nil"/>
              <w:left w:val="nil"/>
              <w:bottom w:val="single" w:color="000000" w:sz="6" w:space="0"/>
              <w:right w:val="single" w:color="000000" w:sz="6" w:space="0"/>
            </w:tcBorders>
            <w:shd w:val="clear" w:color="auto" w:fill="FFFFFF"/>
            <w:vAlign w:val="center"/>
          </w:tcPr>
          <w:p>
            <w:pPr>
              <w:widowControl/>
              <w:spacing w:line="560" w:lineRule="exact"/>
              <w:jc w:val="center"/>
              <w:textAlignment w:val="center"/>
              <w:rPr>
                <w:rFonts w:ascii="Times New Roman" w:hAnsi="Times New Roman" w:eastAsia="仿宋_GB2312" w:cs="Times New Roman"/>
                <w:color w:val="333333"/>
                <w:kern w:val="0"/>
                <w:sz w:val="28"/>
                <w:szCs w:val="28"/>
              </w:rPr>
            </w:pPr>
            <w:r>
              <w:rPr>
                <w:rFonts w:ascii="Times New Roman" w:hAnsi="Times New Roman" w:eastAsia="宋体" w:cs="Times New Roman"/>
                <w:color w:val="000000"/>
                <w:kern w:val="0"/>
                <w:sz w:val="28"/>
                <w:szCs w:val="28"/>
                <w:lang w:bidi="ar"/>
              </w:rPr>
              <w:t>628757.33</w:t>
            </w:r>
          </w:p>
        </w:tc>
        <w:tc>
          <w:tcPr>
            <w:tcW w:w="1602" w:type="dxa"/>
            <w:vMerge w:val="restart"/>
            <w:tcBorders>
              <w:top w:val="nil"/>
              <w:left w:val="nil"/>
              <w:right w:val="single" w:color="000000" w:sz="6" w:space="0"/>
            </w:tcBorders>
            <w:shd w:val="clear" w:color="auto" w:fill="FFFFFF"/>
            <w:vAlign w:val="center"/>
          </w:tcPr>
          <w:p>
            <w:pPr>
              <w:widowControl/>
              <w:spacing w:line="560" w:lineRule="exact"/>
              <w:jc w:val="center"/>
              <w:textAlignment w:val="bottom"/>
              <w:rPr>
                <w:rFonts w:ascii="Times New Roman" w:hAnsi="Times New Roman" w:eastAsia="仿宋_GB2312" w:cs="Times New Roman"/>
                <w:color w:val="333333"/>
                <w:kern w:val="0"/>
                <w:sz w:val="28"/>
                <w:szCs w:val="28"/>
              </w:rPr>
            </w:pPr>
            <w:r>
              <w:rPr>
                <w:rFonts w:ascii="Times New Roman" w:hAnsi="Times New Roman" w:eastAsia="仿宋_GB2312" w:cs="Times New Roman"/>
                <w:color w:val="333333"/>
                <w:kern w:val="0"/>
                <w:sz w:val="28"/>
                <w:szCs w:val="28"/>
              </w:rPr>
              <w:t>94.98%</w:t>
            </w:r>
          </w:p>
          <w:p>
            <w:pPr>
              <w:widowControl/>
              <w:spacing w:line="560" w:lineRule="exact"/>
              <w:ind w:firstLine="560" w:firstLineChars="200"/>
              <w:jc w:val="center"/>
              <w:textAlignment w:val="bottom"/>
              <w:rPr>
                <w:rFonts w:ascii="仿宋_GB2312" w:hAnsi="仿宋" w:eastAsia="仿宋_GB2312" w:cs="宋体"/>
                <w:color w:val="333333"/>
                <w:kern w:val="0"/>
                <w:sz w:val="28"/>
                <w:szCs w:val="28"/>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11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center"/>
              <w:rPr>
                <w:rFonts w:ascii="仿宋_GB2312" w:hAnsi="微软雅黑" w:eastAsia="仿宋_GB2312" w:cs="宋体"/>
                <w:color w:val="333333"/>
                <w:kern w:val="0"/>
                <w:sz w:val="28"/>
                <w:szCs w:val="28"/>
              </w:rPr>
            </w:pPr>
            <w:r>
              <w:rPr>
                <w:rFonts w:hint="eastAsia" w:ascii="仿宋_GB2312" w:hAnsi="微软雅黑" w:eastAsia="仿宋_GB2312" w:cs="宋体"/>
                <w:color w:val="333333"/>
                <w:kern w:val="0"/>
                <w:sz w:val="28"/>
                <w:szCs w:val="28"/>
              </w:rPr>
              <w:t>电费</w:t>
            </w:r>
          </w:p>
        </w:tc>
        <w:tc>
          <w:tcPr>
            <w:tcW w:w="2541" w:type="dxa"/>
            <w:tcBorders>
              <w:top w:val="nil"/>
              <w:left w:val="nil"/>
              <w:bottom w:val="single" w:color="000000" w:sz="6" w:space="0"/>
              <w:right w:val="single" w:color="000000" w:sz="6" w:space="0"/>
            </w:tcBorders>
            <w:shd w:val="clear" w:color="auto" w:fill="FFFFFF"/>
            <w:vAlign w:val="center"/>
          </w:tcPr>
          <w:p>
            <w:pPr>
              <w:widowControl/>
              <w:spacing w:line="560" w:lineRule="exact"/>
              <w:jc w:val="center"/>
              <w:textAlignment w:val="center"/>
              <w:rPr>
                <w:rFonts w:ascii="Times New Roman" w:hAnsi="Times New Roman" w:eastAsia="宋体" w:cs="Times New Roman"/>
                <w:color w:val="000000"/>
                <w:sz w:val="28"/>
                <w:szCs w:val="28"/>
              </w:rPr>
            </w:pPr>
            <w:r>
              <w:rPr>
                <w:rFonts w:ascii="Times New Roman" w:hAnsi="Times New Roman" w:eastAsia="宋体" w:cs="Times New Roman"/>
                <w:color w:val="000000"/>
                <w:kern w:val="0"/>
                <w:sz w:val="28"/>
                <w:szCs w:val="28"/>
                <w:lang w:bidi="ar"/>
              </w:rPr>
              <w:t>1100000</w:t>
            </w:r>
          </w:p>
        </w:tc>
        <w:tc>
          <w:tcPr>
            <w:tcW w:w="2083" w:type="dxa"/>
            <w:tcBorders>
              <w:top w:val="nil"/>
              <w:left w:val="nil"/>
              <w:bottom w:val="single" w:color="000000" w:sz="6" w:space="0"/>
              <w:right w:val="single" w:color="000000" w:sz="6" w:space="0"/>
            </w:tcBorders>
            <w:shd w:val="clear" w:color="auto" w:fill="FFFFFF"/>
            <w:vAlign w:val="center"/>
          </w:tcPr>
          <w:p>
            <w:pPr>
              <w:widowControl/>
              <w:spacing w:line="560" w:lineRule="exact"/>
              <w:jc w:val="center"/>
              <w:textAlignment w:val="center"/>
              <w:rPr>
                <w:rFonts w:ascii="Times New Roman" w:hAnsi="Times New Roman" w:eastAsia="宋体" w:cs="Times New Roman"/>
                <w:color w:val="000000"/>
                <w:sz w:val="28"/>
                <w:szCs w:val="28"/>
              </w:rPr>
            </w:pPr>
            <w:r>
              <w:rPr>
                <w:rFonts w:ascii="Times New Roman" w:hAnsi="Times New Roman" w:eastAsia="宋体" w:cs="Times New Roman"/>
                <w:color w:val="000000"/>
                <w:kern w:val="0"/>
                <w:sz w:val="28"/>
                <w:szCs w:val="28"/>
                <w:lang w:bidi="ar"/>
              </w:rPr>
              <w:t>1100000</w:t>
            </w:r>
          </w:p>
        </w:tc>
        <w:tc>
          <w:tcPr>
            <w:tcW w:w="1602" w:type="dxa"/>
            <w:vMerge w:val="continue"/>
            <w:tcBorders>
              <w:left w:val="nil"/>
              <w:right w:val="single" w:color="000000" w:sz="6" w:space="0"/>
            </w:tcBorders>
            <w:shd w:val="clear" w:color="auto" w:fill="FFFFFF"/>
            <w:vAlign w:val="center"/>
          </w:tcPr>
          <w:p>
            <w:pPr>
              <w:widowControl/>
              <w:spacing w:line="560" w:lineRule="exact"/>
              <w:ind w:firstLine="480" w:firstLineChars="200"/>
              <w:jc w:val="center"/>
              <w:textAlignment w:val="bottom"/>
              <w:rPr>
                <w:rFonts w:ascii="仿宋_GB2312" w:hAnsi="仿宋" w:eastAsia="仿宋_GB2312" w:cs="宋体"/>
                <w:color w:val="333333"/>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19" w:hRule="atLeast"/>
          <w:jc w:val="center"/>
        </w:trPr>
        <w:tc>
          <w:tcPr>
            <w:tcW w:w="211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bottom"/>
              <w:rPr>
                <w:rFonts w:ascii="仿宋_GB2312" w:hAnsi="仿宋" w:eastAsia="仿宋_GB2312" w:cs="宋体"/>
                <w:color w:val="333333"/>
                <w:kern w:val="0"/>
                <w:sz w:val="28"/>
                <w:szCs w:val="28"/>
              </w:rPr>
            </w:pPr>
            <w:r>
              <w:rPr>
                <w:rFonts w:hint="eastAsia" w:ascii="仿宋_GB2312" w:hAnsi="仿宋" w:eastAsia="仿宋_GB2312" w:cs="宋体"/>
                <w:color w:val="333333"/>
                <w:kern w:val="0"/>
                <w:sz w:val="28"/>
                <w:szCs w:val="28"/>
              </w:rPr>
              <w:t>合计</w:t>
            </w:r>
          </w:p>
        </w:tc>
        <w:tc>
          <w:tcPr>
            <w:tcW w:w="2541" w:type="dxa"/>
            <w:tcBorders>
              <w:top w:val="single" w:color="auto" w:sz="4" w:space="0"/>
              <w:left w:val="single" w:color="000000" w:sz="6" w:space="0"/>
              <w:bottom w:val="single" w:color="auto" w:sz="4" w:space="0"/>
              <w:right w:val="single" w:color="auto" w:sz="4" w:space="0"/>
            </w:tcBorders>
            <w:shd w:val="clear" w:color="auto" w:fill="FFFFFF"/>
            <w:vAlign w:val="center"/>
          </w:tcPr>
          <w:p>
            <w:pPr>
              <w:widowControl/>
              <w:spacing w:line="560" w:lineRule="exact"/>
              <w:jc w:val="center"/>
              <w:textAlignment w:val="center"/>
              <w:rPr>
                <w:rFonts w:ascii="Times New Roman" w:hAnsi="Times New Roman" w:eastAsia="宋体" w:cs="Times New Roman"/>
                <w:color w:val="000000"/>
                <w:sz w:val="28"/>
                <w:szCs w:val="28"/>
              </w:rPr>
            </w:pPr>
            <w:r>
              <w:rPr>
                <w:rFonts w:ascii="Times New Roman" w:hAnsi="Times New Roman" w:eastAsia="仿宋_GB2312" w:cs="Times New Roman"/>
                <w:color w:val="333333"/>
                <w:kern w:val="0"/>
                <w:sz w:val="28"/>
                <w:szCs w:val="28"/>
              </w:rPr>
              <w:t>1820000</w:t>
            </w:r>
          </w:p>
        </w:tc>
        <w:tc>
          <w:tcPr>
            <w:tcW w:w="2083" w:type="dxa"/>
            <w:tcBorders>
              <w:top w:val="single" w:color="auto" w:sz="4" w:space="0"/>
              <w:left w:val="single" w:color="000000" w:sz="6" w:space="0"/>
              <w:bottom w:val="single" w:color="auto" w:sz="4" w:space="0"/>
              <w:right w:val="single" w:color="auto" w:sz="4" w:space="0"/>
            </w:tcBorders>
            <w:shd w:val="clear" w:color="auto" w:fill="FFFFFF"/>
            <w:vAlign w:val="center"/>
          </w:tcPr>
          <w:p>
            <w:pPr>
              <w:widowControl/>
              <w:spacing w:line="560" w:lineRule="exact"/>
              <w:jc w:val="center"/>
              <w:rPr>
                <w:rFonts w:ascii="Times New Roman" w:hAnsi="Times New Roman" w:eastAsia="仿宋_GB2312" w:cs="Times New Roman"/>
                <w:color w:val="333333"/>
                <w:kern w:val="0"/>
                <w:sz w:val="28"/>
                <w:szCs w:val="28"/>
              </w:rPr>
            </w:pPr>
            <w:r>
              <w:rPr>
                <w:rFonts w:ascii="Times New Roman" w:hAnsi="Times New Roman" w:eastAsia="仿宋_GB2312" w:cs="Times New Roman"/>
                <w:color w:val="333333"/>
                <w:kern w:val="0"/>
                <w:sz w:val="28"/>
                <w:szCs w:val="28"/>
              </w:rPr>
              <w:t>1728757.33</w:t>
            </w:r>
          </w:p>
        </w:tc>
        <w:tc>
          <w:tcPr>
            <w:tcW w:w="1602" w:type="dxa"/>
            <w:vMerge w:val="continue"/>
            <w:tcBorders>
              <w:left w:val="nil"/>
              <w:bottom w:val="single" w:color="auto" w:sz="4" w:space="0"/>
              <w:right w:val="single" w:color="000000" w:sz="6" w:space="0"/>
            </w:tcBorders>
            <w:shd w:val="clear" w:color="auto" w:fill="FFFFFF"/>
            <w:vAlign w:val="center"/>
          </w:tcPr>
          <w:p>
            <w:pPr>
              <w:widowControl/>
              <w:spacing w:line="560" w:lineRule="exact"/>
              <w:ind w:firstLine="480" w:firstLineChars="200"/>
              <w:jc w:val="center"/>
              <w:textAlignment w:val="bottom"/>
              <w:rPr>
                <w:rFonts w:ascii="仿宋_GB2312" w:hAnsi="仿宋" w:eastAsia="仿宋_GB2312" w:cs="宋体"/>
                <w:color w:val="333333"/>
                <w:kern w:val="0"/>
                <w:sz w:val="24"/>
                <w:szCs w:val="24"/>
                <w:highlight w:val="yellow"/>
              </w:rPr>
            </w:pPr>
          </w:p>
        </w:tc>
      </w:tr>
    </w:tbl>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 4.</w:t>
      </w:r>
      <w:r>
        <w:rPr>
          <w:rFonts w:hint="eastAsia" w:ascii="仿宋_GB2312" w:hAnsi="仿宋" w:eastAsia="仿宋_GB2312" w:cs="宋体"/>
          <w:color w:val="333333"/>
          <w:kern w:val="0"/>
          <w:sz w:val="32"/>
          <w:szCs w:val="32"/>
        </w:rPr>
        <w:t xml:space="preserve">项目组织及管理情况 </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我单位负责八个集中办公区、七个住宅区的水、电费缴付工作，该项工作基本以委托方式，银行代收。通过对资金支付、付款单据等相关原始资料的检查，本项目资金拨付审批手续完整，支出依据合规，未发现虚列套取、截留、挤占、挪用情况和超标准开支的情况。</w:t>
      </w:r>
      <w:bookmarkStart w:id="11" w:name="_Toc12531"/>
    </w:p>
    <w:p>
      <w:pPr>
        <w:widowControl/>
        <w:shd w:val="clear" w:color="auto" w:fill="FFFFFF"/>
        <w:spacing w:line="560" w:lineRule="exact"/>
        <w:ind w:firstLine="640" w:firstLineChars="200"/>
        <w:jc w:val="left"/>
        <w:rPr>
          <w:rFonts w:ascii="楷体_GB2312" w:eastAsia="楷体_GB2312" w:hAnsiTheme="majorHAnsi" w:cstheme="majorBidi"/>
          <w:sz w:val="32"/>
          <w:szCs w:val="32"/>
        </w:rPr>
      </w:pPr>
      <w:r>
        <w:rPr>
          <w:rFonts w:hint="eastAsia" w:ascii="楷体_GB2312" w:eastAsia="楷体_GB2312" w:hAnsiTheme="majorHAnsi" w:cstheme="majorBidi"/>
          <w:sz w:val="32"/>
          <w:szCs w:val="32"/>
        </w:rPr>
        <w:t>（二）项目绩效目标</w:t>
      </w:r>
      <w:bookmarkEnd w:id="11"/>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总目标</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为确保区委、区政府后勤服务正常开展，上级机关交办事项办理到位，为各办公区、住宅区提供水、电维护、保养、零星修缮等后勤管理服务。</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年度目标</w:t>
      </w:r>
    </w:p>
    <w:p>
      <w:pPr>
        <w:widowControl/>
        <w:shd w:val="clear" w:color="auto" w:fill="FFFFFF"/>
        <w:spacing w:line="560" w:lineRule="exact"/>
        <w:ind w:firstLine="640" w:firstLineChars="200"/>
        <w:jc w:val="left"/>
        <w:outlineLvl w:val="0"/>
        <w:rPr>
          <w:rFonts w:ascii="仿宋_GB2312" w:hAnsi="仿宋" w:eastAsia="仿宋_GB2312" w:cs="宋体"/>
          <w:color w:val="333333"/>
          <w:kern w:val="0"/>
          <w:sz w:val="32"/>
          <w:szCs w:val="32"/>
        </w:rPr>
      </w:pPr>
      <w:bookmarkStart w:id="12" w:name="_Toc9684"/>
      <w:r>
        <w:rPr>
          <w:rFonts w:hint="eastAsia" w:ascii="仿宋_GB2312" w:hAnsi="仿宋" w:eastAsia="仿宋_GB2312" w:cs="宋体"/>
          <w:color w:val="333333"/>
          <w:kern w:val="0"/>
          <w:sz w:val="32"/>
          <w:szCs w:val="32"/>
        </w:rPr>
        <w:t>完成集中办公区、机关住宅区的水电费缴纳工作。</w:t>
      </w:r>
      <w:bookmarkEnd w:id="12"/>
      <w:bookmarkStart w:id="13" w:name="_Toc17110"/>
    </w:p>
    <w:p>
      <w:pPr>
        <w:widowControl/>
        <w:numPr>
          <w:ilvl w:val="0"/>
          <w:numId w:val="2"/>
        </w:numPr>
        <w:shd w:val="clear" w:color="auto" w:fill="FFFFFF"/>
        <w:spacing w:line="560" w:lineRule="exact"/>
        <w:ind w:firstLine="640" w:firstLineChars="200"/>
        <w:jc w:val="left"/>
        <w:outlineLvl w:val="0"/>
        <w:rPr>
          <w:rFonts w:ascii="黑体" w:hAnsi="黑体" w:eastAsia="黑体"/>
          <w:kern w:val="44"/>
          <w:sz w:val="32"/>
          <w:szCs w:val="32"/>
        </w:rPr>
      </w:pPr>
      <w:r>
        <w:rPr>
          <w:rFonts w:hint="eastAsia" w:ascii="黑体" w:hAnsi="黑体" w:eastAsia="黑体"/>
          <w:kern w:val="44"/>
          <w:sz w:val="32"/>
          <w:szCs w:val="32"/>
        </w:rPr>
        <w:t>绩效评价工作情况</w:t>
      </w:r>
      <w:bookmarkEnd w:id="13"/>
      <w:bookmarkStart w:id="14" w:name="_Toc9676"/>
    </w:p>
    <w:p>
      <w:pPr>
        <w:widowControl/>
        <w:shd w:val="clear" w:color="auto" w:fill="FFFFFF"/>
        <w:spacing w:line="560" w:lineRule="exact"/>
        <w:ind w:firstLine="640" w:firstLineChars="200"/>
        <w:jc w:val="left"/>
        <w:outlineLvl w:val="0"/>
        <w:rPr>
          <w:rFonts w:ascii="楷体_GB2312" w:eastAsia="楷体_GB2312" w:hAnsiTheme="majorHAnsi" w:cstheme="majorBidi"/>
          <w:sz w:val="32"/>
          <w:szCs w:val="32"/>
        </w:rPr>
      </w:pPr>
      <w:r>
        <w:rPr>
          <w:rFonts w:hint="eastAsia" w:ascii="楷体_GB2312" w:eastAsia="楷体_GB2312" w:hAnsiTheme="majorHAnsi" w:cstheme="majorBidi"/>
          <w:sz w:val="32"/>
          <w:szCs w:val="32"/>
        </w:rPr>
        <w:t>(一)评价的目的和依据</w:t>
      </w:r>
      <w:bookmarkEnd w:id="14"/>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评价目的</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评价主要依据</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政府部门文件</w:t>
      </w:r>
    </w:p>
    <w:p>
      <w:pPr>
        <w:topLinePunct/>
        <w:spacing w:line="560" w:lineRule="exact"/>
        <w:ind w:firstLine="640" w:firstLineChars="200"/>
        <w:rPr>
          <w:rFonts w:ascii="仿宋_GB2312" w:hAnsi="仿宋" w:eastAsia="仿宋_GB2312" w:cs="宋体"/>
          <w:color w:val="333333"/>
          <w:kern w:val="0"/>
          <w:sz w:val="32"/>
          <w:szCs w:val="32"/>
        </w:rPr>
      </w:pPr>
      <w:r>
        <w:rPr>
          <w:rFonts w:hint="eastAsia" w:ascii="仿宋_GB2312" w:hAnsi="仿宋_GB2312" w:eastAsia="仿宋_GB2312" w:cs="仿宋_GB2312"/>
          <w:sz w:val="32"/>
          <w:szCs w:val="32"/>
        </w:rPr>
        <w:t>《盘龙区区级部门预算绩效自评管理暂行办法》、《昆明市盘龙区财政局关于开展</w:t>
      </w:r>
      <w:r>
        <w:rPr>
          <w:rFonts w:ascii="Times New Roman" w:hAnsi="Times New Roman" w:eastAsia="仿宋_GB2312" w:cs="Times New Roman"/>
          <w:sz w:val="32"/>
          <w:szCs w:val="32"/>
        </w:rPr>
        <w:t>2021</w:t>
      </w:r>
      <w:r>
        <w:rPr>
          <w:rFonts w:hint="eastAsia" w:ascii="仿宋_GB2312" w:hAnsi="仿宋_GB2312" w:eastAsia="仿宋_GB2312" w:cs="仿宋_GB2312"/>
          <w:sz w:val="32"/>
          <w:szCs w:val="32"/>
        </w:rPr>
        <w:t>年度区级预算支出绩效自评工作的通知》（盘财绩〔</w:t>
      </w:r>
      <w:r>
        <w:rPr>
          <w:rFonts w:ascii="Times New Roman" w:hAnsi="Times New Roman" w:eastAsia="仿宋_GB2312" w:cs="Times New Roman"/>
          <w:sz w:val="32"/>
          <w:szCs w:val="32"/>
        </w:rPr>
        <w:t>2022</w:t>
      </w:r>
      <w:r>
        <w:rPr>
          <w:rFonts w:hint="eastAsia" w:ascii="仿宋_GB2312" w:hAnsi="仿宋_GB2312" w:eastAsia="仿宋_GB2312" w:cs="仿宋_GB2312"/>
          <w:sz w:val="32"/>
          <w:szCs w:val="32"/>
        </w:rPr>
        <w:t>〕</w:t>
      </w:r>
      <w:r>
        <w:rPr>
          <w:rFonts w:ascii="Times New Roman" w:hAnsi="Times New Roman" w:eastAsia="仿宋_GB2312" w:cs="Times New Roman"/>
          <w:sz w:val="32"/>
          <w:szCs w:val="32"/>
        </w:rPr>
        <w:t>2</w:t>
      </w:r>
      <w:r>
        <w:rPr>
          <w:rFonts w:hint="eastAsia" w:ascii="仿宋_GB2312" w:hAnsi="仿宋_GB2312" w:eastAsia="仿宋_GB2312" w:cs="仿宋_GB2312"/>
          <w:sz w:val="32"/>
          <w:szCs w:val="32"/>
        </w:rPr>
        <w:t>号）</w:t>
      </w:r>
      <w:r>
        <w:rPr>
          <w:rFonts w:hint="eastAsia" w:ascii="仿宋_GB2312" w:hAnsi="仿宋" w:eastAsia="仿宋_GB2312" w:cs="宋体"/>
          <w:color w:val="333333"/>
          <w:kern w:val="0"/>
          <w:sz w:val="32"/>
          <w:szCs w:val="32"/>
        </w:rPr>
        <w:t>等文件。</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项目资料</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项目预算批复等相关文件，项目相关支出凭据等。</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（3）</w:t>
      </w:r>
      <w:r>
        <w:rPr>
          <w:rFonts w:hint="eastAsia" w:ascii="仿宋_GB2312" w:hAnsi="仿宋" w:eastAsia="仿宋_GB2312" w:cs="宋体"/>
          <w:color w:val="333333"/>
          <w:kern w:val="0"/>
          <w:sz w:val="32"/>
          <w:szCs w:val="32"/>
        </w:rPr>
        <w:t>财务资料及相关制度和标准</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财务资料：会计账簿、会计凭证、会计报表、决算报表等财务资料。</w:t>
      </w:r>
    </w:p>
    <w:p>
      <w:pPr>
        <w:widowControl/>
        <w:shd w:val="clear" w:color="auto" w:fill="FFFFFF"/>
        <w:spacing w:line="560" w:lineRule="exact"/>
        <w:ind w:left="638" w:leftChars="304"/>
        <w:jc w:val="left"/>
        <w:outlineLvl w:val="2"/>
        <w:rPr>
          <w:rFonts w:ascii="楷体_GB2312" w:eastAsia="楷体_GB2312" w:hAnsiTheme="majorHAnsi" w:cstheme="majorBidi"/>
          <w:sz w:val="32"/>
          <w:szCs w:val="32"/>
        </w:rPr>
      </w:pPr>
      <w:r>
        <w:rPr>
          <w:rFonts w:hint="eastAsia" w:ascii="仿宋_GB2312" w:hAnsi="仿宋" w:eastAsia="仿宋_GB2312" w:cs="宋体"/>
          <w:color w:val="333333"/>
          <w:kern w:val="0"/>
          <w:sz w:val="32"/>
          <w:szCs w:val="32"/>
        </w:rPr>
        <w:t>《中华人民共和国会计法》《事业单位会计制度》等。</w:t>
      </w:r>
      <w:bookmarkStart w:id="15" w:name="_Toc2086"/>
      <w:r>
        <w:rPr>
          <w:rFonts w:hint="eastAsia" w:ascii="楷体_GB2312" w:eastAsia="楷体_GB2312" w:hAnsiTheme="majorHAnsi" w:cstheme="majorBidi"/>
          <w:sz w:val="32"/>
          <w:szCs w:val="32"/>
        </w:rPr>
        <w:t>（二）绩效评价工作方案制定过程</w:t>
      </w:r>
      <w:bookmarkEnd w:id="15"/>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前期调研</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本次绩效评价开始前，评价组对项目开展情况、资金使用管理情况、财务账务处理等进行了前期调研，掌握了项目运行的第一手资料，为该项目绩效评价工作的开展打下了坚实的基础。</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研究文件</w:t>
      </w:r>
    </w:p>
    <w:p>
      <w:pPr>
        <w:topLinePunct/>
        <w:spacing w:line="560" w:lineRule="exact"/>
        <w:ind w:firstLine="640" w:firstLineChars="200"/>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评价组对</w:t>
      </w:r>
      <w:r>
        <w:rPr>
          <w:rFonts w:hint="eastAsia" w:ascii="仿宋_GB2312" w:hAnsi="仿宋_GB2312" w:eastAsia="仿宋_GB2312" w:cs="仿宋_GB2312"/>
          <w:sz w:val="32"/>
          <w:szCs w:val="32"/>
        </w:rPr>
        <w:t>《盘龙区区级部门预算绩效自评管理暂行办法》、《昆明市盘龙区财政局关于开展</w:t>
      </w:r>
      <w:r>
        <w:rPr>
          <w:rFonts w:ascii="Times New Roman" w:hAnsi="Times New Roman" w:eastAsia="仿宋_GB2312" w:cs="Times New Roman"/>
          <w:sz w:val="32"/>
          <w:szCs w:val="32"/>
        </w:rPr>
        <w:t>2021</w:t>
      </w:r>
      <w:r>
        <w:rPr>
          <w:rFonts w:hint="eastAsia" w:ascii="仿宋_GB2312" w:hAnsi="仿宋_GB2312" w:eastAsia="仿宋_GB2312" w:cs="仿宋_GB2312"/>
          <w:sz w:val="32"/>
          <w:szCs w:val="32"/>
        </w:rPr>
        <w:t>年度区级预算支出绩效自评工作的通知》（盘财绩〔</w:t>
      </w:r>
      <w:r>
        <w:rPr>
          <w:rFonts w:ascii="Times New Roman" w:hAnsi="Times New Roman" w:eastAsia="仿宋_GB2312" w:cs="Times New Roman"/>
          <w:sz w:val="32"/>
          <w:szCs w:val="32"/>
        </w:rPr>
        <w:t>2022</w:t>
      </w:r>
      <w:r>
        <w:rPr>
          <w:rFonts w:hint="eastAsia" w:ascii="仿宋_GB2312" w:hAnsi="仿宋_GB2312" w:eastAsia="仿宋_GB2312" w:cs="仿宋_GB2312"/>
          <w:sz w:val="32"/>
          <w:szCs w:val="32"/>
        </w:rPr>
        <w:t>〕</w:t>
      </w:r>
      <w:r>
        <w:rPr>
          <w:rFonts w:ascii="Times New Roman" w:hAnsi="Times New Roman" w:eastAsia="仿宋_GB2312" w:cs="Times New Roman"/>
          <w:sz w:val="32"/>
          <w:szCs w:val="32"/>
        </w:rPr>
        <w:t>2</w:t>
      </w:r>
      <w:r>
        <w:rPr>
          <w:rFonts w:hint="eastAsia" w:ascii="仿宋_GB2312" w:hAnsi="仿宋_GB2312" w:eastAsia="仿宋_GB2312" w:cs="仿宋_GB2312"/>
          <w:sz w:val="32"/>
          <w:szCs w:val="32"/>
        </w:rPr>
        <w:t>号）</w:t>
      </w:r>
      <w:r>
        <w:rPr>
          <w:rFonts w:hint="eastAsia" w:ascii="仿宋_GB2312" w:hAnsi="仿宋" w:eastAsia="仿宋_GB2312" w:cs="宋体"/>
          <w:color w:val="333333"/>
          <w:kern w:val="0"/>
          <w:sz w:val="32"/>
          <w:szCs w:val="32"/>
        </w:rPr>
        <w:t>进行了认真研究，吃透文件精神，以确保绩效评价工作符合区财政局的相关要求。</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3.</w:t>
      </w:r>
      <w:r>
        <w:rPr>
          <w:rFonts w:hint="eastAsia" w:ascii="仿宋_GB2312" w:hAnsi="仿宋" w:eastAsia="仿宋_GB2312" w:cs="宋体"/>
          <w:color w:val="333333"/>
          <w:kern w:val="0"/>
          <w:sz w:val="32"/>
          <w:szCs w:val="32"/>
        </w:rPr>
        <w:t>绩效评价指标体系及工作方案的设计</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bookmarkStart w:id="16" w:name="_Toc21465"/>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（三）绩效评价原则及评价方法</w:t>
      </w:r>
      <w:bookmarkEnd w:id="16"/>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绩效评价原则</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评价工作组秉承科学规范、客观公正、定性定量的原则，采取计划标准、历史标准相结合的方式开展绩效评价。</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绩效评价方法</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此次评价采用现场抽查、随机调查、文献查阅等方式进行，采取了以下几种评价方法。</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 xml:space="preserve">比较分析法：把两个相互联系的指标数据加以比较分析，借以做出程度性判断，分绝对数比较和相对数比较，如将实际成本与预算成本相比较。 </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 xml:space="preserve">访谈法：随机访谈了相关工作人员，根据被询问者的答复搜集客观的、不带偏见的事实材料和评语。 </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抽查法：抽查全部资金到位情况等。</w:t>
      </w:r>
      <w:bookmarkStart w:id="17" w:name="_Toc6957"/>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(四) 绩效评价实施过程</w:t>
      </w:r>
      <w:bookmarkEnd w:id="17"/>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数据填报和采集</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评价组严格按照昆明市盘龙区财政局关于印发《盘龙区区级部门预算绩效自评管理暂行办法》的要求，结合本单位项目支出财务资料和</w:t>
      </w:r>
      <w:r>
        <w:rPr>
          <w:rFonts w:ascii="Times New Roman" w:hAnsi="Times New Roman" w:eastAsia="仿宋_GB2312" w:cs="Times New Roman"/>
          <w:color w:val="333333"/>
          <w:kern w:val="0"/>
          <w:sz w:val="32"/>
          <w:szCs w:val="32"/>
        </w:rPr>
        <w:t>2021</w:t>
      </w:r>
      <w:r>
        <w:rPr>
          <w:rFonts w:hint="eastAsia" w:ascii="仿宋_GB2312" w:hAnsi="仿宋" w:eastAsia="仿宋_GB2312" w:cs="宋体"/>
          <w:color w:val="333333"/>
          <w:kern w:val="0"/>
          <w:sz w:val="32"/>
          <w:szCs w:val="32"/>
        </w:rPr>
        <w:t>年决算资料进行相关数据采集和填报。</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数据分析和撰写报告</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bookmarkStart w:id="18" w:name="_Toc32216"/>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（五）绩效评价的局限性</w:t>
      </w:r>
      <w:bookmarkEnd w:id="18"/>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由于该项目为经常性类项目，故以本单位实际开展日常工作情况为绩效效果进行考评，且资金管理由本单位进行统一管理。</w:t>
      </w:r>
      <w:bookmarkStart w:id="19" w:name="_Toc17423"/>
    </w:p>
    <w:p>
      <w:pPr>
        <w:widowControl/>
        <w:numPr>
          <w:ilvl w:val="0"/>
          <w:numId w:val="2"/>
        </w:numPr>
        <w:shd w:val="clear" w:color="auto" w:fill="FFFFFF"/>
        <w:spacing w:line="560" w:lineRule="exact"/>
        <w:ind w:firstLine="640" w:firstLineChars="200"/>
        <w:jc w:val="left"/>
        <w:outlineLvl w:val="2"/>
        <w:rPr>
          <w:rFonts w:ascii="黑体" w:hAnsi="黑体" w:eastAsia="黑体"/>
          <w:kern w:val="44"/>
          <w:sz w:val="32"/>
          <w:szCs w:val="32"/>
        </w:rPr>
      </w:pPr>
      <w:r>
        <w:rPr>
          <w:rFonts w:hint="eastAsia" w:ascii="黑体" w:hAnsi="黑体" w:eastAsia="黑体"/>
          <w:kern w:val="44"/>
          <w:sz w:val="32"/>
          <w:szCs w:val="32"/>
        </w:rPr>
        <w:t>评价结论和绩效分析</w:t>
      </w:r>
      <w:bookmarkEnd w:id="19"/>
      <w:bookmarkStart w:id="20" w:name="_Toc7732"/>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(一)评价结论</w:t>
      </w:r>
      <w:bookmarkEnd w:id="20"/>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 xml:space="preserve">评价结果 </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综上，根据《盘龙区区级部门预算绩效自评管理暂行办法》，项目绩效评价得分为</w:t>
      </w:r>
      <w:r>
        <w:rPr>
          <w:rFonts w:ascii="Times New Roman" w:hAnsi="Times New Roman" w:eastAsia="仿宋_GB2312" w:cs="Times New Roman"/>
          <w:color w:val="333333"/>
          <w:kern w:val="0"/>
          <w:sz w:val="32"/>
          <w:szCs w:val="32"/>
        </w:rPr>
        <w:t>96</w:t>
      </w:r>
      <w:r>
        <w:rPr>
          <w:rFonts w:hint="eastAsia" w:ascii="仿宋_GB2312" w:hAnsi="仿宋" w:eastAsia="仿宋_GB2312" w:cs="宋体"/>
          <w:color w:val="333333"/>
          <w:kern w:val="0"/>
          <w:sz w:val="32"/>
          <w:szCs w:val="32"/>
        </w:rPr>
        <w:t>分，自评结果为优。</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主要绩效</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本项目不属于投资建设类项目，主要内容为水电费支付。机关事务管理服务中心</w:t>
      </w:r>
      <w:r>
        <w:rPr>
          <w:rFonts w:ascii="Times New Roman" w:hAnsi="Times New Roman" w:eastAsia="仿宋_GB2312" w:cs="Times New Roman"/>
          <w:color w:val="333333"/>
          <w:kern w:val="0"/>
          <w:sz w:val="32"/>
          <w:szCs w:val="32"/>
        </w:rPr>
        <w:t>2021</w:t>
      </w:r>
      <w:r>
        <w:rPr>
          <w:rFonts w:hint="eastAsia" w:ascii="仿宋_GB2312" w:hAnsi="仿宋" w:eastAsia="仿宋_GB2312" w:cs="宋体"/>
          <w:color w:val="333333"/>
          <w:kern w:val="0"/>
          <w:sz w:val="32"/>
          <w:szCs w:val="32"/>
        </w:rPr>
        <w:t>年度完成工作效益较好，保证了区委、区政府各项工作的顺利开展。</w:t>
      </w:r>
      <w:bookmarkStart w:id="21" w:name="_Toc25367"/>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（二）具体绩效分析</w:t>
      </w:r>
      <w:bookmarkEnd w:id="21"/>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具体详见附件</w:t>
      </w: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（水电经费项目支出绩效评价共性指标体系）</w:t>
      </w:r>
      <w:bookmarkStart w:id="22" w:name="_Toc522800820"/>
      <w:bookmarkEnd w:id="22"/>
      <w:bookmarkStart w:id="23" w:name="_Toc19821"/>
    </w:p>
    <w:p>
      <w:pPr>
        <w:widowControl/>
        <w:numPr>
          <w:ilvl w:val="0"/>
          <w:numId w:val="2"/>
        </w:numPr>
        <w:shd w:val="clear" w:color="auto" w:fill="FFFFFF"/>
        <w:spacing w:line="560" w:lineRule="exact"/>
        <w:ind w:firstLine="640" w:firstLineChars="200"/>
        <w:jc w:val="left"/>
        <w:outlineLvl w:val="2"/>
        <w:rPr>
          <w:rFonts w:ascii="黑体" w:hAnsi="黑体" w:eastAsia="黑体"/>
          <w:kern w:val="44"/>
          <w:sz w:val="32"/>
          <w:szCs w:val="32"/>
        </w:rPr>
      </w:pPr>
      <w:r>
        <w:rPr>
          <w:rFonts w:hint="eastAsia" w:ascii="黑体" w:hAnsi="黑体" w:eastAsia="黑体"/>
          <w:kern w:val="44"/>
          <w:sz w:val="32"/>
          <w:szCs w:val="32"/>
        </w:rPr>
        <w:t>成本效益分析</w:t>
      </w:r>
      <w:bookmarkEnd w:id="23"/>
      <w:bookmarkStart w:id="24" w:name="_Toc2714"/>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（一）项目经济性分析</w:t>
      </w:r>
      <w:bookmarkEnd w:id="24"/>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项目成本控制情况</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根据昆明市盘龙区财政局昆明市盘龙区财政局《关于下达盘龙区</w:t>
      </w:r>
      <w:r>
        <w:rPr>
          <w:rFonts w:ascii="Times New Roman" w:hAnsi="Times New Roman" w:eastAsia="仿宋_GB2312" w:cs="Times New Roman"/>
          <w:color w:val="333333"/>
          <w:kern w:val="0"/>
          <w:sz w:val="32"/>
          <w:szCs w:val="32"/>
        </w:rPr>
        <w:t>2021</w:t>
      </w:r>
      <w:r>
        <w:rPr>
          <w:rFonts w:hint="eastAsia" w:ascii="仿宋_GB2312" w:hAnsi="仿宋" w:eastAsia="仿宋_GB2312" w:cs="宋体"/>
          <w:color w:val="333333"/>
          <w:kern w:val="0"/>
          <w:sz w:val="32"/>
          <w:szCs w:val="32"/>
        </w:rPr>
        <w:t>年部门预算的批复》（盘财〔</w:t>
      </w:r>
      <w:r>
        <w:rPr>
          <w:rFonts w:ascii="Times New Roman" w:hAnsi="Times New Roman" w:eastAsia="仿宋_GB2312" w:cs="Times New Roman"/>
          <w:color w:val="333333"/>
          <w:kern w:val="0"/>
          <w:sz w:val="32"/>
          <w:szCs w:val="32"/>
        </w:rPr>
        <w:t>2021</w:t>
      </w:r>
      <w:r>
        <w:rPr>
          <w:rFonts w:hint="eastAsia" w:ascii="仿宋_GB2312" w:hAnsi="仿宋" w:eastAsia="仿宋_GB2312" w:cs="宋体"/>
          <w:color w:val="333333"/>
          <w:kern w:val="0"/>
          <w:sz w:val="32"/>
          <w:szCs w:val="32"/>
        </w:rPr>
        <w:t>〕</w:t>
      </w: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号）下达水电专项经费</w:t>
      </w:r>
      <w:r>
        <w:rPr>
          <w:rFonts w:ascii="Times New Roman" w:hAnsi="Times New Roman" w:eastAsia="仿宋_GB2312" w:cs="Times New Roman"/>
          <w:color w:val="333333"/>
          <w:kern w:val="0"/>
          <w:sz w:val="32"/>
          <w:szCs w:val="32"/>
        </w:rPr>
        <w:t>2021</w:t>
      </w:r>
      <w:r>
        <w:rPr>
          <w:rFonts w:hint="eastAsia" w:ascii="仿宋_GB2312" w:hAnsi="仿宋" w:eastAsia="仿宋_GB2312" w:cs="宋体"/>
          <w:color w:val="333333"/>
          <w:kern w:val="0"/>
          <w:sz w:val="32"/>
          <w:szCs w:val="32"/>
        </w:rPr>
        <w:t>年</w:t>
      </w:r>
      <w:r>
        <w:rPr>
          <w:rFonts w:ascii="Times New Roman" w:hAnsi="Times New Roman" w:eastAsia="仿宋_GB2312" w:cs="Times New Roman"/>
          <w:color w:val="333333"/>
          <w:kern w:val="0"/>
          <w:sz w:val="32"/>
          <w:szCs w:val="32"/>
        </w:rPr>
        <w:t>1820000</w:t>
      </w:r>
      <w:r>
        <w:rPr>
          <w:rFonts w:hint="eastAsia" w:ascii="仿宋_GB2312" w:hAnsi="仿宋" w:eastAsia="仿宋_GB2312" w:cs="宋体"/>
          <w:color w:val="333333"/>
          <w:kern w:val="0"/>
          <w:sz w:val="32"/>
          <w:szCs w:val="32"/>
        </w:rPr>
        <w:t>元，实际支出</w:t>
      </w:r>
      <w:r>
        <w:rPr>
          <w:rFonts w:ascii="Times New Roman" w:hAnsi="Times New Roman" w:eastAsia="仿宋_GB2312" w:cs="Times New Roman"/>
          <w:color w:val="333333"/>
          <w:kern w:val="0"/>
          <w:sz w:val="32"/>
          <w:szCs w:val="32"/>
        </w:rPr>
        <w:t>1728757.33</w:t>
      </w:r>
      <w:r>
        <w:rPr>
          <w:rFonts w:hint="eastAsia" w:ascii="仿宋_GB2312" w:hAnsi="仿宋" w:eastAsia="仿宋_GB2312" w:cs="宋体"/>
          <w:color w:val="333333"/>
          <w:kern w:val="0"/>
          <w:sz w:val="32"/>
          <w:szCs w:val="32"/>
        </w:rPr>
        <w:t>元，项目资金使用控制在预算范围内。</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项目的效率性分析</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根据相关的项目资料显示，截止</w:t>
      </w:r>
      <w:r>
        <w:rPr>
          <w:rFonts w:ascii="Times New Roman" w:hAnsi="Times New Roman" w:eastAsia="仿宋_GB2312" w:cs="Times New Roman"/>
          <w:color w:val="333333"/>
          <w:kern w:val="0"/>
          <w:sz w:val="32"/>
          <w:szCs w:val="32"/>
        </w:rPr>
        <w:t>2021</w:t>
      </w:r>
      <w:r>
        <w:rPr>
          <w:rFonts w:hint="eastAsia" w:ascii="仿宋_GB2312" w:hAnsi="仿宋" w:eastAsia="仿宋_GB2312" w:cs="宋体"/>
          <w:color w:val="333333"/>
          <w:kern w:val="0"/>
          <w:sz w:val="32"/>
          <w:szCs w:val="32"/>
        </w:rPr>
        <w:t>年</w:t>
      </w:r>
      <w:r>
        <w:rPr>
          <w:rFonts w:ascii="Times New Roman" w:hAnsi="Times New Roman" w:eastAsia="仿宋_GB2312" w:cs="Times New Roman"/>
          <w:color w:val="333333"/>
          <w:kern w:val="0"/>
          <w:sz w:val="32"/>
          <w:szCs w:val="32"/>
        </w:rPr>
        <w:t>12</w:t>
      </w:r>
      <w:r>
        <w:rPr>
          <w:rFonts w:hint="eastAsia" w:ascii="仿宋_GB2312" w:hAnsi="仿宋" w:eastAsia="仿宋_GB2312" w:cs="宋体"/>
          <w:color w:val="333333"/>
          <w:kern w:val="0"/>
          <w:sz w:val="32"/>
          <w:szCs w:val="32"/>
        </w:rPr>
        <w:t>月</w:t>
      </w:r>
      <w:r>
        <w:rPr>
          <w:rFonts w:ascii="Times New Roman" w:hAnsi="Times New Roman" w:eastAsia="仿宋_GB2312" w:cs="Times New Roman"/>
          <w:color w:val="333333"/>
          <w:kern w:val="0"/>
          <w:sz w:val="32"/>
          <w:szCs w:val="32"/>
        </w:rPr>
        <w:t>31</w:t>
      </w:r>
      <w:r>
        <w:rPr>
          <w:rFonts w:hint="eastAsia" w:ascii="仿宋_GB2312" w:hAnsi="仿宋" w:eastAsia="仿宋_GB2312" w:cs="宋体"/>
          <w:color w:val="333333"/>
          <w:kern w:val="0"/>
          <w:sz w:val="32"/>
          <w:szCs w:val="32"/>
        </w:rPr>
        <w:t>日，本单位各项工作均有序进行。</w:t>
      </w:r>
      <w:bookmarkStart w:id="25" w:name="_Toc10483"/>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（二）项目的效益性分析</w:t>
      </w:r>
      <w:bookmarkEnd w:id="25"/>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经济效益</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机关各办公区、住宅区交纳水电费是一项经常性后勤保障工作，其直接和间接的经济效益难以计算。在本项目的实施过程中，在确保正常办公及生活的情况下，节约用水、用电</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社会效益</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为各办公区办公人员及住宅区居民提供高效、快捷、安全的服务</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3.</w:t>
      </w:r>
      <w:r>
        <w:rPr>
          <w:rFonts w:hint="eastAsia" w:ascii="仿宋_GB2312" w:hAnsi="仿宋" w:eastAsia="仿宋_GB2312" w:cs="宋体"/>
          <w:color w:val="333333"/>
          <w:kern w:val="0"/>
          <w:sz w:val="32"/>
          <w:szCs w:val="32"/>
        </w:rPr>
        <w:t>可持续影响</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本项目的实施，保障了区委、区政府办公有房，不断优化工作流程、模式等，为建设节约型政府及节约型社会奠定了基础。</w:t>
      </w:r>
      <w:bookmarkStart w:id="26" w:name="_Toc11512"/>
    </w:p>
    <w:p>
      <w:pPr>
        <w:widowControl/>
        <w:numPr>
          <w:ilvl w:val="0"/>
          <w:numId w:val="2"/>
        </w:numPr>
        <w:shd w:val="clear" w:color="auto" w:fill="FFFFFF"/>
        <w:spacing w:line="560" w:lineRule="exact"/>
        <w:ind w:firstLine="640" w:firstLineChars="200"/>
        <w:jc w:val="left"/>
        <w:outlineLvl w:val="2"/>
        <w:rPr>
          <w:rFonts w:ascii="黑体" w:hAnsi="黑体" w:eastAsia="黑体"/>
          <w:kern w:val="44"/>
          <w:sz w:val="32"/>
          <w:szCs w:val="32"/>
        </w:rPr>
      </w:pPr>
      <w:r>
        <w:rPr>
          <w:rFonts w:hint="eastAsia" w:ascii="黑体" w:hAnsi="黑体" w:eastAsia="黑体"/>
          <w:kern w:val="44"/>
          <w:sz w:val="32"/>
          <w:szCs w:val="32"/>
        </w:rPr>
        <w:t>项目主要经验及做法、存在的问题和建议</w:t>
      </w:r>
      <w:bookmarkEnd w:id="26"/>
      <w:bookmarkStart w:id="27" w:name="_Toc8621"/>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（一）主要经验及做法</w:t>
      </w:r>
      <w:bookmarkEnd w:id="27"/>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强化组织领导</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成立由部门负责人任组长的绩效评价领导小组，保证了财政支出绩效评价各项工作的顺利开展。</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加强学习，强化绩效管理的理念</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认真学习财政部《关于推进预算绩效管理的指导意见》（财预〔</w:t>
      </w:r>
      <w:r>
        <w:rPr>
          <w:rFonts w:ascii="Times New Roman" w:hAnsi="Times New Roman" w:eastAsia="仿宋_GB2312" w:cs="Times New Roman"/>
          <w:color w:val="333333"/>
          <w:kern w:val="0"/>
          <w:sz w:val="32"/>
          <w:szCs w:val="32"/>
        </w:rPr>
        <w:t>2014</w:t>
      </w:r>
      <w:r>
        <w:rPr>
          <w:rFonts w:hint="eastAsia" w:ascii="仿宋_GB2312" w:hAnsi="仿宋" w:eastAsia="仿宋_GB2312" w:cs="宋体"/>
          <w:color w:val="333333"/>
          <w:kern w:val="0"/>
          <w:sz w:val="32"/>
          <w:szCs w:val="32"/>
        </w:rPr>
        <w:t>〕</w:t>
      </w:r>
      <w:r>
        <w:rPr>
          <w:rFonts w:ascii="Times New Roman" w:hAnsi="Times New Roman" w:eastAsia="仿宋_GB2312" w:cs="Times New Roman"/>
          <w:color w:val="333333"/>
          <w:kern w:val="0"/>
          <w:sz w:val="32"/>
          <w:szCs w:val="32"/>
        </w:rPr>
        <w:t>416</w:t>
      </w:r>
      <w:r>
        <w:rPr>
          <w:rFonts w:hint="eastAsia" w:ascii="仿宋_GB2312" w:hAnsi="仿宋" w:eastAsia="仿宋_GB2312" w:cs="宋体"/>
          <w:color w:val="333333"/>
          <w:kern w:val="0"/>
          <w:sz w:val="32"/>
          <w:szCs w:val="32"/>
        </w:rPr>
        <w:t>号）、云南省财政厅《云南省省级部门财政支出绩效办法》（云财预〔</w:t>
      </w:r>
      <w:r>
        <w:rPr>
          <w:rFonts w:ascii="Times New Roman" w:hAnsi="Times New Roman" w:eastAsia="仿宋_GB2312" w:cs="Times New Roman"/>
          <w:color w:val="333333"/>
          <w:kern w:val="0"/>
          <w:sz w:val="32"/>
          <w:szCs w:val="32"/>
        </w:rPr>
        <w:t>2016</w:t>
      </w:r>
      <w:r>
        <w:rPr>
          <w:rFonts w:hint="eastAsia" w:ascii="仿宋_GB2312" w:hAnsi="仿宋" w:eastAsia="仿宋_GB2312" w:cs="宋体"/>
          <w:color w:val="333333"/>
          <w:kern w:val="0"/>
          <w:sz w:val="32"/>
          <w:szCs w:val="32"/>
        </w:rPr>
        <w:t>〕</w:t>
      </w:r>
      <w:r>
        <w:rPr>
          <w:rFonts w:ascii="Times New Roman" w:hAnsi="Times New Roman" w:eastAsia="仿宋_GB2312" w:cs="Times New Roman"/>
          <w:color w:val="333333"/>
          <w:kern w:val="0"/>
          <w:sz w:val="32"/>
          <w:szCs w:val="32"/>
        </w:rPr>
        <w:t>98</w:t>
      </w:r>
      <w:r>
        <w:rPr>
          <w:rFonts w:hint="eastAsia" w:ascii="仿宋_GB2312" w:hAnsi="仿宋" w:eastAsia="仿宋_GB2312" w:cs="宋体"/>
          <w:color w:val="333333"/>
          <w:kern w:val="0"/>
          <w:sz w:val="32"/>
          <w:szCs w:val="32"/>
        </w:rPr>
        <w:t>号）、《盘龙区区级部门预算绩效自评管理暂行办法》、</w:t>
      </w:r>
      <w:r>
        <w:rPr>
          <w:rFonts w:hint="eastAsia" w:ascii="仿宋_GB2312" w:hAnsi="仿宋_GB2312" w:eastAsia="仿宋_GB2312" w:cs="仿宋_GB2312"/>
          <w:sz w:val="32"/>
          <w:szCs w:val="32"/>
        </w:rPr>
        <w:t>《昆明市盘龙区财政局关于开展</w:t>
      </w:r>
      <w:r>
        <w:rPr>
          <w:rFonts w:ascii="Times New Roman" w:hAnsi="Times New Roman" w:eastAsia="仿宋_GB2312" w:cs="Times New Roman"/>
          <w:sz w:val="32"/>
          <w:szCs w:val="32"/>
        </w:rPr>
        <w:t>2021</w:t>
      </w:r>
      <w:r>
        <w:rPr>
          <w:rFonts w:hint="eastAsia" w:ascii="仿宋_GB2312" w:hAnsi="仿宋_GB2312" w:eastAsia="仿宋_GB2312" w:cs="仿宋_GB2312"/>
          <w:sz w:val="32"/>
          <w:szCs w:val="32"/>
        </w:rPr>
        <w:t>年度区级预算支出绩效自评工作的通知》（盘财绩〔</w:t>
      </w:r>
      <w:r>
        <w:rPr>
          <w:rFonts w:ascii="Times New Roman" w:hAnsi="Times New Roman" w:eastAsia="仿宋_GB2312" w:cs="Times New Roman"/>
          <w:sz w:val="32"/>
          <w:szCs w:val="32"/>
        </w:rPr>
        <w:t>2022</w:t>
      </w:r>
      <w:r>
        <w:rPr>
          <w:rFonts w:hint="eastAsia" w:ascii="仿宋_GB2312" w:hAnsi="仿宋_GB2312" w:eastAsia="仿宋_GB2312" w:cs="仿宋_GB2312"/>
          <w:sz w:val="32"/>
          <w:szCs w:val="32"/>
        </w:rPr>
        <w:t>〕</w:t>
      </w:r>
      <w:r>
        <w:rPr>
          <w:rFonts w:ascii="Times New Roman" w:hAnsi="Times New Roman" w:eastAsia="仿宋_GB2312" w:cs="Times New Roman"/>
          <w:sz w:val="32"/>
          <w:szCs w:val="32"/>
        </w:rPr>
        <w:t>2</w:t>
      </w:r>
      <w:r>
        <w:rPr>
          <w:rFonts w:hint="eastAsia" w:ascii="仿宋_GB2312" w:hAnsi="仿宋_GB2312" w:eastAsia="仿宋_GB2312" w:cs="仿宋_GB2312"/>
          <w:sz w:val="32"/>
          <w:szCs w:val="32"/>
        </w:rPr>
        <w:t>号）</w:t>
      </w:r>
      <w:r>
        <w:rPr>
          <w:rFonts w:hint="eastAsia" w:ascii="仿宋_GB2312" w:hAnsi="仿宋" w:eastAsia="仿宋_GB2312" w:cs="宋体"/>
          <w:color w:val="333333"/>
          <w:kern w:val="0"/>
          <w:sz w:val="32"/>
          <w:szCs w:val="32"/>
        </w:rPr>
        <w:t>相关绩效管理文件，吃透文件精神，强化绩效管理的理念。</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3.</w:t>
      </w:r>
      <w:r>
        <w:rPr>
          <w:rFonts w:hint="eastAsia" w:ascii="仿宋_GB2312" w:hAnsi="仿宋" w:eastAsia="仿宋_GB2312" w:cs="宋体"/>
          <w:color w:val="333333"/>
          <w:kern w:val="0"/>
          <w:sz w:val="32"/>
          <w:szCs w:val="32"/>
        </w:rPr>
        <w:t>创新方式，落实责任</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创新管理方式，落实岗位责任制，夯实基础工作，突出工作重点，强化制度建设，推动本单位预算绩效管理各项工作齐头并进。</w:t>
      </w:r>
      <w:bookmarkStart w:id="28" w:name="_Toc10098"/>
      <w:bookmarkStart w:id="29" w:name="_（二）存在的问题_1"/>
    </w:p>
    <w:p>
      <w:pPr>
        <w:widowControl/>
        <w:shd w:val="clear" w:color="auto" w:fill="FFFFFF"/>
        <w:spacing w:line="560" w:lineRule="exact"/>
        <w:ind w:firstLine="420" w:firstLineChars="200"/>
        <w:jc w:val="left"/>
        <w:outlineLvl w:val="2"/>
        <w:rPr>
          <w:rFonts w:ascii="仿宋_GB2312" w:hAnsi="仿宋" w:eastAsia="仿宋_GB2312" w:cs="宋体"/>
          <w:color w:val="333333"/>
          <w:kern w:val="0"/>
          <w:sz w:val="32"/>
          <w:szCs w:val="32"/>
        </w:rPr>
      </w:pPr>
      <w:r>
        <w:fldChar w:fldCharType="begin"/>
      </w:r>
      <w:r>
        <w:instrText xml:space="preserve"> HYPERLINK \l "_（二）存在的问题_1" </w:instrText>
      </w:r>
      <w:r>
        <w:fldChar w:fldCharType="separate"/>
      </w:r>
      <w:r>
        <w:rPr>
          <w:rStyle w:val="13"/>
          <w:rFonts w:hint="eastAsia" w:ascii="楷体_GB2312" w:eastAsia="楷体_GB2312" w:hAnsiTheme="majorHAnsi" w:cstheme="majorBidi"/>
          <w:color w:val="auto"/>
          <w:sz w:val="32"/>
          <w:szCs w:val="32"/>
          <w:u w:val="none"/>
        </w:rPr>
        <w:t>（二）存在的问题</w:t>
      </w:r>
      <w:r>
        <w:rPr>
          <w:rStyle w:val="13"/>
          <w:rFonts w:hint="eastAsia" w:ascii="楷体_GB2312" w:eastAsia="楷体_GB2312" w:hAnsiTheme="majorHAnsi" w:cstheme="majorBidi"/>
          <w:color w:val="auto"/>
          <w:sz w:val="32"/>
          <w:szCs w:val="32"/>
          <w:u w:val="none"/>
        </w:rPr>
        <w:fldChar w:fldCharType="end"/>
      </w:r>
      <w:bookmarkEnd w:id="28"/>
      <w:bookmarkEnd w:id="29"/>
      <w:bookmarkStart w:id="30" w:name="_Toc30693"/>
    </w:p>
    <w:p>
      <w:pPr>
        <w:widowControl/>
        <w:shd w:val="clear" w:color="auto" w:fill="FFFFFF"/>
        <w:spacing w:line="560" w:lineRule="exact"/>
        <w:ind w:firstLine="640" w:firstLineChars="200"/>
        <w:jc w:val="left"/>
        <w:rPr>
          <w:rFonts w:hint="eastAsia" w:ascii="仿宋_GB2312" w:hAnsi="仿宋" w:eastAsia="仿宋_GB2312" w:cs="宋体"/>
          <w:color w:val="333333"/>
          <w:kern w:val="0"/>
          <w:sz w:val="32"/>
          <w:szCs w:val="32"/>
          <w:lang w:val="en-US" w:eastAsia="zh-CN"/>
        </w:rPr>
      </w:pP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w:t>
      </w:r>
      <w:r>
        <w:rPr>
          <w:rFonts w:hint="eastAsia" w:ascii="仿宋_GB2312" w:hAnsi="仿宋" w:eastAsia="仿宋_GB2312" w:cs="宋体"/>
          <w:color w:val="333333"/>
          <w:kern w:val="0"/>
          <w:sz w:val="32"/>
          <w:szCs w:val="32"/>
        </w:rPr>
        <w:t>水电费成本较高</w:t>
      </w:r>
      <w:r>
        <w:rPr>
          <w:rFonts w:hint="eastAsia" w:ascii="仿宋_GB2312" w:hAnsi="仿宋" w:eastAsia="仿宋_GB2312" w:cs="宋体"/>
          <w:color w:val="333333"/>
          <w:kern w:val="0"/>
          <w:sz w:val="32"/>
          <w:szCs w:val="32"/>
          <w:lang w:eastAsia="zh-CN"/>
        </w:rPr>
        <w:t>。</w:t>
      </w:r>
    </w:p>
    <w:p>
      <w:pPr>
        <w:widowControl/>
        <w:shd w:val="clear" w:color="auto" w:fill="FFFFFF"/>
        <w:spacing w:line="560" w:lineRule="exact"/>
        <w:ind w:firstLine="640" w:firstLineChars="200"/>
        <w:jc w:val="left"/>
        <w:rPr>
          <w:rFonts w:ascii="楷体_GB2312" w:eastAsia="楷体_GB2312" w:hAnsiTheme="majorHAnsi" w:cstheme="majorBidi"/>
          <w:sz w:val="32"/>
          <w:szCs w:val="32"/>
        </w:rPr>
      </w:pPr>
      <w:r>
        <w:rPr>
          <w:rFonts w:hint="eastAsia" w:ascii="楷体_GB2312" w:eastAsia="楷体_GB2312" w:hAnsiTheme="majorHAnsi" w:cstheme="majorBidi"/>
          <w:sz w:val="32"/>
          <w:szCs w:val="32"/>
        </w:rPr>
        <w:t>（三）建议和改进措施</w:t>
      </w:r>
      <w:bookmarkEnd w:id="30"/>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提高我们的服务水平和服务质量，让各类公职人员和住宅区居民提升满意度。</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进一步控制水电费成本，降低水电费成本。</w:t>
      </w:r>
    </w:p>
    <w:p>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p>
    <w:sectPr>
      <w:footerReference r:id="rId6"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2052" o:spid="_x0000_s2052"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pPr>
                  <w:pStyle w:val="5"/>
                </w:pPr>
                <w:r>
                  <w:fldChar w:fldCharType="begin"/>
                </w:r>
                <w:r>
                  <w:instrText xml:space="preserve"> PAGE  \* MERGEFORMAT </w:instrText>
                </w:r>
                <w:r>
                  <w:fldChar w:fldCharType="separate"/>
                </w:r>
                <w:r>
                  <w:t>10</w:t>
                </w:r>
                <w:r>
                  <w:fldChar w:fldCharType="end"/>
                </w:r>
              </w:p>
            </w:txbxContent>
          </v:textbox>
        </v:shape>
      </w:pic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770A39"/>
    <w:multiLevelType w:val="singleLevel"/>
    <w:tmpl w:val="B5770A39"/>
    <w:lvl w:ilvl="0" w:tentative="0">
      <w:start w:val="1"/>
      <w:numFmt w:val="chineseCounting"/>
      <w:suff w:val="nothing"/>
      <w:lvlText w:val="%1、"/>
      <w:lvlJc w:val="left"/>
      <w:rPr>
        <w:rFonts w:hint="eastAsia" w:ascii="黑体" w:hAnsi="黑体" w:eastAsia="黑体"/>
      </w:rPr>
    </w:lvl>
  </w:abstractNum>
  <w:abstractNum w:abstractNumId="1">
    <w:nsid w:val="D2ED912D"/>
    <w:multiLevelType w:val="singleLevel"/>
    <w:tmpl w:val="D2ED912D"/>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641D6"/>
    <w:rsid w:val="000067C5"/>
    <w:rsid w:val="00016188"/>
    <w:rsid w:val="0003079A"/>
    <w:rsid w:val="00052DD1"/>
    <w:rsid w:val="00064085"/>
    <w:rsid w:val="00065FAB"/>
    <w:rsid w:val="00083C01"/>
    <w:rsid w:val="000A189D"/>
    <w:rsid w:val="000C23F4"/>
    <w:rsid w:val="000D4284"/>
    <w:rsid w:val="000D4C87"/>
    <w:rsid w:val="000E03E5"/>
    <w:rsid w:val="00117A64"/>
    <w:rsid w:val="00120F3E"/>
    <w:rsid w:val="00125208"/>
    <w:rsid w:val="00125431"/>
    <w:rsid w:val="00126F57"/>
    <w:rsid w:val="0013320E"/>
    <w:rsid w:val="00161615"/>
    <w:rsid w:val="00176E0C"/>
    <w:rsid w:val="0017797D"/>
    <w:rsid w:val="001A07AF"/>
    <w:rsid w:val="001B7840"/>
    <w:rsid w:val="001D7066"/>
    <w:rsid w:val="001E05C8"/>
    <w:rsid w:val="001E6CD3"/>
    <w:rsid w:val="0020235D"/>
    <w:rsid w:val="00265DC5"/>
    <w:rsid w:val="002A7442"/>
    <w:rsid w:val="002F4439"/>
    <w:rsid w:val="003033E8"/>
    <w:rsid w:val="00370834"/>
    <w:rsid w:val="003759C8"/>
    <w:rsid w:val="00382F35"/>
    <w:rsid w:val="003A6B1A"/>
    <w:rsid w:val="003A7F8D"/>
    <w:rsid w:val="003B0658"/>
    <w:rsid w:val="00404B4C"/>
    <w:rsid w:val="004142A1"/>
    <w:rsid w:val="004424D2"/>
    <w:rsid w:val="004641D6"/>
    <w:rsid w:val="0046763C"/>
    <w:rsid w:val="004F1C6A"/>
    <w:rsid w:val="00517F76"/>
    <w:rsid w:val="00540427"/>
    <w:rsid w:val="005457FD"/>
    <w:rsid w:val="00560CAF"/>
    <w:rsid w:val="00566D4A"/>
    <w:rsid w:val="00581C86"/>
    <w:rsid w:val="005A5C58"/>
    <w:rsid w:val="005C46F2"/>
    <w:rsid w:val="00625C2D"/>
    <w:rsid w:val="006272BF"/>
    <w:rsid w:val="00633A67"/>
    <w:rsid w:val="00636E7D"/>
    <w:rsid w:val="006455AF"/>
    <w:rsid w:val="00647808"/>
    <w:rsid w:val="00684C7D"/>
    <w:rsid w:val="006C6157"/>
    <w:rsid w:val="00702B18"/>
    <w:rsid w:val="007151A5"/>
    <w:rsid w:val="00750121"/>
    <w:rsid w:val="0075317D"/>
    <w:rsid w:val="00753A9C"/>
    <w:rsid w:val="00797B22"/>
    <w:rsid w:val="007A2583"/>
    <w:rsid w:val="007A54AC"/>
    <w:rsid w:val="007C61D5"/>
    <w:rsid w:val="007F12BD"/>
    <w:rsid w:val="007F16C0"/>
    <w:rsid w:val="007F2B86"/>
    <w:rsid w:val="007F4380"/>
    <w:rsid w:val="0084602A"/>
    <w:rsid w:val="00862191"/>
    <w:rsid w:val="00874737"/>
    <w:rsid w:val="00887FA5"/>
    <w:rsid w:val="008A1F73"/>
    <w:rsid w:val="008E639C"/>
    <w:rsid w:val="008F235D"/>
    <w:rsid w:val="00912263"/>
    <w:rsid w:val="009647CC"/>
    <w:rsid w:val="009812BC"/>
    <w:rsid w:val="009845E8"/>
    <w:rsid w:val="00A079AD"/>
    <w:rsid w:val="00A169DA"/>
    <w:rsid w:val="00A246C6"/>
    <w:rsid w:val="00A24DB2"/>
    <w:rsid w:val="00A340FE"/>
    <w:rsid w:val="00A53BF3"/>
    <w:rsid w:val="00A55682"/>
    <w:rsid w:val="00A766EB"/>
    <w:rsid w:val="00AA0784"/>
    <w:rsid w:val="00AD3C01"/>
    <w:rsid w:val="00B119F6"/>
    <w:rsid w:val="00B33494"/>
    <w:rsid w:val="00B4249B"/>
    <w:rsid w:val="00B756D2"/>
    <w:rsid w:val="00B90055"/>
    <w:rsid w:val="00BA27BD"/>
    <w:rsid w:val="00BB42A4"/>
    <w:rsid w:val="00BC16C8"/>
    <w:rsid w:val="00BD3A6A"/>
    <w:rsid w:val="00BE5D8B"/>
    <w:rsid w:val="00C331EC"/>
    <w:rsid w:val="00C52C64"/>
    <w:rsid w:val="00C65A21"/>
    <w:rsid w:val="00CA1539"/>
    <w:rsid w:val="00CB39A7"/>
    <w:rsid w:val="00CB5F00"/>
    <w:rsid w:val="00CC3DEA"/>
    <w:rsid w:val="00CD09D3"/>
    <w:rsid w:val="00CD4325"/>
    <w:rsid w:val="00D23DD1"/>
    <w:rsid w:val="00D31FE5"/>
    <w:rsid w:val="00D334D3"/>
    <w:rsid w:val="00D8264F"/>
    <w:rsid w:val="00DB3B05"/>
    <w:rsid w:val="00DC164C"/>
    <w:rsid w:val="00DD1F9F"/>
    <w:rsid w:val="00E131B3"/>
    <w:rsid w:val="00E23CD1"/>
    <w:rsid w:val="00E24D83"/>
    <w:rsid w:val="00E44D2C"/>
    <w:rsid w:val="00E54629"/>
    <w:rsid w:val="00E76CAF"/>
    <w:rsid w:val="00E854E6"/>
    <w:rsid w:val="00E9458B"/>
    <w:rsid w:val="00E94B83"/>
    <w:rsid w:val="00E95403"/>
    <w:rsid w:val="00EB6335"/>
    <w:rsid w:val="00EF2A7D"/>
    <w:rsid w:val="00F03E7E"/>
    <w:rsid w:val="00F15ABA"/>
    <w:rsid w:val="00F46785"/>
    <w:rsid w:val="00F65B66"/>
    <w:rsid w:val="00F722B8"/>
    <w:rsid w:val="00F7705D"/>
    <w:rsid w:val="00FC6E77"/>
    <w:rsid w:val="00FE33F6"/>
    <w:rsid w:val="00FF14B8"/>
    <w:rsid w:val="03073898"/>
    <w:rsid w:val="0863109C"/>
    <w:rsid w:val="096D6754"/>
    <w:rsid w:val="0B413899"/>
    <w:rsid w:val="0CA674F8"/>
    <w:rsid w:val="0D6658AC"/>
    <w:rsid w:val="104B091B"/>
    <w:rsid w:val="14004933"/>
    <w:rsid w:val="15206C3A"/>
    <w:rsid w:val="16CB786F"/>
    <w:rsid w:val="19794E06"/>
    <w:rsid w:val="1BA138A1"/>
    <w:rsid w:val="1E143737"/>
    <w:rsid w:val="23DA27E5"/>
    <w:rsid w:val="2708124F"/>
    <w:rsid w:val="28D769E4"/>
    <w:rsid w:val="29622B06"/>
    <w:rsid w:val="2BA2543C"/>
    <w:rsid w:val="2F32595B"/>
    <w:rsid w:val="3B8051FB"/>
    <w:rsid w:val="41BF4256"/>
    <w:rsid w:val="455F7423"/>
    <w:rsid w:val="47425AAB"/>
    <w:rsid w:val="48D426C9"/>
    <w:rsid w:val="4C374959"/>
    <w:rsid w:val="4DB13B20"/>
    <w:rsid w:val="4E8B41F2"/>
    <w:rsid w:val="57970D4C"/>
    <w:rsid w:val="585B7D62"/>
    <w:rsid w:val="5C084248"/>
    <w:rsid w:val="5CF11A4A"/>
    <w:rsid w:val="620A7ED1"/>
    <w:rsid w:val="646B50CB"/>
    <w:rsid w:val="64C84416"/>
    <w:rsid w:val="66C53B22"/>
    <w:rsid w:val="6771763C"/>
    <w:rsid w:val="684A7DA5"/>
    <w:rsid w:val="69506DF8"/>
    <w:rsid w:val="6A0B4480"/>
    <w:rsid w:val="6AE22D92"/>
    <w:rsid w:val="6D23191D"/>
    <w:rsid w:val="6F5D433D"/>
    <w:rsid w:val="6FC92FB0"/>
    <w:rsid w:val="6FCE621A"/>
    <w:rsid w:val="70467D2B"/>
    <w:rsid w:val="712709DE"/>
    <w:rsid w:val="733E1B2C"/>
    <w:rsid w:val="74937186"/>
    <w:rsid w:val="77B73100"/>
    <w:rsid w:val="79FB5AAC"/>
    <w:rsid w:val="7B990FC7"/>
    <w:rsid w:val="7C491188"/>
    <w:rsid w:val="7FB4372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直接箭头连接符 5"/>
        <o:r id="V:Rule2" type="connector" idref="#直接箭头连接符 1"/>
        <o:r id="V:Rule3" type="connector" idref="#直接箭头连接符 2"/>
        <o:r id="V:Rule4" type="connector" idref="#直接箭头连接符 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widowControl/>
      <w:jc w:val="left"/>
      <w:outlineLvl w:val="0"/>
    </w:pPr>
    <w:rPr>
      <w:rFonts w:ascii="宋体" w:hAnsi="宋体" w:eastAsia="宋体" w:cs="宋体"/>
      <w:b/>
      <w:bCs/>
      <w:kern w:val="36"/>
      <w:sz w:val="48"/>
      <w:szCs w:val="48"/>
    </w:rPr>
  </w:style>
  <w:style w:type="paragraph" w:styleId="3">
    <w:name w:val="heading 2"/>
    <w:basedOn w:val="1"/>
    <w:next w:val="1"/>
    <w:link w:val="15"/>
    <w:qFormat/>
    <w:uiPriority w:val="9"/>
    <w:pPr>
      <w:widowControl/>
      <w:jc w:val="left"/>
      <w:outlineLvl w:val="1"/>
    </w:pPr>
    <w:rPr>
      <w:rFonts w:ascii="宋体" w:hAnsi="宋体" w:eastAsia="宋体" w:cs="宋体"/>
      <w:b/>
      <w:bCs/>
      <w:kern w:val="0"/>
      <w:sz w:val="36"/>
      <w:szCs w:val="36"/>
    </w:rPr>
  </w:style>
  <w:style w:type="paragraph" w:styleId="4">
    <w:name w:val="heading 3"/>
    <w:basedOn w:val="1"/>
    <w:next w:val="1"/>
    <w:link w:val="16"/>
    <w:qFormat/>
    <w:uiPriority w:val="9"/>
    <w:pPr>
      <w:widowControl/>
      <w:jc w:val="left"/>
      <w:outlineLvl w:val="2"/>
    </w:pPr>
    <w:rPr>
      <w:rFonts w:ascii="宋体" w:hAnsi="宋体" w:eastAsia="宋体" w:cs="宋体"/>
      <w:b/>
      <w:bCs/>
      <w:kern w:val="0"/>
      <w:sz w:val="27"/>
      <w:szCs w:val="27"/>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pPr>
      <w:tabs>
        <w:tab w:val="right" w:leader="dot" w:pos="8296"/>
      </w:tabs>
      <w:jc w:val="center"/>
    </w:pPr>
    <w:rPr>
      <w:rFonts w:ascii="Times New Roman" w:hAnsi="Times New Roman" w:eastAsia="黑体" w:cs="Times New Roman"/>
      <w:sz w:val="36"/>
    </w:rPr>
  </w:style>
  <w:style w:type="paragraph" w:styleId="8">
    <w:name w:val="toc 2"/>
    <w:basedOn w:val="1"/>
    <w:next w:val="1"/>
    <w:unhideWhenUsed/>
    <w:qFormat/>
    <w:uiPriority w:val="39"/>
    <w:pPr>
      <w:ind w:left="420" w:leftChars="200"/>
    </w:pPr>
  </w:style>
  <w:style w:type="paragraph" w:styleId="9">
    <w:name w:val="Normal (Web)"/>
    <w:basedOn w:val="1"/>
    <w:unhideWhenUsed/>
    <w:qFormat/>
    <w:uiPriority w:val="99"/>
    <w:pPr>
      <w:widowControl/>
      <w:jc w:val="left"/>
    </w:pPr>
    <w:rPr>
      <w:rFonts w:ascii="宋体" w:hAnsi="宋体" w:eastAsia="宋体" w:cs="宋体"/>
      <w:kern w:val="0"/>
      <w:sz w:val="24"/>
      <w:szCs w:val="24"/>
    </w:rPr>
  </w:style>
  <w:style w:type="character" w:styleId="12">
    <w:name w:val="Strong"/>
    <w:basedOn w:val="11"/>
    <w:qFormat/>
    <w:uiPriority w:val="22"/>
    <w:rPr>
      <w:b/>
      <w:bCs/>
    </w:rPr>
  </w:style>
  <w:style w:type="character" w:styleId="13">
    <w:name w:val="Hyperlink"/>
    <w:basedOn w:val="11"/>
    <w:unhideWhenUsed/>
    <w:qFormat/>
    <w:uiPriority w:val="99"/>
    <w:rPr>
      <w:color w:val="0000FF" w:themeColor="hyperlink"/>
      <w:u w:val="single"/>
    </w:rPr>
  </w:style>
  <w:style w:type="character" w:customStyle="1" w:styleId="14">
    <w:name w:val="标题 1 Char"/>
    <w:basedOn w:val="11"/>
    <w:link w:val="2"/>
    <w:qFormat/>
    <w:uiPriority w:val="9"/>
    <w:rPr>
      <w:rFonts w:ascii="宋体" w:hAnsi="宋体" w:eastAsia="宋体" w:cs="宋体"/>
      <w:b/>
      <w:bCs/>
      <w:kern w:val="36"/>
      <w:sz w:val="48"/>
      <w:szCs w:val="48"/>
    </w:rPr>
  </w:style>
  <w:style w:type="character" w:customStyle="1" w:styleId="15">
    <w:name w:val="标题 2 Char"/>
    <w:basedOn w:val="11"/>
    <w:link w:val="3"/>
    <w:qFormat/>
    <w:uiPriority w:val="9"/>
    <w:rPr>
      <w:rFonts w:ascii="宋体" w:hAnsi="宋体" w:eastAsia="宋体" w:cs="宋体"/>
      <w:b/>
      <w:bCs/>
      <w:kern w:val="0"/>
      <w:sz w:val="36"/>
      <w:szCs w:val="36"/>
    </w:rPr>
  </w:style>
  <w:style w:type="character" w:customStyle="1" w:styleId="16">
    <w:name w:val="标题 3 Char"/>
    <w:basedOn w:val="11"/>
    <w:link w:val="4"/>
    <w:qFormat/>
    <w:uiPriority w:val="9"/>
    <w:rPr>
      <w:rFonts w:ascii="宋体" w:hAnsi="宋体" w:eastAsia="宋体" w:cs="宋体"/>
      <w:b/>
      <w:bCs/>
      <w:kern w:val="0"/>
      <w:sz w:val="27"/>
      <w:szCs w:val="27"/>
    </w:rPr>
  </w:style>
  <w:style w:type="character" w:customStyle="1" w:styleId="17">
    <w:name w:val="页眉 Char"/>
    <w:basedOn w:val="11"/>
    <w:link w:val="6"/>
    <w:qFormat/>
    <w:uiPriority w:val="99"/>
    <w:rPr>
      <w:sz w:val="18"/>
      <w:szCs w:val="18"/>
    </w:rPr>
  </w:style>
  <w:style w:type="character" w:customStyle="1" w:styleId="18">
    <w:name w:val="页脚 Char"/>
    <w:basedOn w:val="11"/>
    <w:link w:val="5"/>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2"/>
    <customShpInfo spid="_x0000_s1026"/>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10FF05-A4B8-4B9C-8CAD-C47D247BD67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4009</Words>
  <Characters>4230</Characters>
  <Lines>42</Lines>
  <Paragraphs>11</Paragraphs>
  <TotalTime>28</TotalTime>
  <ScaleCrop>false</ScaleCrop>
  <LinksUpToDate>false</LinksUpToDate>
  <CharactersWithSpaces>4328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2019-04-19T05:07:00Z</dcterms:created>
  <dc:creator>蒋仁玲</dc:creator>
  <cp:lastModifiedBy>WPS_1591345644</cp:lastModifiedBy>
  <cp:lastPrinted>2020-05-09T06:39:00Z</cp:lastPrinted>
  <dcterms:modified xsi:type="dcterms:W3CDTF">2022-04-29T01:24:09Z</dcterms:modified>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AAB51CB2C1354174B130B76261053F95</vt:lpwstr>
  </property>
</Properties>
</file>