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rPr>
          <w:rFonts w:ascii="Times New Roman" w:hAnsi="Times New Roman" w:eastAsia="黑体"/>
          <w:b/>
          <w:bCs/>
          <w:sz w:val="52"/>
          <w:szCs w:val="52"/>
        </w:rPr>
      </w:pPr>
    </w:p>
    <w:p>
      <w:pPr>
        <w:jc w:val="center"/>
        <w:rPr>
          <w:rFonts w:ascii="仿宋_GB2312" w:hAnsi="仿宋_GB2312" w:eastAsia="仿宋_GB2312" w:cs="仿宋_GB2312"/>
          <w:bCs/>
          <w:sz w:val="44"/>
          <w:szCs w:val="44"/>
        </w:rPr>
      </w:pPr>
      <w:r>
        <w:rPr>
          <w:rFonts w:hint="eastAsia" w:ascii="仿宋_GB2312" w:hAnsi="仿宋_GB2312" w:eastAsia="仿宋_GB2312" w:cs="仿宋_GB2312"/>
          <w:bCs/>
          <w:sz w:val="44"/>
          <w:szCs w:val="44"/>
        </w:rPr>
        <w:t>集贸市场以奖代补项目支出</w:t>
      </w:r>
    </w:p>
    <w:p>
      <w:pPr>
        <w:jc w:val="center"/>
        <w:rPr>
          <w:rFonts w:ascii="仿宋_GB2312" w:hAnsi="仿宋_GB2312" w:eastAsia="仿宋_GB2312" w:cs="仿宋_GB2312"/>
          <w:bCs/>
          <w:sz w:val="44"/>
          <w:szCs w:val="44"/>
        </w:rPr>
      </w:pPr>
      <w:r>
        <w:rPr>
          <w:rFonts w:hint="eastAsia" w:ascii="仿宋_GB2312" w:hAnsi="仿宋_GB2312" w:eastAsia="仿宋_GB2312" w:cs="仿宋_GB2312"/>
          <w:bCs/>
          <w:sz w:val="44"/>
          <w:szCs w:val="44"/>
        </w:rPr>
        <w:t>绩效自评报告</w:t>
      </w:r>
    </w:p>
    <w:p>
      <w:pPr>
        <w:jc w:val="center"/>
        <w:rPr>
          <w:rFonts w:ascii="仿宋_GB2312" w:hAnsi="仿宋_GB2312" w:eastAsia="仿宋_GB2312" w:cs="仿宋_GB2312"/>
          <w:bCs/>
          <w:sz w:val="44"/>
          <w:szCs w:val="44"/>
        </w:rPr>
      </w:pPr>
      <w:r>
        <w:rPr>
          <w:rFonts w:hint="eastAsia" w:ascii="仿宋_GB2312" w:hAnsi="仿宋_GB2312" w:eastAsia="仿宋_GB2312" w:cs="仿宋_GB2312"/>
          <w:bCs/>
          <w:sz w:val="44"/>
          <w:szCs w:val="44"/>
        </w:rPr>
        <w:t>（2021年度）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left"/>
        <w:rPr>
          <w:rFonts w:hint="default" w:ascii="仿宋_GB2312" w:hAnsi="仿宋_GB2312" w:eastAsia="仿宋_GB2312" w:cs="仿宋_GB2312"/>
          <w:b w:val="0"/>
          <w:bCs w:val="0"/>
          <w:sz w:val="28"/>
          <w:szCs w:val="28"/>
          <w:u w:val="single"/>
          <w:lang w:val="en-US" w:eastAsia="zh-CN"/>
        </w:rPr>
      </w:pPr>
      <w:r>
        <w:rPr>
          <w:rFonts w:hint="eastAsia" w:ascii="Times New Roman" w:hAnsi="Times New Roman"/>
          <w:b/>
          <w:bCs/>
          <w:sz w:val="44"/>
          <w:szCs w:val="44"/>
          <w:lang w:val="en-US" w:eastAsia="zh-CN"/>
        </w:rPr>
        <w:t xml:space="preserve"> </w:t>
      </w:r>
      <w:r>
        <w:rPr>
          <w:rFonts w:hint="eastAsia" w:ascii="Times New Roman" w:hAnsi="Times New Roman"/>
          <w:b w:val="0"/>
          <w:bCs w:val="0"/>
          <w:sz w:val="28"/>
          <w:szCs w:val="28"/>
          <w:lang w:val="en-US" w:eastAsia="zh-CN"/>
        </w:rPr>
        <w:t xml:space="preserve">       </w:t>
      </w:r>
      <w:r>
        <w:rPr>
          <w:rFonts w:hint="eastAsia" w:ascii="仿宋_GB2312" w:hAnsi="仿宋_GB2312" w:eastAsia="仿宋_GB2312" w:cs="仿宋_GB2312"/>
          <w:b w:val="0"/>
          <w:bCs w:val="0"/>
          <w:sz w:val="28"/>
          <w:szCs w:val="28"/>
          <w:lang w:val="en-US" w:eastAsia="zh-CN"/>
        </w:rPr>
        <w:t xml:space="preserve">部门名称：  </w:t>
      </w:r>
      <w:r>
        <w:rPr>
          <w:rFonts w:hint="eastAsia" w:ascii="仿宋_GB2312" w:hAnsi="仿宋_GB2312" w:eastAsia="仿宋_GB2312" w:cs="仿宋_GB2312"/>
          <w:b w:val="0"/>
          <w:bCs w:val="0"/>
          <w:sz w:val="28"/>
          <w:szCs w:val="28"/>
          <w:u w:val="single"/>
          <w:lang w:val="en-US" w:eastAsia="zh-CN"/>
        </w:rPr>
        <w:t xml:space="preserve">市场科                    </w:t>
      </w:r>
    </w:p>
    <w:p>
      <w:pPr>
        <w:adjustRightInd w:val="0"/>
        <w:snapToGrid w:val="0"/>
        <w:spacing w:line="360" w:lineRule="auto"/>
        <w:ind w:left="1260" w:leftChars="600"/>
        <w:rPr>
          <w:rFonts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项目单位： </w:t>
      </w:r>
      <w:r>
        <w:rPr>
          <w:rFonts w:hint="eastAsia" w:ascii="仿宋_GB2312" w:hAnsi="仿宋_GB2312" w:eastAsia="仿宋_GB2312" w:cs="仿宋_GB2312"/>
          <w:b w:val="0"/>
          <w:bCs w:val="0"/>
          <w:strike w:val="0"/>
          <w:dstrike w:val="0"/>
          <w:sz w:val="28"/>
          <w:szCs w:val="28"/>
          <w:u w:val="single"/>
        </w:rPr>
        <w:t>昆明市盘龙区市场监督管理局</w:t>
      </w:r>
    </w:p>
    <w:p>
      <w:pPr>
        <w:adjustRightInd w:val="0"/>
        <w:snapToGrid w:val="0"/>
        <w:spacing w:line="360" w:lineRule="auto"/>
        <w:ind w:left="1260" w:leftChars="600"/>
        <w:rPr>
          <w:rFonts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主管部门： </w:t>
      </w:r>
      <w:r>
        <w:rPr>
          <w:rFonts w:hint="eastAsia" w:ascii="仿宋_GB2312" w:hAnsi="仿宋_GB2312" w:eastAsia="仿宋_GB2312" w:cs="仿宋_GB2312"/>
          <w:b w:val="0"/>
          <w:bCs w:val="0"/>
          <w:sz w:val="28"/>
          <w:szCs w:val="28"/>
          <w:u w:val="single"/>
        </w:rPr>
        <w:t>昆明市盘龙区市场监督管理局</w:t>
      </w:r>
    </w:p>
    <w:p>
      <w:pPr>
        <w:adjustRightInd w:val="0"/>
        <w:snapToGrid w:val="0"/>
        <w:spacing w:line="360" w:lineRule="auto"/>
        <w:ind w:left="1260" w:leftChars="600"/>
        <w:rPr>
          <w:rFonts w:ascii="仿宋_GB2312" w:hAnsi="仿宋_GB2312" w:eastAsia="仿宋_GB2312" w:cs="仿宋_GB2312"/>
          <w:b w:val="0"/>
          <w:bCs w:val="0"/>
          <w:sz w:val="28"/>
          <w:szCs w:val="28"/>
        </w:rPr>
      </w:pPr>
      <w:r>
        <w:rPr>
          <w:rFonts w:ascii="仿宋_GB2312" w:hAnsi="仿宋_GB2312" w:eastAsia="仿宋_GB2312" w:cs="仿宋_GB2312"/>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CC/u9cA&#10;AAAJAQAADwAAAAAAAAABACAAAAAiAAAAZHJzL2Rvd25yZXYueG1sUEsBAhQAFAAAAAgAh07iQLf3&#10;movnAQAArAMAAA4AAAAAAAAAAQAgAAAAJgEAAGRycy9lMm9Eb2MueG1sUEsFBgAAAAAGAAYAWQEA&#10;AH8FA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项目名称： 集贸市场以奖代补项目支出</w:t>
      </w:r>
    </w:p>
    <w:p>
      <w:pPr>
        <w:adjustRightInd w:val="0"/>
        <w:snapToGrid w:val="0"/>
        <w:spacing w:line="360" w:lineRule="auto"/>
        <w:ind w:left="1260" w:leftChars="600"/>
        <w:rPr>
          <w:rFonts w:ascii="仿宋_GB2312" w:hAnsi="仿宋_GB2312" w:eastAsia="仿宋_GB2312" w:cs="仿宋_GB2312"/>
          <w:b w:val="0"/>
          <w:bCs w:val="0"/>
          <w:sz w:val="28"/>
          <w:szCs w:val="28"/>
        </w:rPr>
      </w:pPr>
      <w:r>
        <w:rPr>
          <w:rFonts w:ascii="仿宋_GB2312" w:hAnsi="仿宋_GB2312" w:eastAsia="仿宋_GB2312" w:cs="仿宋_GB2312"/>
          <w:b w:val="0"/>
          <w:bCs w:val="0"/>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0IL+71wAA&#10;AAkBAAAPAAAAAAAAAAEAIAAAACIAAABkcnMvZG93bnJldi54bWxQSwECFAAUAAAACACHTuJA/0fB&#10;IuYBAACsAwAADgAAAAAAAAABACAAAAAmAQAAZHJzL2Uyb0RvYy54bWxQSwUGAAAAAAYABgBZAQAA&#10;fgUAAAAA&#10;">
                <v:fill on="f" focussize="0,0"/>
                <v:stroke color="#000000" joinstyle="round"/>
                <v:imagedata o:title=""/>
                <o:lock v:ext="edit" aspectratio="f"/>
              </v:shape>
            </w:pict>
          </mc:Fallback>
        </mc:AlternateContent>
      </w:r>
      <w:r>
        <w:rPr>
          <w:rFonts w:hint="eastAsia" w:ascii="仿宋_GB2312" w:hAnsi="仿宋_GB2312" w:eastAsia="仿宋_GB2312" w:cs="仿宋_GB2312"/>
          <w:b w:val="0"/>
          <w:bCs w:val="0"/>
          <w:sz w:val="28"/>
          <w:szCs w:val="28"/>
        </w:rPr>
        <w:t>绩效自评日期： 2022年</w:t>
      </w:r>
      <w:r>
        <w:rPr>
          <w:rFonts w:hint="eastAsia" w:ascii="仿宋_GB2312" w:hAnsi="仿宋_GB2312" w:eastAsia="仿宋_GB2312" w:cs="仿宋_GB2312"/>
          <w:b w:val="0"/>
          <w:bCs w:val="0"/>
          <w:sz w:val="28"/>
          <w:szCs w:val="28"/>
          <w:lang w:val="en-US" w:eastAsia="zh-CN"/>
        </w:rPr>
        <w:t>5</w:t>
      </w:r>
      <w:r>
        <w:rPr>
          <w:rFonts w:hint="eastAsia" w:ascii="仿宋_GB2312" w:hAnsi="仿宋_GB2312" w:eastAsia="仿宋_GB2312" w:cs="仿宋_GB2312"/>
          <w:b w:val="0"/>
          <w:bCs w:val="0"/>
          <w:sz w:val="28"/>
          <w:szCs w:val="28"/>
        </w:rPr>
        <w:t>月</w:t>
      </w:r>
    </w:p>
    <w:p>
      <w:pPr>
        <w:spacing w:line="360" w:lineRule="auto"/>
        <w:ind w:left="1218" w:leftChars="580"/>
        <w:rPr>
          <w:rFonts w:ascii="仿宋_GB2312" w:hAnsi="仿宋_GB2312" w:eastAsia="仿宋_GB2312" w:cs="仿宋_GB2312"/>
          <w:b w:val="0"/>
          <w:bCs w:val="0"/>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1"/>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摘要</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一、 项目基本情况</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（一）项目立项背景</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 xml:space="preserve">（二）项目立项依据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（三）项目实施内容</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（四）</w:t>
      </w:r>
      <w:r>
        <w:rPr>
          <w:rFonts w:hint="eastAsia" w:ascii="仿宋_GB2312" w:hAnsi="仿宋_GB2312" w:eastAsia="仿宋_GB2312" w:cs="仿宋_GB2312"/>
          <w:szCs w:val="21"/>
        </w:rPr>
        <w:t>资金来源及使用情况</w:t>
      </w:r>
      <w:r>
        <w:rPr>
          <w:rFonts w:hint="eastAsia" w:ascii="仿宋_GB2312" w:hAnsi="仿宋_GB2312" w:eastAsia="仿宋_GB2312" w:cs="仿宋_GB2312"/>
          <w:szCs w:val="21"/>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（五）项目的组织及管理</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 xml:space="preserve">（六）项目绩效目标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二、绩效评价工作情况</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(一)评价的目的和依据</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(二)绩效评价工作方案制定过程</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(三)绩效评价原则、评价方法等</w:t>
      </w:r>
      <w:r>
        <w:rPr>
          <w:rFonts w:hint="eastAsia" w:ascii="仿宋_GB2312" w:hAnsi="仿宋_GB2312" w:eastAsia="仿宋_GB2312" w:cs="仿宋_GB2312"/>
          <w:szCs w:val="32"/>
        </w:rPr>
        <w:tab/>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(四)绩效评价实施过程</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(五)绩效评价的局限性</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 xml:space="preserve">三、评价结论及绩效分析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(一)评价结论</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(二)绩效分析</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 xml:space="preserve">四、项目主要经验及做法、存在的问题和建议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(一)主要经验及做法</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(二)存在的问题</w:t>
      </w: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 xml:space="preserve">(三)建议和改进措施 </w:t>
      </w:r>
    </w:p>
    <w:p>
      <w:pPr>
        <w:spacing w:line="440" w:lineRule="exact"/>
        <w:ind w:firstLine="420" w:firstLineChars="200"/>
        <w:jc w:val="left"/>
        <w:rPr>
          <w:rFonts w:ascii="仿宋_GB2312" w:hAnsi="仿宋_GB2312" w:eastAsia="仿宋_GB2312" w:cs="仿宋_GB2312"/>
          <w:szCs w:val="32"/>
        </w:rPr>
      </w:pPr>
      <w:r>
        <w:rPr>
          <w:rFonts w:hint="eastAsia" w:ascii="仿宋_GB2312" w:hAnsi="仿宋_GB2312" w:eastAsia="仿宋_GB2312" w:cs="仿宋_GB2312"/>
          <w:szCs w:val="32"/>
        </w:rPr>
        <w:tab/>
      </w:r>
      <w:r>
        <w:rPr>
          <w:rFonts w:hint="eastAsia" w:ascii="仿宋_GB2312" w:hAnsi="仿宋_GB2312" w:eastAsia="仿宋_GB2312" w:cs="仿宋_GB2312"/>
          <w:szCs w:val="32"/>
        </w:rPr>
        <w:t xml:space="preserve"> </w:t>
      </w:r>
    </w:p>
    <w:p>
      <w:pPr>
        <w:autoSpaceDE w:val="0"/>
        <w:autoSpaceDN w:val="0"/>
        <w:adjustRightInd w:val="0"/>
        <w:jc w:val="left"/>
        <w:rPr>
          <w:rFonts w:ascii="黑体" w:hAnsi="Arial" w:eastAsia="黑体" w:cs="黑体"/>
          <w:kern w:val="0"/>
          <w:sz w:val="32"/>
          <w:szCs w:val="32"/>
        </w:rPr>
      </w:pP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line="440" w:lineRule="exact"/>
        <w:jc w:val="center"/>
        <w:rPr>
          <w:rFonts w:ascii="方正小标宋_GBK" w:eastAsia="方正小标宋_GBK"/>
          <w:sz w:val="36"/>
          <w:szCs w:val="36"/>
        </w:rPr>
      </w:pPr>
    </w:p>
    <w:p>
      <w:pPr>
        <w:spacing w:afterLines="100" w:line="440" w:lineRule="exact"/>
        <w:ind w:firstLine="880" w:firstLineChars="200"/>
        <w:jc w:val="center"/>
        <w:rPr>
          <w:rFonts w:ascii="方正小标宋_GBK" w:hAnsi="黑体" w:eastAsia="方正小标宋_GBK"/>
          <w:szCs w:val="32"/>
        </w:rPr>
      </w:pPr>
      <w:r>
        <w:rPr>
          <w:rFonts w:hint="eastAsia" w:ascii="方正小标宋简体" w:hAnsi="方正小标宋简体" w:eastAsia="方正小标宋简体" w:cs="方正小标宋简体"/>
          <w:kern w:val="0"/>
          <w:sz w:val="44"/>
          <w:szCs w:val="44"/>
        </w:rPr>
        <w:t>集贸市场以奖代补经费项目支出绩效自评报告</w:t>
      </w: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摘要（1500字以内）</w:t>
      </w:r>
    </w:p>
    <w:p>
      <w:pPr>
        <w:topLinePunct/>
        <w:ind w:firstLine="640" w:firstLineChars="200"/>
        <w:rPr>
          <w:rFonts w:ascii="楷体" w:hAnsi="楷体" w:eastAsia="楷体"/>
          <w:szCs w:val="32"/>
        </w:rPr>
      </w:pPr>
      <w:r>
        <w:rPr>
          <w:rFonts w:hint="eastAsia" w:ascii="黑体" w:hAnsi="黑体" w:eastAsia="黑体"/>
          <w:sz w:val="32"/>
          <w:szCs w:val="32"/>
        </w:rPr>
        <w:t>一、项目概况</w:t>
      </w:r>
    </w:p>
    <w:p>
      <w:pPr>
        <w:ind w:firstLine="640" w:firstLineChars="200"/>
        <w:rPr>
          <w:rFonts w:ascii="仿宋_GB2312" w:hAnsi="黑体" w:eastAsia="仿宋_GB2312"/>
          <w:sz w:val="32"/>
          <w:szCs w:val="32"/>
        </w:rPr>
      </w:pPr>
      <w:r>
        <w:rPr>
          <w:rFonts w:hint="eastAsia" w:ascii="仿宋_GB2312" w:hAnsi="黑体" w:eastAsia="仿宋_GB2312"/>
          <w:sz w:val="32"/>
          <w:szCs w:val="32"/>
        </w:rPr>
        <w:t>1、立项背景及目的：为认真贯彻昆明市委、市政府的工作部署，落实《盘龙区集贸市场长效管理工作方案》精神，加快盘龙区集贸市场建设改造提升步伐，全面提升全区集贸市场硬件设施、管理水平、环境面貌和服务功能，打造便捷利民的集贸市场，按照《昆明市盘龙区集贸市场2018-2020年提升整治三年行动方案》、昆明市盘龙区人民政府盘政办通〔2019〕45号关于印发《2019年集贸市场提升整治工作实施方案》、盘政办通〔2019〕101号+关于印发《昆明市盘龙区集贸市场建设管理工作奖补办法（试行）》的通知要求，提升盘龙区集贸市场软、硬件水平，整治“脏乱差”现象，保障集贸市场健康运营。2021年在全区计划实施改造金康园等4个集贸市场，通过政府资金支持，街道及相关部门共同帮扶以及市场开办方自身努力，积极主动的参与配合，使项目顺利实施，通过改造提升补齐短板，打造标杆。</w:t>
      </w:r>
    </w:p>
    <w:p>
      <w:pPr>
        <w:ind w:firstLine="640" w:firstLineChars="200"/>
        <w:rPr>
          <w:rFonts w:ascii="仿宋_GB2312" w:hAnsi="黑体" w:eastAsia="仿宋_GB2312"/>
          <w:sz w:val="32"/>
          <w:szCs w:val="32"/>
        </w:rPr>
      </w:pPr>
      <w:r>
        <w:rPr>
          <w:rFonts w:hint="eastAsia" w:ascii="仿宋_GB2312" w:hAnsi="黑体" w:eastAsia="仿宋_GB2312"/>
          <w:sz w:val="32"/>
          <w:szCs w:val="32"/>
        </w:rPr>
        <w:t>2、预算收支情况: 2021年当年项目总预算投入</w:t>
      </w:r>
      <w:r>
        <w:rPr>
          <w:rFonts w:hint="eastAsia" w:ascii="仿宋_GB2312" w:eastAsia="仿宋_GB2312"/>
          <w:sz w:val="32"/>
          <w:szCs w:val="32"/>
        </w:rPr>
        <w:t>1000万元</w:t>
      </w:r>
      <w:r>
        <w:rPr>
          <w:rFonts w:hint="eastAsia" w:ascii="仿宋_GB2312" w:hAnsi="黑体" w:eastAsia="仿宋_GB2312"/>
          <w:sz w:val="32"/>
          <w:szCs w:val="32"/>
        </w:rPr>
        <w:t>，加上年结转</w:t>
      </w:r>
      <w:r>
        <w:rPr>
          <w:rFonts w:hint="eastAsia" w:ascii="仿宋_GB2312" w:eastAsia="仿宋_GB2312"/>
          <w:sz w:val="32"/>
          <w:szCs w:val="32"/>
        </w:rPr>
        <w:t>580万元</w:t>
      </w:r>
      <w:r>
        <w:rPr>
          <w:rFonts w:hint="eastAsia" w:ascii="仿宋_GB2312" w:hAnsi="黑体" w:eastAsia="仿宋_GB2312"/>
          <w:sz w:val="32"/>
          <w:szCs w:val="32"/>
        </w:rPr>
        <w:t>，2021年收入共计1580万元。</w:t>
      </w:r>
    </w:p>
    <w:p>
      <w:pPr>
        <w:ind w:firstLine="640" w:firstLineChars="200"/>
        <w:rPr>
          <w:rFonts w:hint="eastAsia" w:ascii="仿宋_GB2312" w:hAnsi="黑体" w:eastAsia="仿宋_GB2312"/>
          <w:sz w:val="32"/>
          <w:szCs w:val="32"/>
          <w:lang w:eastAsia="zh-CN"/>
        </w:rPr>
      </w:pPr>
      <w:r>
        <w:rPr>
          <w:rFonts w:hint="eastAsia" w:ascii="仿宋_GB2312" w:hAnsi="黑体" w:eastAsia="仿宋_GB2312"/>
          <w:sz w:val="32"/>
          <w:szCs w:val="32"/>
        </w:rPr>
        <w:t>2021年我局经费支出724.87万元，其中自用经费673.35万元，划拨经费51.52万元。划拨经费使用情况：拔街道办事处农贸市场升级改造“以奖代补”经费</w:t>
      </w:r>
      <w:r>
        <w:rPr>
          <w:rFonts w:hint="eastAsia" w:ascii="仿宋_GB2312" w:hAnsi="黑体" w:eastAsia="仿宋_GB2312"/>
          <w:sz w:val="32"/>
          <w:szCs w:val="32"/>
          <w:lang w:val="en-US" w:eastAsia="zh-CN"/>
        </w:rPr>
        <w:t>51.52</w:t>
      </w:r>
      <w:r>
        <w:rPr>
          <w:rFonts w:hint="eastAsia" w:ascii="仿宋_GB2312" w:hAnsi="黑体" w:eastAsia="仿宋_GB2312"/>
          <w:sz w:val="32"/>
          <w:szCs w:val="32"/>
        </w:rPr>
        <w:t>万元</w:t>
      </w:r>
      <w:r>
        <w:rPr>
          <w:rFonts w:hint="eastAsia" w:ascii="仿宋_GB2312" w:hAnsi="黑体" w:eastAsia="仿宋_GB2312"/>
          <w:sz w:val="32"/>
          <w:szCs w:val="32"/>
          <w:lang w:eastAsia="zh-CN"/>
        </w:rPr>
        <w:t>。</w:t>
      </w:r>
    </w:p>
    <w:p>
      <w:p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rPr>
        <w:t>我局自用673.35万元，其中：</w:t>
      </w:r>
      <w:r>
        <w:rPr>
          <w:rFonts w:hint="eastAsia" w:ascii="仿宋_GB2312" w:hAnsi="黑体" w:eastAsia="仿宋_GB2312"/>
          <w:sz w:val="32"/>
          <w:szCs w:val="32"/>
          <w:lang w:eastAsia="zh-CN"/>
        </w:rPr>
        <w:t>支付集贸市场提升改造经费</w:t>
      </w:r>
      <w:r>
        <w:rPr>
          <w:rFonts w:hint="eastAsia" w:ascii="仿宋_GB2312" w:hAnsi="黑体" w:eastAsia="仿宋_GB2312"/>
          <w:sz w:val="32"/>
          <w:szCs w:val="32"/>
          <w:lang w:val="en-US" w:eastAsia="zh-CN"/>
        </w:rPr>
        <w:t>392.38万元，包括集贸市场保安保洁服务费、测温设备、洗手池建设改造、宣传展板制作等；支付集贸市场智慧化升级及星级评定奖补资金280.97万元。</w:t>
      </w:r>
    </w:p>
    <w:p>
      <w:pPr>
        <w:ind w:firstLine="640" w:firstLineChars="200"/>
        <w:rPr>
          <w:rFonts w:ascii="黑体" w:hAnsi="黑体" w:eastAsia="黑体"/>
          <w:sz w:val="32"/>
          <w:szCs w:val="32"/>
        </w:rPr>
      </w:pPr>
      <w:r>
        <w:rPr>
          <w:rFonts w:hint="eastAsia" w:ascii="黑体" w:hAnsi="黑体" w:eastAsia="黑体"/>
          <w:sz w:val="32"/>
          <w:szCs w:val="32"/>
        </w:rPr>
        <w:t>二、评价结论</w:t>
      </w:r>
    </w:p>
    <w:p>
      <w:pPr>
        <w:ind w:firstLine="640" w:firstLineChars="200"/>
        <w:rPr>
          <w:rFonts w:ascii="仿宋_GB2312" w:hAnsi="Arial" w:eastAsia="仿宋_GB2312" w:cs="仿宋_GB2312"/>
          <w:kern w:val="0"/>
          <w:sz w:val="32"/>
          <w:szCs w:val="32"/>
        </w:rPr>
      </w:pPr>
      <w:r>
        <w:rPr>
          <w:rFonts w:hint="eastAsia" w:ascii="仿宋_GB2312" w:hAnsi="Arial" w:eastAsia="仿宋_GB2312" w:cs="仿宋_GB2312"/>
          <w:kern w:val="0"/>
          <w:sz w:val="32"/>
          <w:szCs w:val="32"/>
        </w:rPr>
        <w:t>项目绩效评价综合得分为94分，评价等级为优。完成了</w:t>
      </w:r>
      <w:r>
        <w:rPr>
          <w:rFonts w:hint="eastAsia" w:ascii="仿宋_GB2312" w:hAnsi="仿宋" w:eastAsia="仿宋_GB2312" w:cs="仿宋"/>
          <w:sz w:val="32"/>
          <w:szCs w:val="32"/>
        </w:rPr>
        <w:t>3个标准化智慧化农贸市场提升改造。</w:t>
      </w:r>
      <w:r>
        <w:rPr>
          <w:rFonts w:hint="eastAsia" w:ascii="仿宋_GB2312" w:hAnsi="Arial" w:eastAsia="仿宋_GB2312" w:cs="仿宋_GB2312"/>
          <w:kern w:val="0"/>
          <w:sz w:val="32"/>
          <w:szCs w:val="32"/>
        </w:rPr>
        <w:t>通过集贸市场“四个一批”提升整治工作，通过政府财政资金投入，使</w:t>
      </w:r>
      <w:r>
        <w:rPr>
          <w:rFonts w:ascii="仿宋_GB2312" w:hAnsi="Arial" w:eastAsia="仿宋_GB2312" w:cs="仿宋_GB2312"/>
          <w:kern w:val="0"/>
          <w:sz w:val="32"/>
          <w:szCs w:val="32"/>
        </w:rPr>
        <w:t>20</w:t>
      </w:r>
      <w:r>
        <w:rPr>
          <w:rFonts w:hint="eastAsia" w:ascii="仿宋_GB2312" w:hAnsi="Arial" w:eastAsia="仿宋_GB2312" w:cs="仿宋_GB2312"/>
          <w:kern w:val="0"/>
          <w:sz w:val="32"/>
          <w:szCs w:val="32"/>
        </w:rPr>
        <w:t>21年改造的市场，软、硬件水平得到全面提升。改善了人居环境，使改造后的市场成为秩序规范、环境优美、食品安全、群众满意的购物场所。提升了群众的幸福感和满意度。</w:t>
      </w:r>
    </w:p>
    <w:p>
      <w:pPr>
        <w:ind w:firstLine="640" w:firstLineChars="200"/>
        <w:rPr>
          <w:rFonts w:ascii="黑体" w:hAnsi="黑体" w:eastAsia="黑体"/>
          <w:sz w:val="32"/>
          <w:szCs w:val="32"/>
        </w:rPr>
      </w:pPr>
      <w:r>
        <w:rPr>
          <w:rFonts w:hint="eastAsia" w:ascii="黑体" w:hAnsi="黑体" w:eastAsia="黑体"/>
          <w:sz w:val="32"/>
          <w:szCs w:val="32"/>
        </w:rPr>
        <w:t>三、经验、问题和建议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1.主要经验及做法：</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改造升级一批、取缔关闭一批、新建扩建一批、收购回购一批”的总体思路和“谁主办、谁负责”的原则，采取“属地管理”的方式，按照“领导小组决策，属地街道组织实施,各职能局配合”的程序，按照统一规划、合理布局、先易后难、分步实施的原则，综合开展集贸市场提升整治工作，促进盘龙区集贸市场硬件提档、管理升级，成为布局合理、设施先进、功能完善、管理规范、环境优美、购物方便、食品安全、群众满意的购物场所，力争达到《昆明市标准化菜市场建设改造规范（2018年修订）》标准。</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农贸市场关系着千家万户的“菜篮子”，也是体现城市文明形象的一个重要窗口。围绕“整洁、有序、规范、标准”的目标，盘龙区市场监督管理局结合“管集市、净餐馆”专项行动的推进，加快传统农贸市场改造提升工程建设，在打造“标准化农贸市场”基础上，开展了创建“智慧化农贸市场”活动。截至目前，已初步实现建成区8个街道22个农贸市场标准化升级改造</w:t>
      </w:r>
      <w:r>
        <w:rPr>
          <w:rFonts w:hint="eastAsia" w:ascii="仿宋_GB2312" w:hAnsi="仿宋_GB2312" w:eastAsia="仿宋_GB2312" w:cs="仿宋_GB2312"/>
          <w:color w:val="000000"/>
          <w:sz w:val="32"/>
          <w:szCs w:val="32"/>
          <w:lang w:eastAsia="zh-CN"/>
        </w:rPr>
        <w:t>。</w:t>
      </w: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对照“标准化农贸市场”建设活动标准，盘龙局借鉴先进地区农贸市场管理经验，引入农贸市场智慧化管理平台，为商户配置了智能溯源电子秤和商户前端展示屏，可以实时显示公示商品、价格、金额，展示商户营业执照、健康证、索证索票、收款码等，商户相关信息和经营信息一目了然，杜绝了短斤少两、乱贴乱挂等现象。每笔交易还可以打印溯源小票，交易信息自动上传市场管理后台，便于对交易数据进行查询、统计、分析，为市场管理方提供决策依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通过开展“智慧化农贸市场”活动，已建成智慧化农贸市场5家，2021年9月，</w:t>
      </w:r>
      <w:r>
        <w:rPr>
          <w:rFonts w:hint="eastAsia" w:ascii="仿宋_GB2312" w:hAnsi="仿宋_GB2312" w:eastAsia="仿宋_GB2312" w:cs="仿宋_GB2312"/>
          <w:color w:val="000000"/>
          <w:sz w:val="32"/>
          <w:szCs w:val="32"/>
          <w:lang w:eastAsia="zh-CN"/>
        </w:rPr>
        <w:t>在</w:t>
      </w:r>
      <w:r>
        <w:rPr>
          <w:rFonts w:hint="eastAsia" w:ascii="仿宋_GB2312" w:hAnsi="仿宋_GB2312" w:eastAsia="仿宋_GB2312" w:cs="仿宋_GB2312"/>
          <w:color w:val="000000"/>
          <w:sz w:val="32"/>
          <w:szCs w:val="32"/>
          <w:lang w:val="en-US" w:eastAsia="zh-CN"/>
        </w:rPr>
        <w:t>12个</w:t>
      </w:r>
      <w:r>
        <w:rPr>
          <w:rFonts w:hint="eastAsia" w:ascii="仿宋_GB2312" w:hAnsi="仿宋_GB2312" w:eastAsia="仿宋_GB2312" w:cs="仿宋_GB2312"/>
          <w:color w:val="000000"/>
          <w:sz w:val="32"/>
          <w:szCs w:val="32"/>
        </w:rPr>
        <w:t>云南“管集市”专项行动农贸市场提升改造后的“样板”农贸市场</w:t>
      </w:r>
      <w:r>
        <w:rPr>
          <w:rFonts w:hint="eastAsia" w:ascii="仿宋_GB2312" w:hAnsi="仿宋_GB2312" w:eastAsia="仿宋_GB2312" w:cs="仿宋_GB2312"/>
          <w:color w:val="000000"/>
          <w:sz w:val="32"/>
          <w:szCs w:val="32"/>
          <w:lang w:eastAsia="zh-CN"/>
        </w:rPr>
        <w:t>中</w:t>
      </w:r>
      <w:r>
        <w:rPr>
          <w:rFonts w:hint="eastAsia" w:ascii="仿宋_GB2312" w:hAnsi="仿宋_GB2312" w:eastAsia="仿宋_GB2312" w:cs="仿宋_GB2312"/>
          <w:color w:val="000000"/>
          <w:sz w:val="32"/>
          <w:szCs w:val="32"/>
        </w:rPr>
        <w:t>，盘龙区</w:t>
      </w:r>
      <w:r>
        <w:rPr>
          <w:rFonts w:hint="eastAsia" w:ascii="仿宋_GB2312" w:hAnsi="仿宋_GB2312" w:eastAsia="仿宋_GB2312" w:cs="仿宋_GB2312"/>
          <w:color w:val="000000"/>
          <w:sz w:val="32"/>
          <w:szCs w:val="32"/>
          <w:lang w:val="en-US" w:eastAsia="zh-CN"/>
        </w:rPr>
        <w:t>1个</w:t>
      </w:r>
      <w:r>
        <w:rPr>
          <w:rFonts w:hint="eastAsia" w:ascii="仿宋_GB2312" w:hAnsi="仿宋_GB2312" w:eastAsia="仿宋_GB2312" w:cs="仿宋_GB2312"/>
          <w:color w:val="000000"/>
          <w:sz w:val="32"/>
          <w:szCs w:val="32"/>
        </w:rPr>
        <w:t>标准化智慧农贸市场位居第二，在全省具有较强示范带动作用。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2、存在的问题：</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资金的使用效率有待进一步提高</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3.改进措施及建议：</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加强集贸市场建设管理工作奖补经费使用预算会议研究进度及使用规划，进一步提高资金的使用效率。</w:t>
      </w:r>
    </w:p>
    <w:p>
      <w:pPr>
        <w:topLinePunct/>
        <w:spacing w:line="440" w:lineRule="exact"/>
        <w:rPr>
          <w:rFonts w:hint="eastAsia" w:ascii="仿宋_GB2312" w:hAnsi="仿宋_GB2312" w:eastAsia="仿宋_GB2312" w:cs="仿宋_GB2312"/>
          <w:sz w:val="32"/>
          <w:szCs w:val="32"/>
        </w:rPr>
      </w:pPr>
    </w:p>
    <w:p>
      <w:pPr>
        <w:topLinePunct/>
        <w:spacing w:line="440" w:lineRule="exact"/>
        <w:rPr>
          <w:rFonts w:ascii="楷体" w:hAnsi="楷体" w:eastAsia="楷体"/>
          <w:sz w:val="30"/>
          <w:szCs w:val="30"/>
        </w:rPr>
      </w:pPr>
    </w:p>
    <w:p>
      <w:pPr>
        <w:spacing w:line="440" w:lineRule="exact"/>
        <w:ind w:firstLine="600" w:firstLineChars="200"/>
        <w:jc w:val="left"/>
        <w:rPr>
          <w:rFonts w:ascii="楷体" w:hAnsi="楷体" w:eastAsia="楷体"/>
          <w:sz w:val="30"/>
          <w:szCs w:val="30"/>
        </w:rPr>
      </w:pPr>
      <w:r>
        <w:rPr>
          <w:rFonts w:hint="eastAsia" w:ascii="楷体" w:hAnsi="楷体" w:eastAsia="楷体"/>
          <w:sz w:val="30"/>
          <w:szCs w:val="30"/>
        </w:rPr>
        <w:t>正文</w:t>
      </w:r>
    </w:p>
    <w:p>
      <w:pPr>
        <w:spacing w:line="440" w:lineRule="exact"/>
        <w:ind w:firstLine="420" w:firstLineChars="200"/>
        <w:jc w:val="center"/>
        <w:rPr>
          <w:rFonts w:ascii="黑体" w:hAnsi="黑体" w:eastAsia="黑体"/>
          <w:szCs w:val="32"/>
        </w:rPr>
      </w:pPr>
    </w:p>
    <w:p>
      <w:pPr>
        <w:autoSpaceDE w:val="0"/>
        <w:autoSpaceDN w:val="0"/>
        <w:spacing w:line="660" w:lineRule="exact"/>
        <w:jc w:val="center"/>
        <w:rPr>
          <w:rFonts w:ascii="方正小标宋简体" w:hAnsi="Arial" w:eastAsia="方正小标宋简体" w:cs="仿宋_GB2312"/>
          <w:kern w:val="0"/>
          <w:sz w:val="44"/>
          <w:szCs w:val="44"/>
        </w:rPr>
      </w:pPr>
      <w:r>
        <w:rPr>
          <w:rFonts w:hint="eastAsia" w:ascii="方正小标宋简体" w:hAnsi="Arial" w:eastAsia="方正小标宋简体" w:cs="仿宋_GB2312"/>
          <w:kern w:val="0"/>
          <w:sz w:val="44"/>
          <w:szCs w:val="44"/>
        </w:rPr>
        <w:t>昆明市盘龙区市场监督管理局</w:t>
      </w:r>
    </w:p>
    <w:p>
      <w:pPr>
        <w:autoSpaceDE w:val="0"/>
        <w:autoSpaceDN w:val="0"/>
        <w:spacing w:line="660" w:lineRule="exact"/>
        <w:jc w:val="center"/>
        <w:rPr>
          <w:rFonts w:ascii="方正小标宋简体" w:hAnsi="Arial" w:eastAsia="方正小标宋简体" w:cs="仿宋_GB2312"/>
          <w:kern w:val="0"/>
          <w:sz w:val="44"/>
          <w:szCs w:val="44"/>
        </w:rPr>
      </w:pPr>
      <w:r>
        <w:rPr>
          <w:rFonts w:hint="eastAsia" w:ascii="方正小标宋简体" w:hAnsi="Arial" w:eastAsia="方正小标宋简体" w:cs="仿宋_GB2312"/>
          <w:kern w:val="0"/>
          <w:sz w:val="44"/>
          <w:szCs w:val="44"/>
        </w:rPr>
        <w:t>集贸市场以奖代补经费项目支出</w:t>
      </w:r>
    </w:p>
    <w:p>
      <w:pPr>
        <w:autoSpaceDE w:val="0"/>
        <w:autoSpaceDN w:val="0"/>
        <w:spacing w:afterLines="100" w:line="660" w:lineRule="exact"/>
        <w:jc w:val="center"/>
        <w:rPr>
          <w:rFonts w:ascii="方正小标宋简体" w:hAnsi="Arial" w:eastAsia="方正小标宋简体" w:cs="仿宋_GB2312"/>
          <w:kern w:val="0"/>
          <w:sz w:val="44"/>
          <w:szCs w:val="44"/>
        </w:rPr>
      </w:pPr>
      <w:r>
        <w:rPr>
          <w:rFonts w:hint="eastAsia" w:ascii="方正小标宋简体" w:hAnsi="Arial" w:eastAsia="方正小标宋简体" w:cs="仿宋_GB2312"/>
          <w:kern w:val="0"/>
          <w:sz w:val="44"/>
          <w:szCs w:val="44"/>
        </w:rPr>
        <w:t>绩效自评报告</w:t>
      </w:r>
    </w:p>
    <w:p>
      <w:pPr>
        <w:topLinePunct/>
        <w:ind w:firstLine="640" w:firstLineChars="200"/>
        <w:rPr>
          <w:rFonts w:ascii="楷体" w:hAnsi="楷体" w:eastAsia="楷体"/>
          <w:sz w:val="32"/>
          <w:szCs w:val="32"/>
        </w:rPr>
      </w:pPr>
      <w:r>
        <w:rPr>
          <w:rFonts w:hint="eastAsia" w:ascii="黑体" w:eastAsia="黑体"/>
          <w:sz w:val="32"/>
          <w:szCs w:val="32"/>
        </w:rPr>
        <w:t>一、项目基本情况</w:t>
      </w:r>
    </w:p>
    <w:p>
      <w:pPr>
        <w:topLinePunct/>
        <w:ind w:firstLine="640" w:firstLineChars="200"/>
        <w:rPr>
          <w:rFonts w:ascii="楷体" w:hAnsi="楷体" w:eastAsia="楷体" w:cs="楷体"/>
          <w:sz w:val="32"/>
          <w:szCs w:val="32"/>
        </w:rPr>
      </w:pPr>
      <w:r>
        <w:rPr>
          <w:rFonts w:hint="eastAsia" w:ascii="楷体" w:hAnsi="楷体" w:eastAsia="楷体" w:cs="楷体"/>
          <w:sz w:val="32"/>
          <w:szCs w:val="32"/>
        </w:rPr>
        <w:t>（一）项目立项背景</w:t>
      </w:r>
    </w:p>
    <w:p>
      <w:pPr>
        <w:topLinePunct/>
        <w:ind w:firstLine="640" w:firstLineChars="200"/>
        <w:rPr>
          <w:rFonts w:ascii="仿宋_GB2312" w:hAnsi="黑体" w:eastAsia="仿宋_GB2312"/>
          <w:sz w:val="32"/>
          <w:szCs w:val="32"/>
        </w:rPr>
      </w:pPr>
      <w:r>
        <w:rPr>
          <w:rFonts w:hint="eastAsia" w:ascii="仿宋_GB2312" w:hAnsi="黑体" w:eastAsia="仿宋_GB2312"/>
          <w:sz w:val="32"/>
          <w:szCs w:val="32"/>
        </w:rPr>
        <w:t>为认真贯彻昆明市委、市政府的工作部署，落实《盘龙区集贸市场长效管理工作方案》精神，加快盘龙区集贸市场建设改造提升步伐，全面提升全区集贸市场硬件设施、管理水平、环境面貌和服务功能，打造便捷利民的集贸市场。</w:t>
      </w:r>
    </w:p>
    <w:p>
      <w:pPr>
        <w:topLinePunct/>
        <w:ind w:firstLine="640" w:firstLineChars="200"/>
        <w:rPr>
          <w:rFonts w:ascii="楷体" w:hAnsi="楷体" w:eastAsia="楷体" w:cs="楷体"/>
          <w:sz w:val="32"/>
          <w:szCs w:val="32"/>
        </w:rPr>
      </w:pPr>
      <w:r>
        <w:rPr>
          <w:rFonts w:hint="eastAsia" w:ascii="楷体" w:hAnsi="楷体" w:eastAsia="楷体" w:cs="楷体"/>
          <w:sz w:val="32"/>
          <w:szCs w:val="32"/>
        </w:rPr>
        <w:t>（二）项目立项依据</w:t>
      </w:r>
    </w:p>
    <w:p>
      <w:pPr>
        <w:topLinePunct/>
        <w:ind w:firstLine="640" w:firstLineChars="200"/>
        <w:rPr>
          <w:rFonts w:ascii="仿宋_GB2312" w:hAnsi="黑体" w:eastAsia="仿宋_GB2312"/>
          <w:sz w:val="32"/>
          <w:szCs w:val="32"/>
        </w:rPr>
      </w:pPr>
      <w:r>
        <w:rPr>
          <w:rFonts w:hint="eastAsia" w:ascii="仿宋_GB2312" w:hAnsi="黑体" w:eastAsia="仿宋_GB2312"/>
          <w:sz w:val="32"/>
          <w:szCs w:val="32"/>
        </w:rPr>
        <w:t>按照《昆明市盘龙区集贸市场2018-2020年提升整治三年行动方案》、昆明市盘龙区人民政府盘政办通〔2019〕45号关于印发《2019年集贸市场提升整治工作实施方案》、盘政办通〔2019〕101号+关于印发《昆明市盘龙区集贸市场建设管理工作奖补办法（试行）》的通知。</w:t>
      </w:r>
    </w:p>
    <w:p>
      <w:pPr>
        <w:topLinePunct/>
        <w:ind w:firstLine="640" w:firstLineChars="200"/>
        <w:rPr>
          <w:rFonts w:ascii="楷体" w:hAnsi="楷体" w:eastAsia="楷体" w:cs="楷体"/>
          <w:sz w:val="32"/>
          <w:szCs w:val="32"/>
        </w:rPr>
      </w:pPr>
      <w:r>
        <w:rPr>
          <w:rFonts w:hint="eastAsia" w:ascii="楷体" w:hAnsi="楷体" w:eastAsia="楷体" w:cs="楷体"/>
          <w:sz w:val="32"/>
          <w:szCs w:val="32"/>
        </w:rPr>
        <w:t>(三)项目实施内容</w:t>
      </w:r>
      <w:r>
        <w:rPr>
          <w:rFonts w:hint="eastAsia" w:ascii="楷体" w:hAnsi="楷体" w:eastAsia="楷体" w:cs="楷体"/>
          <w:sz w:val="32"/>
          <w:szCs w:val="32"/>
        </w:rPr>
        <w:tab/>
      </w:r>
    </w:p>
    <w:p>
      <w:pPr>
        <w:topLinePunct/>
        <w:ind w:firstLine="640" w:firstLineChars="200"/>
        <w:rPr>
          <w:rFonts w:ascii="仿宋_GB2312" w:hAnsi="黑体" w:eastAsia="仿宋_GB2312"/>
          <w:sz w:val="32"/>
          <w:szCs w:val="32"/>
        </w:rPr>
      </w:pPr>
      <w:r>
        <w:rPr>
          <w:rFonts w:hint="eastAsia" w:ascii="仿宋_GB2312" w:hAnsi="黑体" w:eastAsia="仿宋_GB2312"/>
          <w:sz w:val="32"/>
          <w:szCs w:val="32"/>
        </w:rPr>
        <w:t>提升盘龙区集贸市场软、硬件水平，整治“脏乱差”现象，保障集贸市场健康运营。确立了2021年在全区计划实施改造提升</w:t>
      </w:r>
      <w:r>
        <w:rPr>
          <w:rFonts w:hint="eastAsia" w:ascii="仿宋_GB2312" w:hAnsi="仿宋" w:eastAsia="仿宋_GB2312" w:cs="仿宋"/>
          <w:sz w:val="32"/>
          <w:szCs w:val="32"/>
        </w:rPr>
        <w:t>4个</w:t>
      </w:r>
      <w:r>
        <w:rPr>
          <w:rFonts w:hint="eastAsia" w:ascii="仿宋_GB2312" w:hAnsi="黑体" w:eastAsia="仿宋_GB2312"/>
          <w:sz w:val="32"/>
          <w:szCs w:val="32"/>
        </w:rPr>
        <w:t>集贸市场</w:t>
      </w:r>
      <w:r>
        <w:rPr>
          <w:rFonts w:hint="eastAsia" w:ascii="仿宋_GB2312" w:hAnsi="Arial" w:eastAsia="仿宋_GB2312" w:cs="仿宋_GB2312"/>
          <w:kern w:val="0"/>
          <w:sz w:val="32"/>
          <w:szCs w:val="32"/>
        </w:rPr>
        <w:t>；</w:t>
      </w:r>
      <w:r>
        <w:rPr>
          <w:rFonts w:hint="eastAsia" w:ascii="仿宋_GB2312" w:hAnsi="仿宋" w:eastAsia="仿宋_GB2312" w:cs="仿宋"/>
          <w:sz w:val="32"/>
          <w:szCs w:val="32"/>
        </w:rPr>
        <w:t>完成了</w:t>
      </w:r>
      <w:r>
        <w:rPr>
          <w:rFonts w:hint="eastAsia" w:ascii="仿宋_GB2312" w:hAnsi="仿宋" w:eastAsia="仿宋_GB2312" w:cs="仿宋"/>
          <w:sz w:val="32"/>
          <w:szCs w:val="32"/>
          <w:lang w:val="en-US" w:eastAsia="zh-CN"/>
        </w:rPr>
        <w:t>2个</w:t>
      </w:r>
      <w:r>
        <w:rPr>
          <w:rFonts w:hint="eastAsia" w:ascii="仿宋_GB2312" w:hAnsi="仿宋" w:eastAsia="仿宋_GB2312" w:cs="仿宋"/>
          <w:sz w:val="32"/>
          <w:szCs w:val="32"/>
        </w:rPr>
        <w:t>农贸市场鲜肉摊位升级改造。</w:t>
      </w:r>
      <w:r>
        <w:rPr>
          <w:rFonts w:hint="eastAsia" w:ascii="仿宋_GB2312" w:hAnsi="黑体" w:eastAsia="仿宋_GB2312"/>
          <w:sz w:val="32"/>
          <w:szCs w:val="32"/>
        </w:rPr>
        <w:t>通过政府资金支持，街道及相关部门共同帮扶以及市场开办方自身努力，积极主动的参与配合，使项目顺利实施，通过改造提升补齐短板，打造标杆。</w:t>
      </w:r>
    </w:p>
    <w:p>
      <w:pPr>
        <w:topLinePunct/>
        <w:ind w:firstLine="640" w:firstLineChars="200"/>
        <w:rPr>
          <w:rFonts w:ascii="楷体" w:hAnsi="楷体" w:eastAsia="楷体" w:cs="楷体"/>
          <w:sz w:val="32"/>
          <w:szCs w:val="32"/>
        </w:rPr>
      </w:pPr>
      <w:r>
        <w:rPr>
          <w:rFonts w:hint="eastAsia" w:ascii="楷体" w:hAnsi="楷体" w:eastAsia="楷体" w:cs="楷体"/>
          <w:sz w:val="32"/>
          <w:szCs w:val="32"/>
        </w:rPr>
        <w:t>（四）资金来源及使用情况</w:t>
      </w:r>
    </w:p>
    <w:p>
      <w:pPr>
        <w:ind w:firstLine="640" w:firstLineChars="200"/>
        <w:rPr>
          <w:rFonts w:ascii="仿宋_GB2312" w:hAnsi="黑体" w:eastAsia="仿宋_GB2312"/>
          <w:sz w:val="32"/>
          <w:szCs w:val="32"/>
        </w:rPr>
      </w:pPr>
      <w:r>
        <w:rPr>
          <w:rFonts w:hint="eastAsia" w:ascii="仿宋_GB2312" w:hAnsi="黑体" w:eastAsia="仿宋_GB2312"/>
          <w:sz w:val="32"/>
          <w:szCs w:val="32"/>
        </w:rPr>
        <w:t>预算收支情况: 2021年当年项目总预算投入</w:t>
      </w:r>
      <w:r>
        <w:rPr>
          <w:rFonts w:hint="eastAsia" w:ascii="仿宋_GB2312" w:eastAsia="仿宋_GB2312"/>
          <w:sz w:val="32"/>
          <w:szCs w:val="32"/>
        </w:rPr>
        <w:t>1000万元</w:t>
      </w:r>
      <w:r>
        <w:rPr>
          <w:rFonts w:hint="eastAsia" w:ascii="仿宋_GB2312" w:hAnsi="黑体" w:eastAsia="仿宋_GB2312"/>
          <w:sz w:val="32"/>
          <w:szCs w:val="32"/>
        </w:rPr>
        <w:t>，加上年结转</w:t>
      </w:r>
      <w:r>
        <w:rPr>
          <w:rFonts w:hint="eastAsia" w:ascii="仿宋_GB2312" w:eastAsia="仿宋_GB2312"/>
          <w:sz w:val="32"/>
          <w:szCs w:val="32"/>
        </w:rPr>
        <w:t>580万元</w:t>
      </w:r>
      <w:r>
        <w:rPr>
          <w:rFonts w:hint="eastAsia" w:ascii="仿宋_GB2312" w:hAnsi="黑体" w:eastAsia="仿宋_GB2312"/>
          <w:sz w:val="32"/>
          <w:szCs w:val="32"/>
        </w:rPr>
        <w:t>，2021年收入共计1580万元。</w:t>
      </w:r>
    </w:p>
    <w:p>
      <w:pPr>
        <w:ind w:firstLine="640" w:firstLineChars="200"/>
        <w:rPr>
          <w:rFonts w:ascii="仿宋_GB2312" w:hAnsi="黑体" w:eastAsia="仿宋_GB2312"/>
          <w:sz w:val="32"/>
          <w:szCs w:val="32"/>
        </w:rPr>
      </w:pPr>
      <w:r>
        <w:rPr>
          <w:rFonts w:hint="eastAsia" w:ascii="仿宋_GB2312" w:hAnsi="黑体" w:eastAsia="仿宋_GB2312"/>
          <w:sz w:val="32"/>
          <w:szCs w:val="32"/>
        </w:rPr>
        <w:t>2021年我局经费支出724.87万元，其中自用经费673.35万元，划拨经费51.52万元。</w:t>
      </w:r>
    </w:p>
    <w:p>
      <w:pPr>
        <w:ind w:firstLine="640" w:firstLineChars="200"/>
        <w:rPr>
          <w:rFonts w:hint="eastAsia" w:ascii="仿宋_GB2312" w:hAnsi="黑体" w:eastAsia="仿宋_GB2312"/>
          <w:sz w:val="32"/>
          <w:szCs w:val="32"/>
          <w:lang w:eastAsia="zh-CN"/>
        </w:rPr>
      </w:pPr>
      <w:r>
        <w:rPr>
          <w:rFonts w:hint="eastAsia" w:ascii="仿宋_GB2312" w:hAnsi="黑体" w:eastAsia="仿宋_GB2312"/>
          <w:sz w:val="32"/>
          <w:szCs w:val="32"/>
        </w:rPr>
        <w:t>划拨经费使用情况：拔街道办事处农贸市场升级改造“以奖代补”经费</w:t>
      </w:r>
      <w:r>
        <w:rPr>
          <w:rFonts w:hint="eastAsia" w:ascii="仿宋_GB2312" w:hAnsi="黑体" w:eastAsia="仿宋_GB2312"/>
          <w:sz w:val="32"/>
          <w:szCs w:val="32"/>
          <w:lang w:val="en-US" w:eastAsia="zh-CN"/>
        </w:rPr>
        <w:t>51.52</w:t>
      </w:r>
      <w:r>
        <w:rPr>
          <w:rFonts w:hint="eastAsia" w:ascii="仿宋_GB2312" w:hAnsi="黑体" w:eastAsia="仿宋_GB2312"/>
          <w:sz w:val="32"/>
          <w:szCs w:val="32"/>
        </w:rPr>
        <w:t>万元</w:t>
      </w:r>
      <w:r>
        <w:rPr>
          <w:rFonts w:hint="eastAsia" w:ascii="仿宋_GB2312" w:hAnsi="黑体" w:eastAsia="仿宋_GB2312"/>
          <w:sz w:val="32"/>
          <w:szCs w:val="32"/>
          <w:lang w:eastAsia="zh-CN"/>
        </w:rPr>
        <w:t>。</w:t>
      </w:r>
    </w:p>
    <w:p>
      <w:pPr>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rPr>
        <w:t>我局自用673.35万元，其中：</w:t>
      </w:r>
      <w:r>
        <w:rPr>
          <w:rFonts w:hint="eastAsia" w:ascii="仿宋_GB2312" w:hAnsi="黑体" w:eastAsia="仿宋_GB2312"/>
          <w:sz w:val="32"/>
          <w:szCs w:val="32"/>
          <w:lang w:eastAsia="zh-CN"/>
        </w:rPr>
        <w:t>支付集贸市场提升改造经费</w:t>
      </w:r>
      <w:r>
        <w:rPr>
          <w:rFonts w:hint="eastAsia" w:ascii="仿宋_GB2312" w:hAnsi="黑体" w:eastAsia="仿宋_GB2312"/>
          <w:sz w:val="32"/>
          <w:szCs w:val="32"/>
          <w:lang w:val="en-US" w:eastAsia="zh-CN"/>
        </w:rPr>
        <w:t>392.38万元，包括集贸市场保安保洁服务费、测温设备、洗手池建设改造、宣传展板制作等；支付集贸市场智慧化升级及星级评定奖补资金280.97万元。</w:t>
      </w:r>
    </w:p>
    <w:p>
      <w:pPr>
        <w:topLinePunct/>
        <w:ind w:firstLine="640" w:firstLineChars="200"/>
        <w:rPr>
          <w:rFonts w:ascii="黑体" w:hAnsi="黑体" w:eastAsia="黑体"/>
          <w:szCs w:val="32"/>
        </w:rPr>
      </w:pPr>
      <w:r>
        <w:rPr>
          <w:rFonts w:hint="eastAsia" w:ascii="楷体" w:hAnsi="楷体" w:eastAsia="楷体" w:cs="楷体"/>
          <w:sz w:val="32"/>
          <w:szCs w:val="32"/>
        </w:rPr>
        <w:t>（五）项目的组织及管理</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集贸市场建设管理领导小组根据《关于申请集贸市场建设管理工作奖补经费使用的请示》及对2020年集贸市场建设管理工作奖补经费使用预算相关事宜进行研究的会议纪要，开展市场周边配套设施改造升级和日常管理工作。</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统筹兼顾充分发挥各街道办事处在集贸市场建设管理工作中的属地综合统筹协调职能，调动集贸市场开办单位的积极性，引导全区集贸市场建设管理工作提档升级。2、突出重点效应原则。以“四个一批”（改造升级一批、取缔关闭一批、新建扩建一批、收购回购一批）为重点，形成示范效应。3、片区一体化监管原则。街道办事处充分结合片区地域特点，不但要做好市场内部设施的建设改造提升，同时要加强对市场周边区域公共服务配套服务设施的建设改造提升，实行市场内外建设管理一体化，做到统筹布局、统筹提升、统筹管理，最终综合达标，全面提高市场服务人民群众的整体水平。4、权责对等原则。奖补坚持“谁受益、谁负责”的原则，全面压实市场开办单位主体建设管理责任和义务，全面对照相关标准做好集贸市场的新建扩建、改造提升。各街道办事处</w:t>
      </w:r>
      <w:r>
        <w:rPr>
          <w:rFonts w:hint="eastAsia" w:ascii="仿宋_GB2312" w:hAnsi="仿宋_GB2312" w:eastAsia="仿宋_GB2312" w:cs="仿宋_GB2312"/>
          <w:sz w:val="32"/>
          <w:szCs w:val="32"/>
          <w:lang w:val="zh-CN"/>
        </w:rPr>
        <w:t>按照</w:t>
      </w:r>
      <w:r>
        <w:rPr>
          <w:rFonts w:hint="eastAsia" w:ascii="仿宋_GB2312" w:hAnsi="仿宋_GB2312" w:eastAsia="仿宋_GB2312" w:cs="仿宋_GB2312"/>
          <w:sz w:val="32"/>
          <w:szCs w:val="32"/>
        </w:rPr>
        <w:t>《昆明市盘龙区集贸市场2018-2020年提升整治三年行动方案》</w:t>
      </w:r>
      <w:r>
        <w:rPr>
          <w:rFonts w:hint="eastAsia" w:ascii="仿宋_GB2312" w:hAnsi="仿宋_GB2312" w:eastAsia="仿宋_GB2312" w:cs="仿宋_GB2312"/>
          <w:sz w:val="32"/>
          <w:szCs w:val="32"/>
          <w:lang w:val="zh-CN"/>
        </w:rPr>
        <w:t>及财政</w:t>
      </w:r>
      <w:r>
        <w:rPr>
          <w:rFonts w:hint="eastAsia" w:ascii="仿宋_GB2312" w:hAnsi="仿宋_GB2312" w:eastAsia="仿宋_GB2312" w:cs="仿宋_GB2312"/>
          <w:sz w:val="32"/>
          <w:szCs w:val="32"/>
        </w:rPr>
        <w:t>资金预算绩效管理要求，开展资金绩效自评工作，同时</w:t>
      </w:r>
      <w:r>
        <w:rPr>
          <w:rFonts w:hint="eastAsia" w:ascii="仿宋_GB2312" w:hAnsi="仿宋_GB2312" w:eastAsia="仿宋_GB2312" w:cs="仿宋_GB2312"/>
          <w:sz w:val="32"/>
          <w:szCs w:val="32"/>
          <w:lang w:val="zh-CN"/>
        </w:rPr>
        <w:t>加强资金管理使用工作，确保奖补资金使用的安全性和有效性。</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（六）项目绩效目标</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改造升级一批、取缔关闭一批、新建扩建一批、收购回购一批”的总体思路和“谁主办、谁负责”的原则，采取“属地管理”的方式，按照“领导小组决策，属地街道组织实施,各职能局配合”的程序，按照统一规划、合理布局、先易后难、分步实施的原则，综合开展集贸市场提升整治工作，促进盘龙区集贸市场硬件提档、管理升级，成为布局合理、设施先进、功能完善、管理规范、环境优美、购物方便、食品安全、群众满意的购物场所，力争达到《昆明市标准化菜市场建设改造规范（2018年修订）》标准。</w:t>
      </w:r>
    </w:p>
    <w:p>
      <w:pPr>
        <w:topLinePunct/>
        <w:ind w:firstLine="640" w:firstLineChars="200"/>
        <w:rPr>
          <w:rFonts w:ascii="黑体" w:hAnsi="黑体" w:eastAsia="黑体"/>
          <w:szCs w:val="32"/>
        </w:rPr>
      </w:pPr>
      <w:r>
        <w:rPr>
          <w:rFonts w:hint="eastAsia" w:ascii="黑体" w:hAnsi="黑体" w:eastAsia="黑体" w:cs="黑体"/>
          <w:sz w:val="32"/>
          <w:szCs w:val="32"/>
        </w:rPr>
        <w:t>二、绩效评价工作情况</w:t>
      </w:r>
    </w:p>
    <w:p>
      <w:pPr>
        <w:topLinePun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rPr>
        <w:t>(一)评价的目的和依</w:t>
      </w:r>
      <w:r>
        <w:rPr>
          <w:rFonts w:hint="eastAsia" w:ascii="楷体" w:hAnsi="楷体" w:eastAsia="楷体" w:cs="楷体"/>
          <w:sz w:val="32"/>
          <w:szCs w:val="32"/>
          <w:lang w:eastAsia="zh-CN"/>
        </w:rPr>
        <w:t>据</w:t>
      </w:r>
    </w:p>
    <w:p>
      <w:pPr>
        <w:topLinePunct/>
        <w:ind w:firstLine="640" w:firstLineChars="200"/>
        <w:rPr>
          <w:rFonts w:ascii="仿宋_GB2312" w:hAnsi="楷体" w:eastAsia="仿宋_GB2312"/>
          <w:szCs w:val="32"/>
        </w:rPr>
      </w:pPr>
      <w:r>
        <w:rPr>
          <w:rFonts w:hint="eastAsia" w:ascii="仿宋_GB2312" w:hAnsi="楷体" w:eastAsia="仿宋_GB2312"/>
          <w:sz w:val="32"/>
          <w:szCs w:val="32"/>
        </w:rPr>
        <w:t>为深化预算管理改革，进一步加强监督管理，提高财政资金使用效益，根据《中华人民共和国预算法》、《</w:t>
      </w:r>
      <w:r>
        <w:rPr>
          <w:rFonts w:hint="eastAsia" w:ascii="仿宋_GB2312" w:hAnsi="楷体" w:eastAsia="仿宋_GB2312"/>
          <w:sz w:val="32"/>
          <w:szCs w:val="32"/>
          <w:lang w:eastAsia="zh-CN"/>
        </w:rPr>
        <w:t>盘龙区区级部门预算绩效自评管理暂行办法</w:t>
      </w:r>
      <w:r>
        <w:rPr>
          <w:rFonts w:hint="eastAsia" w:ascii="仿宋_GB2312" w:hAnsi="楷体" w:eastAsia="仿宋_GB2312"/>
          <w:sz w:val="32"/>
          <w:szCs w:val="32"/>
        </w:rPr>
        <w:t>》和国家有关财务规章制度，结合具体情况，进行此次绩效评价；同时也可在实践中检验绩效评价工作文件的针对性和可操作性，推动绩效评价的制度建设。</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1、贯彻落实《</w:t>
      </w:r>
      <w:r>
        <w:rPr>
          <w:rFonts w:hint="eastAsia" w:ascii="仿宋_GB2312" w:hAnsi="楷体" w:eastAsia="仿宋_GB2312"/>
          <w:sz w:val="32"/>
          <w:szCs w:val="32"/>
          <w:lang w:eastAsia="zh-CN"/>
        </w:rPr>
        <w:t>盘龙区区级部门预算绩效自评管理暂行办法</w:t>
      </w:r>
      <w:r>
        <w:rPr>
          <w:rFonts w:hint="eastAsia" w:ascii="仿宋_GB2312" w:hAnsi="楷体" w:eastAsia="仿宋_GB2312"/>
          <w:sz w:val="32"/>
          <w:szCs w:val="32"/>
        </w:rPr>
        <w:t>》文件精神，按照区级财政项目资金管理要求，设计合理的指标体系和评价标准，采取科学规范的评价方法，从投入、过程、产出、效益等四个方面进行科学、客观、公正的评价。</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2、通过绩效评价为合理分配资金、优化支出提供依据，也为逐步建立“预算编制有目标，预算执行有监控，预算完成有评价，评价结果有反馈，反馈结果有应用”的绩效评价机制提供决策依据。</w:t>
      </w:r>
    </w:p>
    <w:p>
      <w:pPr>
        <w:topLinePunct/>
        <w:ind w:firstLine="640" w:firstLineChars="200"/>
        <w:rPr>
          <w:rFonts w:ascii="黑体" w:hAnsi="黑体" w:eastAsia="黑体"/>
          <w:sz w:val="32"/>
          <w:szCs w:val="32"/>
        </w:rPr>
      </w:pPr>
      <w:r>
        <w:rPr>
          <w:rFonts w:hint="eastAsia" w:ascii="仿宋_GB2312" w:hAnsi="楷体" w:eastAsia="仿宋_GB2312"/>
          <w:sz w:val="32"/>
          <w:szCs w:val="32"/>
        </w:rPr>
        <w:t>3、通过绩效评价总结前段工作的经验教训，为进行项目修正和进一步推进预算绩效管理，提高项目建设水平，发挥财政资金效益提供重要的参考依据，也为将来后续项目提供借鉴。</w:t>
      </w:r>
    </w:p>
    <w:p>
      <w:pPr>
        <w:topLinePunct/>
        <w:ind w:firstLine="640" w:firstLineChars="200"/>
        <w:rPr>
          <w:rFonts w:ascii="黑体" w:hAnsi="黑体" w:eastAsia="黑体"/>
          <w:sz w:val="32"/>
          <w:szCs w:val="32"/>
        </w:rPr>
      </w:pPr>
      <w:r>
        <w:rPr>
          <w:rFonts w:hint="eastAsia" w:ascii="楷体" w:hAnsi="楷体" w:eastAsia="楷体" w:cs="楷体"/>
          <w:sz w:val="32"/>
          <w:szCs w:val="32"/>
        </w:rPr>
        <w:t>（二）绩效评价工作方案制定过程。</w:t>
      </w:r>
    </w:p>
    <w:p>
      <w:pPr>
        <w:topLinePunct/>
        <w:ind w:firstLine="640" w:firstLineChars="200"/>
        <w:rPr>
          <w:rFonts w:ascii="黑体" w:hAnsi="黑体" w:eastAsia="黑体"/>
          <w:sz w:val="32"/>
          <w:szCs w:val="32"/>
        </w:rPr>
      </w:pPr>
      <w:r>
        <w:rPr>
          <w:rFonts w:hint="eastAsia" w:ascii="仿宋_GB2312" w:hAnsi="Arial" w:eastAsia="仿宋_GB2312" w:cs="仿宋_GB2312"/>
          <w:kern w:val="0"/>
          <w:sz w:val="32"/>
          <w:szCs w:val="32"/>
        </w:rPr>
        <w:t>依据</w:t>
      </w:r>
      <w:r>
        <w:rPr>
          <w:rFonts w:ascii="仿宋_GB2312" w:hAnsi="Arial" w:eastAsia="仿宋_GB2312" w:cs="仿宋_GB2312"/>
          <w:kern w:val="0"/>
          <w:sz w:val="32"/>
          <w:szCs w:val="32"/>
        </w:rPr>
        <w:t>1.</w:t>
      </w:r>
      <w:r>
        <w:rPr>
          <w:rFonts w:hint="eastAsia" w:ascii="仿宋_GB2312" w:hAnsi="Arial" w:eastAsia="仿宋_GB2312" w:cs="仿宋_GB2312"/>
          <w:kern w:val="0"/>
          <w:sz w:val="32"/>
          <w:szCs w:val="32"/>
        </w:rPr>
        <w:t>《中华人民共和国预算法》、《盘龙区区级部门预算绩效自评管理暂行办法》</w:t>
      </w:r>
      <w:r>
        <w:rPr>
          <w:rFonts w:ascii="仿宋_GB2312" w:hAnsi="Arial" w:eastAsia="仿宋_GB2312" w:cs="仿宋_GB2312"/>
          <w:kern w:val="0"/>
          <w:sz w:val="32"/>
          <w:szCs w:val="32"/>
        </w:rPr>
        <w:t>2</w:t>
      </w:r>
      <w:r>
        <w:rPr>
          <w:rFonts w:hint="eastAsia" w:ascii="仿宋_GB2312" w:hAnsi="Arial" w:eastAsia="仿宋_GB2312" w:cs="仿宋_GB2312"/>
          <w:kern w:val="0"/>
          <w:sz w:val="32"/>
          <w:szCs w:val="32"/>
        </w:rPr>
        <w:t>、其他相关资料制定绩效评价工作方案。</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(三)绩效评价原则、评价指标体系、评价方法</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1、绩效评价原则</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 xml:space="preserve">（1）科学规范原则。严格执行规定的程序，按照科学可行的要求，采用定量与定性分析相结合的方法，对资金使用的情况进行绩效评价。 </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（2）公正公开原则。本次绩效评价符合真实、客观、公正的要求，依法公开并接受监督。</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（3）绩效相关原则。本次绩效评价与绩效目标有直接联系，能够恰当反映目标实现程度的绩效评价指标。</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 xml:space="preserve">2、评价指标体系 </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评价指标体系是开展绩效评价工作的核心。评价小组在参考财政支出绩效评价指标框架的基础上，结合实际，运用定量定性原则，确定了绩效评价指标。绩效评价框架包括投入、过程、产出、绩效等四个方面。</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3.绩效评价方法</w:t>
      </w:r>
    </w:p>
    <w:p>
      <w:pPr>
        <w:topLinePunct/>
        <w:ind w:firstLine="640" w:firstLineChars="200"/>
        <w:rPr>
          <w:rFonts w:ascii="黑体" w:hAnsi="黑体" w:eastAsia="黑体"/>
          <w:sz w:val="32"/>
          <w:szCs w:val="32"/>
        </w:rPr>
      </w:pPr>
      <w:r>
        <w:rPr>
          <w:rFonts w:hint="eastAsia" w:ascii="仿宋_GB2312" w:hAnsi="楷体" w:eastAsia="仿宋_GB2312"/>
          <w:sz w:val="32"/>
          <w:szCs w:val="32"/>
        </w:rPr>
        <w:t>采用自评的方式，应用成本效益法、因素分析法、比较法、公众评议法等方法进行评价。</w:t>
      </w:r>
    </w:p>
    <w:p>
      <w:pPr>
        <w:topLinePunct/>
        <w:ind w:firstLine="640" w:firstLineChars="200"/>
        <w:rPr>
          <w:rFonts w:ascii="仿宋_GB2312" w:hAnsi="楷体" w:eastAsia="仿宋_GB2312"/>
          <w:sz w:val="32"/>
          <w:szCs w:val="32"/>
        </w:rPr>
      </w:pPr>
      <w:r>
        <w:rPr>
          <w:rFonts w:hint="eastAsia" w:ascii="仿宋_GB2312" w:hAnsi="楷体" w:eastAsia="仿宋_GB2312"/>
          <w:sz w:val="32"/>
          <w:szCs w:val="32"/>
        </w:rPr>
        <w:t>（四）绩效评价实施过</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为使绩效评价工作顺利开展，由区市场监督管理局牵头，街道相关人员参与，市场监管局成立绩效评价工作组，负责整个评价工作的组织、协调和具体实施。具体过程如下：</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1、形成绩效评价实施方案。</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2、组织实施绩效评价。</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3、绩效分析评价。</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4、撰写评价报告。</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（五）绩效评价的局限性</w:t>
      </w:r>
      <w:r>
        <w:rPr>
          <w:rFonts w:hint="eastAsia" w:ascii="仿宋_GB2312" w:hAnsi="仿宋_GB2312" w:eastAsia="仿宋_GB2312" w:cs="仿宋_GB2312"/>
          <w:sz w:val="32"/>
          <w:szCs w:val="32"/>
        </w:rPr>
        <w:tab/>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不能完全体现资金运转使用情况 。</w:t>
      </w:r>
    </w:p>
    <w:p>
      <w:pPr>
        <w:topLinePunct/>
        <w:ind w:firstLine="640" w:firstLineChars="200"/>
        <w:rPr>
          <w:rFonts w:ascii="黑体" w:hAnsi="黑体" w:eastAsia="黑体" w:cs="黑体"/>
          <w:sz w:val="32"/>
          <w:szCs w:val="32"/>
        </w:rPr>
      </w:pPr>
      <w:r>
        <w:rPr>
          <w:rFonts w:hint="eastAsia" w:ascii="黑体" w:hAnsi="黑体" w:eastAsia="黑体" w:cs="黑体"/>
          <w:sz w:val="32"/>
          <w:szCs w:val="32"/>
        </w:rPr>
        <w:t>三、评价结论及绩效分析</w:t>
      </w:r>
    </w:p>
    <w:p>
      <w:pPr>
        <w:topLinePunct/>
        <w:ind w:firstLine="640" w:firstLineChars="200"/>
        <w:rPr>
          <w:rFonts w:ascii="仿宋_GB2312" w:hAnsi="Arial" w:eastAsia="仿宋_GB2312" w:cs="仿宋_GB2312"/>
          <w:kern w:val="0"/>
          <w:sz w:val="32"/>
          <w:szCs w:val="32"/>
        </w:rPr>
      </w:pPr>
      <w:r>
        <w:rPr>
          <w:rFonts w:ascii="仿宋_GB2312" w:hAnsi="Arial" w:eastAsia="仿宋_GB2312" w:cs="仿宋_GB2312"/>
          <w:kern w:val="0"/>
          <w:sz w:val="32"/>
          <w:szCs w:val="32"/>
        </w:rPr>
        <w:t>1.</w:t>
      </w:r>
      <w:r>
        <w:rPr>
          <w:rFonts w:hint="eastAsia" w:ascii="仿宋_GB2312" w:hAnsi="Arial" w:eastAsia="仿宋_GB2312" w:cs="仿宋_GB2312"/>
          <w:kern w:val="0"/>
          <w:sz w:val="32"/>
          <w:szCs w:val="32"/>
        </w:rPr>
        <w:t>项目绩效评价综合得分为94分，评价等级为优。</w:t>
      </w:r>
    </w:p>
    <w:p>
      <w:pPr>
        <w:topLinePunct/>
        <w:ind w:firstLine="640" w:firstLineChars="200"/>
        <w:rPr>
          <w:rFonts w:ascii="仿宋_GB2312" w:hAnsi="Arial" w:eastAsia="仿宋_GB2312" w:cs="仿宋_GB2312"/>
          <w:kern w:val="0"/>
          <w:sz w:val="32"/>
          <w:szCs w:val="32"/>
        </w:rPr>
      </w:pPr>
      <w:r>
        <w:rPr>
          <w:rFonts w:ascii="仿宋_GB2312" w:hAnsi="Arial" w:eastAsia="仿宋_GB2312" w:cs="仿宋_GB2312"/>
          <w:kern w:val="0"/>
          <w:sz w:val="32"/>
          <w:szCs w:val="32"/>
        </w:rPr>
        <w:t>2.</w:t>
      </w:r>
      <w:r>
        <w:rPr>
          <w:rFonts w:hint="eastAsia" w:ascii="仿宋_GB2312" w:hAnsi="Arial" w:eastAsia="仿宋_GB2312" w:cs="仿宋_GB2312"/>
          <w:kern w:val="0"/>
          <w:sz w:val="32"/>
          <w:szCs w:val="32"/>
        </w:rPr>
        <w:t>主要绩效。完成了</w:t>
      </w:r>
      <w:r>
        <w:rPr>
          <w:rFonts w:hint="eastAsia" w:ascii="仿宋_GB2312" w:hAnsi="仿宋" w:eastAsia="仿宋_GB2312" w:cs="仿宋"/>
          <w:sz w:val="32"/>
          <w:szCs w:val="32"/>
        </w:rPr>
        <w:t>3个标准化智慧化农贸市场提升改造</w:t>
      </w:r>
      <w:r>
        <w:rPr>
          <w:rFonts w:hint="eastAsia" w:ascii="仿宋_GB2312" w:hAnsi="Arial" w:eastAsia="仿宋_GB2312" w:cs="仿宋_GB2312"/>
          <w:kern w:val="0"/>
          <w:sz w:val="32"/>
          <w:szCs w:val="32"/>
        </w:rPr>
        <w:t>；</w:t>
      </w:r>
      <w:r>
        <w:rPr>
          <w:rFonts w:hint="eastAsia" w:ascii="仿宋_GB2312" w:hAnsi="仿宋" w:eastAsia="仿宋_GB2312" w:cs="仿宋"/>
          <w:sz w:val="32"/>
          <w:szCs w:val="32"/>
        </w:rPr>
        <w:t>完成了</w:t>
      </w:r>
      <w:r>
        <w:rPr>
          <w:rFonts w:hint="eastAsia" w:ascii="仿宋_GB2312" w:hAnsi="仿宋" w:eastAsia="仿宋_GB2312" w:cs="仿宋"/>
          <w:sz w:val="32"/>
          <w:szCs w:val="32"/>
          <w:lang w:val="en-US" w:eastAsia="zh-CN"/>
        </w:rPr>
        <w:t>2个</w:t>
      </w:r>
      <w:r>
        <w:rPr>
          <w:rFonts w:hint="eastAsia" w:ascii="仿宋_GB2312" w:hAnsi="仿宋" w:eastAsia="仿宋_GB2312" w:cs="仿宋"/>
          <w:sz w:val="32"/>
          <w:szCs w:val="32"/>
        </w:rPr>
        <w:t>农贸市场鲜肉摊位升级改造。</w:t>
      </w:r>
      <w:r>
        <w:rPr>
          <w:rFonts w:hint="eastAsia" w:ascii="仿宋_GB2312" w:hAnsi="仿宋" w:eastAsia="仿宋_GB2312"/>
          <w:sz w:val="32"/>
          <w:szCs w:val="32"/>
        </w:rPr>
        <w:t>爱国卫生“7个专项行动”开展以来，通过开展“智慧化农贸市场”活动，已建成智慧化农贸市场5家，2021年7月，全省评出9个智慧化“五星级”农贸市场，盘龙区</w:t>
      </w:r>
      <w:r>
        <w:rPr>
          <w:rFonts w:hint="eastAsia" w:ascii="仿宋_GB2312" w:hAnsi="仿宋" w:eastAsia="仿宋_GB2312"/>
          <w:sz w:val="32"/>
          <w:szCs w:val="32"/>
          <w:lang w:val="en-US" w:eastAsia="zh-CN"/>
        </w:rPr>
        <w:t>1个</w:t>
      </w:r>
      <w:r>
        <w:rPr>
          <w:rFonts w:hint="eastAsia" w:ascii="仿宋_GB2312" w:hAnsi="仿宋" w:eastAsia="仿宋_GB2312"/>
          <w:sz w:val="32"/>
          <w:szCs w:val="32"/>
        </w:rPr>
        <w:t>标准化智慧农贸市场位居第二，2021年9月，12个云南“管集市”专项行动农贸市场提升改造后的“样板”农贸市场，盘龙区</w:t>
      </w:r>
      <w:r>
        <w:rPr>
          <w:rFonts w:hint="eastAsia" w:ascii="仿宋_GB2312" w:hAnsi="仿宋" w:eastAsia="仿宋_GB2312"/>
          <w:sz w:val="32"/>
          <w:szCs w:val="32"/>
          <w:lang w:val="en-US" w:eastAsia="zh-CN"/>
        </w:rPr>
        <w:t>1个</w:t>
      </w:r>
      <w:r>
        <w:rPr>
          <w:rFonts w:hint="eastAsia" w:ascii="仿宋_GB2312" w:hAnsi="仿宋" w:eastAsia="仿宋_GB2312"/>
          <w:sz w:val="32"/>
          <w:szCs w:val="32"/>
        </w:rPr>
        <w:t>标准化智慧农贸市场位居第二，在全省具有较强示范带动作用。</w:t>
      </w:r>
      <w:r>
        <w:rPr>
          <w:rFonts w:hint="eastAsia" w:ascii="仿宋_GB2312" w:hAnsi="Arial" w:eastAsia="仿宋_GB2312" w:cs="仿宋_GB2312"/>
          <w:kern w:val="0"/>
          <w:sz w:val="32"/>
          <w:szCs w:val="32"/>
        </w:rPr>
        <w:t>通过集贸市场“四个一批”提升整治工作，通过政府财政资金投入，使</w:t>
      </w:r>
      <w:r>
        <w:rPr>
          <w:rFonts w:ascii="仿宋_GB2312" w:hAnsi="Arial" w:eastAsia="仿宋_GB2312" w:cs="仿宋_GB2312"/>
          <w:kern w:val="0"/>
          <w:sz w:val="32"/>
          <w:szCs w:val="32"/>
        </w:rPr>
        <w:t>20</w:t>
      </w:r>
      <w:r>
        <w:rPr>
          <w:rFonts w:hint="eastAsia" w:ascii="仿宋_GB2312" w:hAnsi="Arial" w:eastAsia="仿宋_GB2312" w:cs="仿宋_GB2312"/>
          <w:kern w:val="0"/>
          <w:sz w:val="32"/>
          <w:szCs w:val="32"/>
        </w:rPr>
        <w:t>21年改造的市场，软、硬件水平得到全面提升。改善了人居环境，使改造后的市场成为秩序规范、环境优美、食品安全、群众满意的购物场所。提升了群众的幸福感和满意度。</w:t>
      </w:r>
    </w:p>
    <w:p>
      <w:pPr>
        <w:topLinePunct/>
        <w:ind w:firstLine="640" w:firstLineChars="200"/>
        <w:rPr>
          <w:rFonts w:ascii="楷体_GB2312" w:hAnsi="Arial" w:eastAsia="楷体_GB2312" w:cs="仿宋_GB2312"/>
          <w:kern w:val="0"/>
          <w:sz w:val="32"/>
          <w:szCs w:val="32"/>
        </w:rPr>
      </w:pPr>
      <w:r>
        <w:rPr>
          <w:rFonts w:hint="eastAsia" w:ascii="楷体_GB2312" w:hAnsi="Arial" w:eastAsia="楷体_GB2312" w:cs="仿宋_GB2312"/>
          <w:kern w:val="0"/>
          <w:sz w:val="32"/>
          <w:szCs w:val="32"/>
        </w:rPr>
        <w:t>（二）具体绩效分析</w:t>
      </w:r>
    </w:p>
    <w:p>
      <w:pPr>
        <w:topLinePunct/>
        <w:ind w:firstLine="640" w:firstLineChars="200"/>
        <w:rPr>
          <w:rFonts w:ascii="仿宋_GB2312" w:hAnsi="Arial" w:eastAsia="仿宋_GB2312" w:cs="仿宋_GB2312"/>
          <w:kern w:val="0"/>
          <w:sz w:val="32"/>
          <w:szCs w:val="32"/>
        </w:rPr>
      </w:pPr>
      <w:r>
        <w:rPr>
          <w:rFonts w:ascii="仿宋_GB2312" w:hAnsi="Arial" w:eastAsia="仿宋_GB2312" w:cs="仿宋_GB2312"/>
          <w:kern w:val="0"/>
          <w:sz w:val="32"/>
          <w:szCs w:val="32"/>
        </w:rPr>
        <w:t>1.</w:t>
      </w:r>
      <w:r>
        <w:rPr>
          <w:rFonts w:hint="eastAsia" w:ascii="仿宋_GB2312" w:hAnsi="Arial" w:eastAsia="仿宋_GB2312" w:cs="仿宋_GB2312"/>
          <w:kern w:val="0"/>
          <w:sz w:val="32"/>
          <w:szCs w:val="32"/>
        </w:rPr>
        <w:t>项目决策得分</w:t>
      </w:r>
      <w:r>
        <w:rPr>
          <w:rFonts w:ascii="仿宋_GB2312" w:hAnsi="Arial" w:eastAsia="仿宋_GB2312" w:cs="仿宋_GB2312"/>
          <w:kern w:val="0"/>
          <w:sz w:val="32"/>
          <w:szCs w:val="32"/>
        </w:rPr>
        <w:t>20</w:t>
      </w:r>
      <w:r>
        <w:rPr>
          <w:rFonts w:hint="eastAsia" w:ascii="仿宋_GB2312" w:hAnsi="Arial" w:eastAsia="仿宋_GB2312" w:cs="仿宋_GB2312"/>
          <w:kern w:val="0"/>
          <w:sz w:val="32"/>
          <w:szCs w:val="32"/>
        </w:rPr>
        <w:t>分。项目立项</w:t>
      </w:r>
      <w:r>
        <w:rPr>
          <w:rFonts w:ascii="仿宋_GB2312" w:hAnsi="Arial" w:eastAsia="仿宋_GB2312" w:cs="仿宋_GB2312"/>
          <w:kern w:val="0"/>
          <w:sz w:val="32"/>
          <w:szCs w:val="32"/>
        </w:rPr>
        <w:t>8</w:t>
      </w:r>
      <w:r>
        <w:rPr>
          <w:rFonts w:hint="eastAsia" w:ascii="仿宋_GB2312" w:hAnsi="Arial" w:eastAsia="仿宋_GB2312" w:cs="仿宋_GB2312"/>
          <w:kern w:val="0"/>
          <w:sz w:val="32"/>
          <w:szCs w:val="32"/>
        </w:rPr>
        <w:t>分，项目目标</w:t>
      </w:r>
      <w:r>
        <w:rPr>
          <w:rFonts w:ascii="仿宋_GB2312" w:hAnsi="Arial" w:eastAsia="仿宋_GB2312" w:cs="仿宋_GB2312"/>
          <w:kern w:val="0"/>
          <w:sz w:val="32"/>
          <w:szCs w:val="32"/>
        </w:rPr>
        <w:t>12</w:t>
      </w:r>
      <w:r>
        <w:rPr>
          <w:rFonts w:hint="eastAsia" w:ascii="仿宋_GB2312" w:hAnsi="Arial" w:eastAsia="仿宋_GB2312" w:cs="仿宋_GB2312"/>
          <w:kern w:val="0"/>
          <w:sz w:val="32"/>
          <w:szCs w:val="32"/>
        </w:rPr>
        <w:t>分。</w:t>
      </w:r>
    </w:p>
    <w:p>
      <w:pPr>
        <w:topLinePunct/>
        <w:ind w:firstLine="640" w:firstLineChars="200"/>
        <w:rPr>
          <w:rFonts w:ascii="仿宋_GB2312" w:hAnsi="Arial" w:eastAsia="仿宋_GB2312" w:cs="仿宋_GB2312"/>
          <w:kern w:val="0"/>
          <w:sz w:val="32"/>
          <w:szCs w:val="32"/>
        </w:rPr>
      </w:pPr>
      <w:r>
        <w:rPr>
          <w:rFonts w:hint="eastAsia" w:ascii="仿宋_GB2312" w:hAnsi="Arial" w:eastAsia="仿宋_GB2312" w:cs="仿宋_GB2312"/>
          <w:kern w:val="0"/>
          <w:sz w:val="32"/>
          <w:szCs w:val="32"/>
        </w:rPr>
        <w:t>部门设立有《昆明市盘龙区集贸市场</w:t>
      </w:r>
      <w:r>
        <w:rPr>
          <w:rFonts w:ascii="仿宋_GB2312" w:hAnsi="Arial" w:eastAsia="仿宋_GB2312" w:cs="仿宋_GB2312"/>
          <w:kern w:val="0"/>
          <w:sz w:val="32"/>
          <w:szCs w:val="32"/>
        </w:rPr>
        <w:t>2018-2020</w:t>
      </w:r>
      <w:r>
        <w:rPr>
          <w:rFonts w:hint="eastAsia" w:ascii="仿宋_GB2312" w:hAnsi="Arial" w:eastAsia="仿宋_GB2312" w:cs="仿宋_GB2312"/>
          <w:kern w:val="0"/>
          <w:sz w:val="32"/>
          <w:szCs w:val="32"/>
        </w:rPr>
        <w:t>年提升整治三年行动方案》，依据盘政办通〔</w:t>
      </w:r>
      <w:r>
        <w:rPr>
          <w:rFonts w:ascii="仿宋_GB2312" w:hAnsi="Arial" w:eastAsia="仿宋_GB2312" w:cs="仿宋_GB2312"/>
          <w:kern w:val="0"/>
          <w:sz w:val="32"/>
          <w:szCs w:val="32"/>
        </w:rPr>
        <w:t>2019</w:t>
      </w:r>
      <w:r>
        <w:rPr>
          <w:rFonts w:hint="eastAsia" w:ascii="仿宋_GB2312" w:hAnsi="Arial" w:eastAsia="仿宋_GB2312" w:cs="仿宋_GB2312"/>
          <w:kern w:val="0"/>
          <w:sz w:val="32"/>
          <w:szCs w:val="32"/>
        </w:rPr>
        <w:t>〕</w:t>
      </w:r>
      <w:r>
        <w:rPr>
          <w:rFonts w:ascii="仿宋_GB2312" w:hAnsi="Arial" w:eastAsia="仿宋_GB2312" w:cs="仿宋_GB2312"/>
          <w:kern w:val="0"/>
          <w:sz w:val="32"/>
          <w:szCs w:val="32"/>
        </w:rPr>
        <w:t>45</w:t>
      </w:r>
      <w:r>
        <w:rPr>
          <w:rFonts w:hint="eastAsia" w:ascii="仿宋_GB2312" w:hAnsi="Arial" w:eastAsia="仿宋_GB2312" w:cs="仿宋_GB2312"/>
          <w:kern w:val="0"/>
          <w:sz w:val="32"/>
          <w:szCs w:val="32"/>
        </w:rPr>
        <w:t>号关于印发《</w:t>
      </w:r>
      <w:r>
        <w:rPr>
          <w:rFonts w:ascii="仿宋_GB2312" w:hAnsi="Arial" w:eastAsia="仿宋_GB2312" w:cs="仿宋_GB2312"/>
          <w:kern w:val="0"/>
          <w:sz w:val="32"/>
          <w:szCs w:val="32"/>
        </w:rPr>
        <w:t>2019</w:t>
      </w:r>
      <w:r>
        <w:rPr>
          <w:rFonts w:hint="eastAsia" w:ascii="仿宋_GB2312" w:hAnsi="Arial" w:eastAsia="仿宋_GB2312" w:cs="仿宋_GB2312"/>
          <w:kern w:val="0"/>
          <w:sz w:val="32"/>
          <w:szCs w:val="32"/>
        </w:rPr>
        <w:t>年集贸市场提升整治工作实施方案》的通知，盘政办通〔</w:t>
      </w:r>
      <w:r>
        <w:rPr>
          <w:rFonts w:ascii="仿宋_GB2312" w:hAnsi="Arial" w:eastAsia="仿宋_GB2312" w:cs="仿宋_GB2312"/>
          <w:kern w:val="0"/>
          <w:sz w:val="32"/>
          <w:szCs w:val="32"/>
        </w:rPr>
        <w:t>2019</w:t>
      </w:r>
      <w:r>
        <w:rPr>
          <w:rFonts w:hint="eastAsia" w:ascii="仿宋_GB2312" w:hAnsi="Arial" w:eastAsia="仿宋_GB2312" w:cs="仿宋_GB2312"/>
          <w:kern w:val="0"/>
          <w:sz w:val="32"/>
          <w:szCs w:val="32"/>
        </w:rPr>
        <w:t>〕</w:t>
      </w:r>
      <w:r>
        <w:rPr>
          <w:rFonts w:ascii="仿宋_GB2312" w:hAnsi="Arial" w:eastAsia="仿宋_GB2312" w:cs="仿宋_GB2312"/>
          <w:kern w:val="0"/>
          <w:sz w:val="32"/>
          <w:szCs w:val="32"/>
        </w:rPr>
        <w:t>101</w:t>
      </w:r>
      <w:r>
        <w:rPr>
          <w:rFonts w:hint="eastAsia" w:ascii="仿宋_GB2312" w:hAnsi="Arial" w:eastAsia="仿宋_GB2312" w:cs="仿宋_GB2312"/>
          <w:kern w:val="0"/>
          <w:sz w:val="32"/>
          <w:szCs w:val="32"/>
        </w:rPr>
        <w:t>号</w:t>
      </w:r>
      <w:r>
        <w:rPr>
          <w:rFonts w:ascii="仿宋_GB2312" w:hAnsi="Arial" w:eastAsia="仿宋_GB2312" w:cs="仿宋_GB2312"/>
          <w:kern w:val="0"/>
          <w:sz w:val="32"/>
          <w:szCs w:val="32"/>
        </w:rPr>
        <w:t>+</w:t>
      </w:r>
      <w:r>
        <w:rPr>
          <w:rFonts w:hint="eastAsia" w:ascii="仿宋_GB2312" w:hAnsi="Arial" w:eastAsia="仿宋_GB2312" w:cs="仿宋_GB2312"/>
          <w:kern w:val="0"/>
          <w:sz w:val="32"/>
          <w:szCs w:val="32"/>
        </w:rPr>
        <w:t>关于印发《昆明市盘龙区集贸市场建设管理工作奖补办法（试行）》的通知，项目设立与部门中长期规划相适应，立项依据充分，项目目标明确、合理。</w:t>
      </w:r>
    </w:p>
    <w:p>
      <w:pPr>
        <w:topLinePunct/>
        <w:ind w:firstLine="640" w:firstLineChars="200"/>
        <w:rPr>
          <w:rFonts w:ascii="仿宋_GB2312" w:hAnsi="Arial" w:eastAsia="仿宋_GB2312" w:cs="仿宋_GB2312"/>
          <w:kern w:val="0"/>
          <w:sz w:val="32"/>
          <w:szCs w:val="32"/>
        </w:rPr>
      </w:pPr>
      <w:r>
        <w:rPr>
          <w:rFonts w:ascii="仿宋_GB2312" w:hAnsi="Arial" w:eastAsia="仿宋_GB2312" w:cs="仿宋_GB2312"/>
          <w:kern w:val="0"/>
          <w:sz w:val="32"/>
          <w:szCs w:val="32"/>
        </w:rPr>
        <w:t>2.</w:t>
      </w:r>
      <w:r>
        <w:rPr>
          <w:rFonts w:hint="eastAsia" w:ascii="仿宋_GB2312" w:hAnsi="Arial" w:eastAsia="仿宋_GB2312" w:cs="仿宋_GB2312"/>
          <w:kern w:val="0"/>
          <w:sz w:val="32"/>
          <w:szCs w:val="32"/>
        </w:rPr>
        <w:t>项目管理</w:t>
      </w:r>
      <w:r>
        <w:rPr>
          <w:rFonts w:hint="eastAsia" w:ascii="仿宋_GB2312" w:hAnsi="Arial" w:eastAsia="仿宋_GB2312" w:cs="仿宋_GB2312"/>
          <w:kern w:val="0"/>
          <w:sz w:val="32"/>
          <w:szCs w:val="32"/>
          <w:lang w:val="en-US" w:eastAsia="zh-CN"/>
        </w:rPr>
        <w:t>18</w:t>
      </w:r>
      <w:r>
        <w:rPr>
          <w:rFonts w:hint="eastAsia" w:ascii="仿宋_GB2312" w:hAnsi="Arial" w:eastAsia="仿宋_GB2312" w:cs="仿宋_GB2312"/>
          <w:kern w:val="0"/>
          <w:sz w:val="32"/>
          <w:szCs w:val="32"/>
        </w:rPr>
        <w:t>分。投入管理</w:t>
      </w:r>
      <w:r>
        <w:rPr>
          <w:rFonts w:hint="eastAsia" w:ascii="仿宋_GB2312" w:hAnsi="Arial" w:eastAsia="仿宋_GB2312" w:cs="仿宋_GB2312"/>
          <w:kern w:val="0"/>
          <w:sz w:val="32"/>
          <w:szCs w:val="32"/>
          <w:lang w:val="en-US" w:eastAsia="zh-CN"/>
        </w:rPr>
        <w:t>2</w:t>
      </w:r>
      <w:r>
        <w:rPr>
          <w:rFonts w:hint="eastAsia" w:ascii="仿宋_GB2312" w:hAnsi="Arial" w:eastAsia="仿宋_GB2312" w:cs="仿宋_GB2312"/>
          <w:kern w:val="0"/>
          <w:sz w:val="32"/>
          <w:szCs w:val="32"/>
        </w:rPr>
        <w:t>分、财务管理</w:t>
      </w:r>
      <w:r>
        <w:rPr>
          <w:rFonts w:ascii="仿宋_GB2312" w:hAnsi="Arial" w:eastAsia="仿宋_GB2312" w:cs="仿宋_GB2312"/>
          <w:kern w:val="0"/>
          <w:sz w:val="32"/>
          <w:szCs w:val="32"/>
        </w:rPr>
        <w:t>6</w:t>
      </w:r>
      <w:r>
        <w:rPr>
          <w:rFonts w:hint="eastAsia" w:ascii="仿宋_GB2312" w:hAnsi="Arial" w:eastAsia="仿宋_GB2312" w:cs="仿宋_GB2312"/>
          <w:kern w:val="0"/>
          <w:sz w:val="32"/>
          <w:szCs w:val="32"/>
        </w:rPr>
        <w:t>分、项目实施</w:t>
      </w:r>
      <w:r>
        <w:rPr>
          <w:rFonts w:ascii="仿宋_GB2312" w:hAnsi="Arial" w:eastAsia="仿宋_GB2312" w:cs="仿宋_GB2312"/>
          <w:kern w:val="0"/>
          <w:sz w:val="32"/>
          <w:szCs w:val="32"/>
        </w:rPr>
        <w:t>10</w:t>
      </w:r>
      <w:r>
        <w:rPr>
          <w:rFonts w:hint="eastAsia" w:ascii="仿宋_GB2312" w:hAnsi="Arial" w:eastAsia="仿宋_GB2312" w:cs="仿宋_GB2312"/>
          <w:kern w:val="0"/>
          <w:sz w:val="32"/>
          <w:szCs w:val="32"/>
        </w:rPr>
        <w:t>分。</w:t>
      </w:r>
    </w:p>
    <w:p>
      <w:pPr>
        <w:topLinePunct/>
        <w:ind w:firstLine="640" w:firstLineChars="200"/>
        <w:rPr>
          <w:rFonts w:ascii="仿宋_GB2312" w:hAnsi="黑体" w:eastAsia="仿宋_GB2312"/>
          <w:sz w:val="32"/>
          <w:szCs w:val="32"/>
        </w:rPr>
      </w:pPr>
      <w:r>
        <w:rPr>
          <w:rFonts w:hint="eastAsia" w:ascii="仿宋_GB2312" w:hAnsi="黑体" w:eastAsia="仿宋_GB2312"/>
          <w:sz w:val="32"/>
          <w:szCs w:val="32"/>
        </w:rPr>
        <w:t>2021年当年项目总预算投入1000万元，上年结转</w:t>
      </w:r>
      <w:r>
        <w:rPr>
          <w:rFonts w:hint="eastAsia" w:ascii="仿宋_GB2312" w:eastAsia="仿宋_GB2312"/>
          <w:sz w:val="32"/>
          <w:szCs w:val="32"/>
        </w:rPr>
        <w:t>580万元</w:t>
      </w:r>
      <w:r>
        <w:rPr>
          <w:rFonts w:hint="eastAsia" w:ascii="仿宋_GB2312" w:hAnsi="黑体" w:eastAsia="仿宋_GB2312"/>
          <w:sz w:val="32"/>
          <w:szCs w:val="32"/>
        </w:rPr>
        <w:t>，2021年收入共计1580万元。2021年我局经费支出724.87万 元，其中2021年划拔到街道办事处农贸市场升级改造“以奖代补”经费</w:t>
      </w:r>
      <w:r>
        <w:rPr>
          <w:rFonts w:hint="eastAsia" w:ascii="仿宋_GB2312" w:hAnsi="黑体" w:eastAsia="仿宋_GB2312"/>
          <w:sz w:val="32"/>
          <w:szCs w:val="32"/>
          <w:lang w:val="en-US" w:eastAsia="zh-CN"/>
        </w:rPr>
        <w:t>51.52</w:t>
      </w:r>
      <w:r>
        <w:rPr>
          <w:rFonts w:hint="eastAsia" w:ascii="仿宋_GB2312" w:hAnsi="黑体" w:eastAsia="仿宋_GB2312"/>
          <w:sz w:val="32"/>
          <w:szCs w:val="32"/>
        </w:rPr>
        <w:t>万元。我局自用673.35万元。2021年度预算执行率45.8%，预算执行率50%以下，扣2分。</w:t>
      </w:r>
    </w:p>
    <w:p>
      <w:pPr>
        <w:topLinePunct/>
        <w:ind w:firstLine="640" w:firstLineChars="200"/>
        <w:rPr>
          <w:rFonts w:ascii="仿宋_GB2312" w:hAnsi="Arial" w:eastAsia="仿宋_GB2312" w:cs="仿宋_GB2312"/>
          <w:kern w:val="0"/>
          <w:sz w:val="32"/>
          <w:szCs w:val="32"/>
        </w:rPr>
      </w:pPr>
      <w:r>
        <w:rPr>
          <w:rFonts w:hint="eastAsia" w:ascii="仿宋_GB2312" w:hAnsi="Arial" w:eastAsia="仿宋_GB2312" w:cs="仿宋_GB2312"/>
          <w:kern w:val="0"/>
          <w:sz w:val="32"/>
          <w:szCs w:val="32"/>
        </w:rPr>
        <w:t>严格遵守《盘龙区市场监管局</w:t>
      </w:r>
      <w:r>
        <w:rPr>
          <w:rFonts w:hint="eastAsia" w:ascii="仿宋_GB2312" w:hAnsi="Arial" w:eastAsia="仿宋_GB2312" w:cs="仿宋_GB2312"/>
          <w:kern w:val="0"/>
          <w:sz w:val="32"/>
          <w:szCs w:val="32"/>
          <w:lang w:eastAsia="zh-CN"/>
        </w:rPr>
        <w:t>内部</w:t>
      </w:r>
      <w:r>
        <w:rPr>
          <w:rFonts w:hint="eastAsia" w:ascii="仿宋_GB2312" w:hAnsi="Arial" w:eastAsia="仿宋_GB2312" w:cs="仿宋_GB2312"/>
          <w:kern w:val="0"/>
          <w:sz w:val="32"/>
          <w:szCs w:val="32"/>
        </w:rPr>
        <w:t>财务制度》</w:t>
      </w:r>
      <w:r>
        <w:rPr>
          <w:rFonts w:hint="eastAsia" w:ascii="仿宋_GB2312" w:hAnsi="Arial" w:eastAsia="仿宋_GB2312" w:cs="仿宋_GB2312"/>
          <w:kern w:val="0"/>
          <w:sz w:val="32"/>
          <w:szCs w:val="32"/>
          <w:lang w:eastAsia="zh-CN"/>
        </w:rPr>
        <w:t>，</w:t>
      </w:r>
      <w:r>
        <w:rPr>
          <w:rFonts w:hint="eastAsia" w:ascii="仿宋_GB2312" w:hAnsi="Arial" w:eastAsia="仿宋_GB2312" w:cs="仿宋_GB2312"/>
          <w:kern w:val="0"/>
          <w:sz w:val="32"/>
          <w:szCs w:val="32"/>
        </w:rPr>
        <w:t>预算编制合理。项目实施依据《昆明市盘龙区集贸市场建设管理工作奖补办法（试行）》的通知，按照程序拨付街道相关经费，涉及政府采购的，严格按照政府采购程序办理。</w:t>
      </w:r>
    </w:p>
    <w:p>
      <w:pPr>
        <w:topLinePunct/>
        <w:ind w:firstLine="640" w:firstLineChars="200"/>
        <w:rPr>
          <w:rFonts w:ascii="仿宋_GB2312" w:hAnsi="Arial" w:eastAsia="仿宋_GB2312" w:cs="仿宋_GB2312"/>
          <w:kern w:val="0"/>
          <w:sz w:val="32"/>
          <w:szCs w:val="32"/>
        </w:rPr>
      </w:pPr>
      <w:r>
        <w:rPr>
          <w:rFonts w:ascii="仿宋_GB2312" w:hAnsi="Arial" w:eastAsia="仿宋_GB2312" w:cs="仿宋_GB2312"/>
          <w:kern w:val="0"/>
          <w:sz w:val="32"/>
          <w:szCs w:val="32"/>
        </w:rPr>
        <w:t>3.</w:t>
      </w:r>
      <w:r>
        <w:rPr>
          <w:rFonts w:hint="eastAsia" w:ascii="仿宋_GB2312" w:hAnsi="Arial" w:eastAsia="仿宋_GB2312" w:cs="仿宋_GB2312"/>
          <w:kern w:val="0"/>
          <w:sz w:val="32"/>
          <w:szCs w:val="32"/>
        </w:rPr>
        <w:t>项目绩效</w:t>
      </w:r>
      <w:r>
        <w:rPr>
          <w:rFonts w:hint="eastAsia" w:ascii="仿宋_GB2312" w:hAnsi="Arial" w:eastAsia="仿宋_GB2312" w:cs="仿宋_GB2312"/>
          <w:kern w:val="0"/>
          <w:sz w:val="32"/>
          <w:szCs w:val="32"/>
          <w:lang w:val="en-US" w:eastAsia="zh-CN"/>
        </w:rPr>
        <w:t>56</w:t>
      </w:r>
      <w:r>
        <w:rPr>
          <w:rFonts w:hint="eastAsia" w:ascii="仿宋_GB2312" w:hAnsi="Arial" w:eastAsia="仿宋_GB2312" w:cs="仿宋_GB2312"/>
          <w:kern w:val="0"/>
          <w:sz w:val="32"/>
          <w:szCs w:val="32"/>
        </w:rPr>
        <w:t>分：项目产出</w:t>
      </w:r>
      <w:r>
        <w:rPr>
          <w:rFonts w:hint="eastAsia" w:ascii="仿宋_GB2312" w:hAnsi="Arial" w:eastAsia="仿宋_GB2312" w:cs="仿宋_GB2312"/>
          <w:kern w:val="0"/>
          <w:sz w:val="32"/>
          <w:szCs w:val="32"/>
          <w:lang w:val="en-US" w:eastAsia="zh-CN"/>
        </w:rPr>
        <w:t>26</w:t>
      </w:r>
      <w:r>
        <w:rPr>
          <w:rFonts w:hint="eastAsia" w:ascii="仿宋_GB2312" w:hAnsi="Arial" w:eastAsia="仿宋_GB2312" w:cs="仿宋_GB2312"/>
          <w:kern w:val="0"/>
          <w:sz w:val="32"/>
          <w:szCs w:val="32"/>
        </w:rPr>
        <w:t>分、项目效益</w:t>
      </w:r>
      <w:r>
        <w:rPr>
          <w:rFonts w:ascii="仿宋_GB2312" w:hAnsi="Arial" w:eastAsia="仿宋_GB2312" w:cs="仿宋_GB2312"/>
          <w:kern w:val="0"/>
          <w:sz w:val="32"/>
          <w:szCs w:val="32"/>
        </w:rPr>
        <w:t>30</w:t>
      </w:r>
      <w:r>
        <w:rPr>
          <w:rFonts w:hint="eastAsia" w:ascii="仿宋_GB2312" w:hAnsi="Arial" w:eastAsia="仿宋_GB2312" w:cs="仿宋_GB2312"/>
          <w:kern w:val="0"/>
          <w:sz w:val="32"/>
          <w:szCs w:val="32"/>
        </w:rPr>
        <w:t>分。</w:t>
      </w:r>
    </w:p>
    <w:p>
      <w:pPr>
        <w:topLinePunct/>
        <w:ind w:firstLine="640" w:firstLineChars="200"/>
        <w:rPr>
          <w:rFonts w:ascii="仿宋_GB2312" w:hAnsi="Arial" w:eastAsia="仿宋_GB2312" w:cs="仿宋_GB2312"/>
          <w:kern w:val="0"/>
          <w:sz w:val="32"/>
          <w:szCs w:val="32"/>
        </w:rPr>
      </w:pPr>
      <w:r>
        <w:rPr>
          <w:rFonts w:hint="eastAsia" w:ascii="仿宋_GB2312" w:hAnsi="Arial" w:eastAsia="仿宋_GB2312" w:cs="仿宋_GB2312"/>
          <w:kern w:val="0"/>
          <w:sz w:val="32"/>
          <w:szCs w:val="32"/>
        </w:rPr>
        <w:t>完成了</w:t>
      </w:r>
      <w:r>
        <w:rPr>
          <w:rFonts w:hint="eastAsia" w:ascii="仿宋_GB2312" w:hAnsi="仿宋" w:eastAsia="仿宋_GB2312" w:cs="仿宋"/>
          <w:sz w:val="32"/>
          <w:szCs w:val="32"/>
        </w:rPr>
        <w:t>4个标准化智慧化农贸市场提升改造</w:t>
      </w:r>
      <w:r>
        <w:rPr>
          <w:rFonts w:hint="eastAsia" w:ascii="仿宋_GB2312" w:hAnsi="Arial" w:eastAsia="仿宋_GB2312" w:cs="仿宋_GB2312"/>
          <w:kern w:val="0"/>
          <w:sz w:val="32"/>
          <w:szCs w:val="32"/>
        </w:rPr>
        <w:t>；</w:t>
      </w:r>
      <w:r>
        <w:rPr>
          <w:rFonts w:hint="eastAsia" w:ascii="仿宋_GB2312" w:hAnsi="仿宋" w:eastAsia="仿宋_GB2312" w:cs="仿宋"/>
          <w:sz w:val="32"/>
          <w:szCs w:val="32"/>
        </w:rPr>
        <w:t>完成了</w:t>
      </w:r>
      <w:r>
        <w:rPr>
          <w:rFonts w:hint="eastAsia" w:ascii="仿宋_GB2312" w:hAnsi="仿宋" w:eastAsia="仿宋_GB2312" w:cs="仿宋"/>
          <w:sz w:val="32"/>
          <w:szCs w:val="32"/>
          <w:lang w:val="en-US" w:eastAsia="zh-CN"/>
        </w:rPr>
        <w:t>2个</w:t>
      </w:r>
      <w:r>
        <w:rPr>
          <w:rFonts w:hint="eastAsia" w:ascii="仿宋_GB2312" w:hAnsi="仿宋" w:eastAsia="仿宋_GB2312" w:cs="仿宋"/>
          <w:sz w:val="32"/>
          <w:szCs w:val="32"/>
        </w:rPr>
        <w:t>农贸市场鲜肉摊位升级改造。</w:t>
      </w:r>
      <w:r>
        <w:rPr>
          <w:rFonts w:hint="eastAsia" w:ascii="仿宋_GB2312" w:hAnsi="仿宋" w:eastAsia="仿宋_GB2312"/>
          <w:sz w:val="32"/>
          <w:szCs w:val="32"/>
        </w:rPr>
        <w:t>爱国卫生“7个专项行动”开展以来，通过开展“智慧化农贸市场”活动，已建成智慧化农贸市场5家，2021年7月，全省评出9个智慧化“五星级”农贸市场，盘龙区</w:t>
      </w:r>
      <w:r>
        <w:rPr>
          <w:rFonts w:hint="eastAsia" w:ascii="仿宋_GB2312" w:hAnsi="仿宋" w:eastAsia="仿宋_GB2312"/>
          <w:sz w:val="32"/>
          <w:szCs w:val="32"/>
          <w:lang w:val="en-US" w:eastAsia="zh-CN"/>
        </w:rPr>
        <w:t>1个</w:t>
      </w:r>
      <w:r>
        <w:rPr>
          <w:rFonts w:hint="eastAsia" w:ascii="仿宋_GB2312" w:hAnsi="仿宋" w:eastAsia="仿宋_GB2312"/>
          <w:sz w:val="32"/>
          <w:szCs w:val="32"/>
        </w:rPr>
        <w:t>标准化智慧农贸市场位居第二，2021年9月，12个云南“管集市”专项行动农贸市场提升改造后的“样板”农贸市场，盘龙区</w:t>
      </w:r>
      <w:r>
        <w:rPr>
          <w:rFonts w:hint="eastAsia" w:ascii="仿宋_GB2312" w:hAnsi="仿宋" w:eastAsia="仿宋_GB2312"/>
          <w:sz w:val="32"/>
          <w:szCs w:val="32"/>
          <w:lang w:val="en-US" w:eastAsia="zh-CN"/>
        </w:rPr>
        <w:t>1个</w:t>
      </w:r>
      <w:r>
        <w:rPr>
          <w:rFonts w:hint="eastAsia" w:ascii="仿宋_GB2312" w:hAnsi="仿宋" w:eastAsia="仿宋_GB2312"/>
          <w:sz w:val="32"/>
          <w:szCs w:val="32"/>
        </w:rPr>
        <w:t>标准化智慧农贸市场位居第二，在全省具有较强示范带动作用。</w:t>
      </w:r>
      <w:r>
        <w:rPr>
          <w:rFonts w:hint="eastAsia" w:ascii="仿宋_GB2312" w:hAnsi="Arial" w:eastAsia="仿宋_GB2312" w:cs="仿宋_GB2312"/>
          <w:kern w:val="0"/>
          <w:sz w:val="32"/>
          <w:szCs w:val="32"/>
        </w:rPr>
        <w:t>通过集贸市场“四个一批”提升整治工作，通过政府财政资金投入，使</w:t>
      </w:r>
      <w:r>
        <w:rPr>
          <w:rFonts w:ascii="仿宋_GB2312" w:hAnsi="Arial" w:eastAsia="仿宋_GB2312" w:cs="仿宋_GB2312"/>
          <w:kern w:val="0"/>
          <w:sz w:val="32"/>
          <w:szCs w:val="32"/>
        </w:rPr>
        <w:t>20</w:t>
      </w:r>
      <w:r>
        <w:rPr>
          <w:rFonts w:hint="eastAsia" w:ascii="仿宋_GB2312" w:hAnsi="Arial" w:eastAsia="仿宋_GB2312" w:cs="仿宋_GB2312"/>
          <w:kern w:val="0"/>
          <w:sz w:val="32"/>
          <w:szCs w:val="32"/>
        </w:rPr>
        <w:t>21年改造的市场软、硬件水平得到全面提升</w:t>
      </w:r>
      <w:r>
        <w:rPr>
          <w:rFonts w:hint="eastAsia" w:ascii="仿宋_GB2312" w:hAnsi="Arial" w:eastAsia="仿宋_GB2312" w:cs="仿宋_GB2312"/>
          <w:kern w:val="0"/>
          <w:sz w:val="32"/>
          <w:szCs w:val="32"/>
          <w:lang w:eastAsia="zh-CN"/>
        </w:rPr>
        <w:t>，</w:t>
      </w:r>
      <w:r>
        <w:rPr>
          <w:rFonts w:hint="eastAsia" w:ascii="仿宋_GB2312" w:hAnsi="Arial" w:eastAsia="仿宋_GB2312" w:cs="仿宋_GB2312"/>
          <w:kern w:val="0"/>
          <w:sz w:val="32"/>
          <w:szCs w:val="32"/>
        </w:rPr>
        <w:t>改善了人居环境，改造后的市场成为秩序规范、环境优美、食品安全、群众满意的购物场所</w:t>
      </w:r>
      <w:r>
        <w:rPr>
          <w:rFonts w:hint="eastAsia" w:ascii="仿宋_GB2312" w:hAnsi="Arial" w:eastAsia="仿宋_GB2312" w:cs="仿宋_GB2312"/>
          <w:kern w:val="0"/>
          <w:sz w:val="32"/>
          <w:szCs w:val="32"/>
          <w:lang w:eastAsia="zh-CN"/>
        </w:rPr>
        <w:t>，</w:t>
      </w:r>
      <w:r>
        <w:rPr>
          <w:rFonts w:hint="eastAsia" w:ascii="仿宋_GB2312" w:hAnsi="Arial" w:eastAsia="仿宋_GB2312" w:cs="仿宋_GB2312"/>
          <w:kern w:val="0"/>
          <w:sz w:val="32"/>
          <w:szCs w:val="32"/>
        </w:rPr>
        <w:t>提升了群众的幸福感和满意度。</w:t>
      </w:r>
    </w:p>
    <w:p>
      <w:pPr>
        <w:topLinePunct/>
        <w:ind w:firstLine="640" w:firstLineChars="200"/>
        <w:rPr>
          <w:rFonts w:ascii="仿宋_GB2312" w:hAnsi="Arial" w:eastAsia="仿宋_GB2312" w:cs="仿宋_GB2312"/>
          <w:kern w:val="0"/>
          <w:sz w:val="32"/>
          <w:szCs w:val="32"/>
        </w:rPr>
      </w:pPr>
      <w:r>
        <w:rPr>
          <w:rFonts w:hint="eastAsia" w:ascii="仿宋_GB2312" w:hAnsi="Arial" w:eastAsia="仿宋_GB2312" w:cs="仿宋_GB2312"/>
          <w:kern w:val="0"/>
          <w:sz w:val="32"/>
          <w:szCs w:val="32"/>
        </w:rPr>
        <w:t>（1）依据《</w:t>
      </w:r>
      <w:r>
        <w:rPr>
          <w:rFonts w:ascii="仿宋_GB2312" w:hAnsi="Arial" w:eastAsia="仿宋_GB2312" w:cs="仿宋_GB2312"/>
          <w:kern w:val="0"/>
          <w:sz w:val="32"/>
          <w:szCs w:val="32"/>
        </w:rPr>
        <w:t>昆明市盘龙区人民政府办公室关于印发</w:t>
      </w:r>
      <w:r>
        <w:rPr>
          <w:rFonts w:hint="eastAsia" w:ascii="仿宋_GB2312" w:hAnsi="Arial" w:eastAsia="仿宋_GB2312" w:cs="仿宋_GB2312"/>
          <w:kern w:val="0"/>
          <w:sz w:val="32"/>
          <w:szCs w:val="32"/>
        </w:rPr>
        <w:t>&lt;</w:t>
      </w:r>
      <w:r>
        <w:rPr>
          <w:rFonts w:ascii="仿宋_GB2312" w:hAnsi="Arial" w:eastAsia="仿宋_GB2312" w:cs="仿宋_GB2312"/>
          <w:kern w:val="0"/>
          <w:sz w:val="32"/>
          <w:szCs w:val="32"/>
        </w:rPr>
        <w:t>盘龙区2020年集贸市场提升整治工作实施方案</w:t>
      </w:r>
      <w:r>
        <w:rPr>
          <w:rFonts w:hint="eastAsia" w:ascii="仿宋_GB2312" w:hAnsi="Arial" w:eastAsia="仿宋_GB2312" w:cs="仿宋_GB2312"/>
          <w:kern w:val="0"/>
          <w:sz w:val="32"/>
          <w:szCs w:val="32"/>
        </w:rPr>
        <w:t>&gt;</w:t>
      </w:r>
      <w:r>
        <w:rPr>
          <w:rFonts w:ascii="仿宋_GB2312" w:hAnsi="Arial" w:eastAsia="仿宋_GB2312" w:cs="仿宋_GB2312"/>
          <w:kern w:val="0"/>
          <w:sz w:val="32"/>
          <w:szCs w:val="32"/>
        </w:rPr>
        <w:t>的通知</w:t>
      </w:r>
      <w:r>
        <w:rPr>
          <w:rFonts w:hint="eastAsia" w:ascii="仿宋_GB2312" w:hAnsi="Arial" w:eastAsia="仿宋_GB2312" w:cs="仿宋_GB2312"/>
          <w:kern w:val="0"/>
          <w:sz w:val="32"/>
          <w:szCs w:val="32"/>
        </w:rPr>
        <w:t>》（</w:t>
      </w:r>
      <w:r>
        <w:rPr>
          <w:rFonts w:ascii="仿宋_GB2312" w:hAnsi="Arial" w:eastAsia="仿宋_GB2312" w:cs="仿宋_GB2312"/>
          <w:kern w:val="0"/>
          <w:sz w:val="32"/>
          <w:szCs w:val="32"/>
        </w:rPr>
        <w:t>盘政办通〔2020〕79号</w:t>
      </w:r>
      <w:r>
        <w:rPr>
          <w:rFonts w:hint="eastAsia" w:ascii="仿宋_GB2312" w:hAnsi="Arial" w:eastAsia="仿宋_GB2312" w:cs="仿宋_GB2312"/>
          <w:kern w:val="0"/>
          <w:sz w:val="32"/>
          <w:szCs w:val="32"/>
        </w:rPr>
        <w:t>），</w:t>
      </w:r>
      <w:r>
        <w:rPr>
          <w:rFonts w:ascii="仿宋_GB2312" w:hAnsi="Arial" w:eastAsia="仿宋_GB2312" w:cs="仿宋_GB2312"/>
          <w:kern w:val="0"/>
          <w:sz w:val="32"/>
          <w:szCs w:val="32"/>
        </w:rPr>
        <w:t>2020年盘龙区计划改造升级6个集贸市场，</w:t>
      </w:r>
      <w:r>
        <w:rPr>
          <w:rFonts w:hint="eastAsia" w:ascii="仿宋_GB2312" w:hAnsi="Arial" w:eastAsia="仿宋_GB2312" w:cs="仿宋_GB2312"/>
          <w:kern w:val="0"/>
          <w:sz w:val="32"/>
          <w:szCs w:val="32"/>
          <w:lang w:eastAsia="zh-CN"/>
        </w:rPr>
        <w:t>其中</w:t>
      </w:r>
      <w:r>
        <w:rPr>
          <w:rFonts w:hint="eastAsia" w:ascii="仿宋_GB2312" w:hAnsi="Arial" w:eastAsia="仿宋_GB2312" w:cs="仿宋_GB2312"/>
          <w:kern w:val="0"/>
          <w:sz w:val="32"/>
          <w:szCs w:val="32"/>
          <w:lang w:val="en-US" w:eastAsia="zh-CN"/>
        </w:rPr>
        <w:t>4个</w:t>
      </w:r>
      <w:r>
        <w:rPr>
          <w:rFonts w:hint="eastAsia" w:ascii="仿宋_GB2312" w:hAnsi="Arial" w:eastAsia="仿宋_GB2312" w:cs="仿宋_GB2312"/>
          <w:kern w:val="0"/>
          <w:sz w:val="32"/>
          <w:szCs w:val="32"/>
        </w:rPr>
        <w:t>市场组织了验收，2个农贸市场验收未通过，扣2分。</w:t>
      </w:r>
    </w:p>
    <w:p>
      <w:pPr>
        <w:topLinePunct/>
        <w:ind w:firstLine="640" w:firstLineChars="200"/>
        <w:rPr>
          <w:rFonts w:ascii="仿宋_GB2312" w:hAnsi="Arial" w:eastAsia="仿宋_GB2312" w:cs="仿宋_GB2312"/>
          <w:kern w:val="0"/>
          <w:sz w:val="32"/>
          <w:szCs w:val="32"/>
        </w:rPr>
      </w:pPr>
      <w:r>
        <w:rPr>
          <w:rFonts w:hint="eastAsia" w:ascii="仿宋_GB2312" w:hAnsi="Arial" w:eastAsia="仿宋_GB2312" w:cs="仿宋_GB2312"/>
          <w:kern w:val="0"/>
          <w:sz w:val="32"/>
          <w:szCs w:val="32"/>
        </w:rPr>
        <w:t>（2）依据《关于印发&lt;昆明市盘龙区集贸市场建设管理工作奖补办法（试行）&gt;的通知》（盘政办通〔2019〕101号），区集贸市场建设管理工作领导小组结合各街道办事处年度目标任务完成和年度考核的实际情况，采取“以奖代补”的方式，预拨相应的奖补资金至街道办事处以便开展工作。2021年新建“智慧农贸市场”一个，未组织验收扣2分。</w:t>
      </w:r>
    </w:p>
    <w:p>
      <w:pPr>
        <w:topLinePunct/>
        <w:ind w:firstLine="640" w:firstLineChars="200"/>
        <w:rPr>
          <w:rFonts w:ascii="黑体" w:hAnsi="黑体" w:eastAsia="黑体"/>
          <w:szCs w:val="32"/>
        </w:rPr>
      </w:pPr>
      <w:r>
        <w:rPr>
          <w:rFonts w:hint="eastAsia" w:ascii="黑体" w:hAnsi="黑体" w:eastAsia="黑体"/>
          <w:sz w:val="32"/>
          <w:szCs w:val="32"/>
        </w:rPr>
        <w:t xml:space="preserve">四、项目主要经验及做法、存在的问题和建议 </w:t>
      </w:r>
    </w:p>
    <w:p>
      <w:pPr>
        <w:topLinePunct/>
        <w:ind w:firstLine="640" w:firstLineChars="200"/>
        <w:rPr>
          <w:rFonts w:ascii="楷体" w:hAnsi="楷体" w:eastAsia="楷体" w:cs="楷体"/>
          <w:sz w:val="32"/>
          <w:szCs w:val="32"/>
        </w:rPr>
      </w:pPr>
      <w:r>
        <w:rPr>
          <w:rFonts w:hint="eastAsia" w:ascii="楷体" w:hAnsi="楷体" w:eastAsia="楷体" w:cs="楷体"/>
          <w:sz w:val="32"/>
          <w:szCs w:val="32"/>
        </w:rPr>
        <w:t>(一)主要经验及做法</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经验及做法；按照“改造升级一批、取缔关闭一批、新建扩建一批、收购回购一批”的总体思路和“谁主办、谁负责”的原则，采取“属地管理”的方式，按照“领导小组决策，属地街道组织实施,各职能局配合”的程序，按照统一规划、合理布局、先易后难、分步实施的原则，综合开展集贸市场提升整治工作，促进盘龙区集贸市场硬件提档、管理升级，成为布局合理、设施先进、功能完善、管理规范、环境优美、购物方便、食品安全、群众满意的购物场所，力争达到《昆明市标准化菜市场建设改造规范（2018年修订）》标准。</w:t>
      </w:r>
    </w:p>
    <w:p>
      <w:pPr>
        <w:topLinePun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农贸市场关系着千家万户的“菜篮子”，也是体现城市文明形象的一个重要窗口。围绕“整洁、有序、规范、标准”的目标，盘龙区市场监督管理局结合“管集市、净餐馆”专项行动的推进，加快传统农贸市场改造提升工程建设，在打造“标准化农贸市场”基础上，开展了创建“智慧化农贸市场”活动。截至目前，已初步实现</w:t>
      </w:r>
      <w:r>
        <w:rPr>
          <w:rFonts w:hint="eastAsia" w:ascii="仿宋_GB2312" w:hAnsi="仿宋_GB2312" w:eastAsia="仿宋_GB2312" w:cs="仿宋_GB2312"/>
          <w:color w:val="000000"/>
          <w:sz w:val="32"/>
          <w:szCs w:val="32"/>
          <w:lang w:eastAsia="zh-CN"/>
        </w:rPr>
        <w:t>城</w:t>
      </w:r>
      <w:r>
        <w:rPr>
          <w:rFonts w:hint="eastAsia" w:ascii="仿宋_GB2312" w:hAnsi="仿宋_GB2312" w:eastAsia="仿宋_GB2312" w:cs="仿宋_GB2312"/>
          <w:color w:val="000000"/>
          <w:sz w:val="32"/>
          <w:szCs w:val="32"/>
        </w:rPr>
        <w:t>区8个街道22个农贸市场标准化升级改造，建成5个标准化智慧化农贸市场。</w:t>
      </w:r>
    </w:p>
    <w:p>
      <w:pPr>
        <w:topLinePun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对照“标准化农贸市场”建设活动标准，盘龙局借鉴先进地区农贸市场管理经验，引入农贸市场智慧化管理平台，为商户配置了智能溯源电子秤和商户前端展示屏，可以实时显示公示商品、价格、金额，展示商户营业执照、健康证、索证索票、收款码等，商户相关信息和经营信息一目了然，杜绝了短斤少两、乱贴乱挂等现象。每笔交易还可以打印溯源小票，交易信息自动上传市场管理后台，便于对交易数据进行查询、统计、分析，为市场管理方提供决策依据。</w:t>
      </w:r>
    </w:p>
    <w:p>
      <w:pPr>
        <w:topLinePunct/>
        <w:ind w:firstLine="640" w:firstLineChars="200"/>
        <w:rPr>
          <w:rFonts w:ascii="楷体" w:hAnsi="楷体" w:eastAsia="楷体" w:cs="楷体"/>
          <w:sz w:val="32"/>
          <w:szCs w:val="32"/>
        </w:rPr>
      </w:pPr>
      <w:r>
        <w:rPr>
          <w:rFonts w:hint="eastAsia" w:ascii="楷体" w:hAnsi="楷体" w:eastAsia="楷体" w:cs="楷体"/>
          <w:sz w:val="32"/>
          <w:szCs w:val="32"/>
        </w:rPr>
        <w:t>（二）存在的问题</w:t>
      </w:r>
    </w:p>
    <w:p>
      <w:pPr>
        <w:topLinePunct/>
        <w:ind w:firstLine="640" w:firstLineChars="200"/>
        <w:rPr>
          <w:rFonts w:hint="eastAsia" w:ascii="仿宋_GB2312" w:hAnsi="黑体" w:eastAsia="仿宋_GB2312"/>
          <w:sz w:val="32"/>
          <w:szCs w:val="32"/>
          <w:lang w:eastAsia="zh-CN"/>
        </w:rPr>
      </w:pPr>
      <w:r>
        <w:rPr>
          <w:rFonts w:hint="eastAsia" w:ascii="仿宋_GB2312" w:hAnsi="黑体" w:eastAsia="仿宋_GB2312"/>
          <w:sz w:val="32"/>
          <w:szCs w:val="32"/>
        </w:rPr>
        <w:t>资金的使用效率有待进一步提高</w:t>
      </w:r>
      <w:r>
        <w:rPr>
          <w:rFonts w:hint="eastAsia" w:ascii="仿宋_GB2312" w:hAnsi="黑体" w:eastAsia="仿宋_GB2312"/>
          <w:sz w:val="32"/>
          <w:szCs w:val="32"/>
          <w:lang w:eastAsia="zh-CN"/>
        </w:rPr>
        <w:t>。</w:t>
      </w:r>
      <w:bookmarkStart w:id="0" w:name="_GoBack"/>
      <w:bookmarkEnd w:id="0"/>
    </w:p>
    <w:p>
      <w:pPr>
        <w:topLinePunct/>
        <w:ind w:firstLine="640" w:firstLineChars="200"/>
        <w:rPr>
          <w:rFonts w:ascii="楷体" w:hAnsi="楷体" w:eastAsia="楷体" w:cs="楷体"/>
          <w:sz w:val="32"/>
          <w:szCs w:val="32"/>
        </w:rPr>
      </w:pPr>
      <w:r>
        <w:rPr>
          <w:rFonts w:hint="eastAsia" w:ascii="楷体" w:hAnsi="楷体" w:eastAsia="楷体" w:cs="楷体"/>
          <w:sz w:val="32"/>
          <w:szCs w:val="32"/>
        </w:rPr>
        <w:t>(三)建议和改进措施</w:t>
      </w:r>
    </w:p>
    <w:p>
      <w:pPr>
        <w:topLinePunct/>
        <w:ind w:firstLine="640" w:firstLineChars="200"/>
        <w:rPr>
          <w:rFonts w:ascii="仿宋_GB2312" w:hAnsi="黑体" w:eastAsia="仿宋_GB2312"/>
          <w:sz w:val="32"/>
          <w:szCs w:val="32"/>
        </w:rPr>
      </w:pPr>
      <w:r>
        <w:rPr>
          <w:rFonts w:hint="eastAsia" w:ascii="仿宋_GB2312" w:hAnsi="黑体" w:eastAsia="仿宋_GB2312"/>
          <w:sz w:val="32"/>
          <w:szCs w:val="32"/>
        </w:rPr>
        <w:t>加强</w:t>
      </w:r>
      <w:r>
        <w:rPr>
          <w:rFonts w:hint="eastAsia" w:ascii="仿宋_GB2312" w:eastAsia="仿宋_GB2312"/>
          <w:sz w:val="32"/>
          <w:szCs w:val="32"/>
        </w:rPr>
        <w:t>集贸市场建设管理工作奖补经费使用预算会议研究进度</w:t>
      </w:r>
      <w:r>
        <w:rPr>
          <w:rFonts w:hint="eastAsia" w:ascii="仿宋_GB2312" w:hAnsi="黑体" w:eastAsia="仿宋_GB2312"/>
          <w:sz w:val="32"/>
          <w:szCs w:val="32"/>
        </w:rPr>
        <w:t>及使用规划，进一步提高资金的使用效率。</w:t>
      </w:r>
    </w:p>
    <w:p>
      <w:pPr>
        <w:topLinePunct/>
        <w:ind w:firstLine="1280" w:firstLineChars="400"/>
        <w:rPr>
          <w:rFonts w:hint="eastAsia" w:ascii="仿宋_GB2312" w:hAnsi="Arial" w:eastAsia="仿宋_GB2312" w:cs="仿宋_GB2312"/>
          <w:kern w:val="0"/>
          <w:sz w:val="32"/>
          <w:szCs w:val="32"/>
        </w:rPr>
      </w:pPr>
    </w:p>
    <w:sectPr>
      <w:pgSz w:w="11906" w:h="16838"/>
      <w:pgMar w:top="1440" w:right="1797" w:bottom="1440" w:left="1797" w:header="851" w:footer="737"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469139"/>
    </w:sdtPr>
    <w:sdtContent>
      <w:p>
        <w:pPr>
          <w:pStyle w:val="4"/>
          <w:jc w:val="center"/>
        </w:pPr>
        <w:r>
          <w:fldChar w:fldCharType="begin"/>
        </w:r>
        <w:r>
          <w:instrText xml:space="preserve"> PAGE   \* MERGEFORMAT </w:instrText>
        </w:r>
        <w:r>
          <w:fldChar w:fldCharType="separate"/>
        </w:r>
        <w:r>
          <w:rPr>
            <w:lang w:val="zh-CN"/>
          </w:rPr>
          <w:t>-</w:t>
        </w:r>
        <w:r>
          <w:t xml:space="preserve"> 19 -</w:t>
        </w:r>
        <w: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1ED"/>
    <w:rsid w:val="00013364"/>
    <w:rsid w:val="000252D7"/>
    <w:rsid w:val="000274C8"/>
    <w:rsid w:val="000C6F0B"/>
    <w:rsid w:val="00105A5C"/>
    <w:rsid w:val="001212A6"/>
    <w:rsid w:val="001242AE"/>
    <w:rsid w:val="001A6AB8"/>
    <w:rsid w:val="002926C0"/>
    <w:rsid w:val="002B6D84"/>
    <w:rsid w:val="002C7ED4"/>
    <w:rsid w:val="003038B5"/>
    <w:rsid w:val="00387821"/>
    <w:rsid w:val="00455B56"/>
    <w:rsid w:val="004C4D64"/>
    <w:rsid w:val="004D1ED1"/>
    <w:rsid w:val="0059162C"/>
    <w:rsid w:val="005A06CB"/>
    <w:rsid w:val="005F5CE5"/>
    <w:rsid w:val="00613188"/>
    <w:rsid w:val="006705C3"/>
    <w:rsid w:val="006C30C3"/>
    <w:rsid w:val="006F3DE3"/>
    <w:rsid w:val="007B376A"/>
    <w:rsid w:val="0082682C"/>
    <w:rsid w:val="00833D6F"/>
    <w:rsid w:val="008C37E4"/>
    <w:rsid w:val="008C55E6"/>
    <w:rsid w:val="008E3F0D"/>
    <w:rsid w:val="009012CC"/>
    <w:rsid w:val="00952DB8"/>
    <w:rsid w:val="009B01AA"/>
    <w:rsid w:val="00A36239"/>
    <w:rsid w:val="00A400C5"/>
    <w:rsid w:val="00A7192E"/>
    <w:rsid w:val="00A7300B"/>
    <w:rsid w:val="00AC175C"/>
    <w:rsid w:val="00AC5573"/>
    <w:rsid w:val="00B21334"/>
    <w:rsid w:val="00B25ADB"/>
    <w:rsid w:val="00B66A5D"/>
    <w:rsid w:val="00B83E27"/>
    <w:rsid w:val="00BC1EC3"/>
    <w:rsid w:val="00C27F16"/>
    <w:rsid w:val="00C72F51"/>
    <w:rsid w:val="00CA06E8"/>
    <w:rsid w:val="00D60DC8"/>
    <w:rsid w:val="00D80E5E"/>
    <w:rsid w:val="00D83792"/>
    <w:rsid w:val="00D84034"/>
    <w:rsid w:val="00D96C90"/>
    <w:rsid w:val="00DD6A75"/>
    <w:rsid w:val="00DE4B76"/>
    <w:rsid w:val="00E056BA"/>
    <w:rsid w:val="00E95BCC"/>
    <w:rsid w:val="00EC7B0F"/>
    <w:rsid w:val="00F20BAF"/>
    <w:rsid w:val="00F7548B"/>
    <w:rsid w:val="00FE018E"/>
    <w:rsid w:val="00FE71ED"/>
    <w:rsid w:val="018B2FE3"/>
    <w:rsid w:val="01C72B10"/>
    <w:rsid w:val="01DB4ADE"/>
    <w:rsid w:val="025924CB"/>
    <w:rsid w:val="02EC6B21"/>
    <w:rsid w:val="03A96CE7"/>
    <w:rsid w:val="044405B8"/>
    <w:rsid w:val="05AB236D"/>
    <w:rsid w:val="0746611F"/>
    <w:rsid w:val="077452B8"/>
    <w:rsid w:val="09A865D2"/>
    <w:rsid w:val="0A6A43B6"/>
    <w:rsid w:val="0BE373FA"/>
    <w:rsid w:val="0F50571D"/>
    <w:rsid w:val="11ED299D"/>
    <w:rsid w:val="12B8455E"/>
    <w:rsid w:val="133B13F9"/>
    <w:rsid w:val="146705A4"/>
    <w:rsid w:val="14825DE6"/>
    <w:rsid w:val="154D4EFF"/>
    <w:rsid w:val="165B4A3C"/>
    <w:rsid w:val="18A90E83"/>
    <w:rsid w:val="18DB008C"/>
    <w:rsid w:val="1BB47EAF"/>
    <w:rsid w:val="1C5E6958"/>
    <w:rsid w:val="1E0A5D2A"/>
    <w:rsid w:val="1F43537A"/>
    <w:rsid w:val="1F9C7D2C"/>
    <w:rsid w:val="20335CEB"/>
    <w:rsid w:val="206D7029"/>
    <w:rsid w:val="21003DC5"/>
    <w:rsid w:val="24086925"/>
    <w:rsid w:val="24247E7B"/>
    <w:rsid w:val="24A41635"/>
    <w:rsid w:val="258647D2"/>
    <w:rsid w:val="273F7B97"/>
    <w:rsid w:val="28361DC4"/>
    <w:rsid w:val="28C210F2"/>
    <w:rsid w:val="28C47FE7"/>
    <w:rsid w:val="2AA06971"/>
    <w:rsid w:val="2BB10840"/>
    <w:rsid w:val="2C221217"/>
    <w:rsid w:val="2E085406"/>
    <w:rsid w:val="30DB3443"/>
    <w:rsid w:val="324251CF"/>
    <w:rsid w:val="33BB4945"/>
    <w:rsid w:val="340F7B4F"/>
    <w:rsid w:val="343A0DC9"/>
    <w:rsid w:val="344975E0"/>
    <w:rsid w:val="35827FA6"/>
    <w:rsid w:val="35971747"/>
    <w:rsid w:val="37E52CD0"/>
    <w:rsid w:val="37FC6ADB"/>
    <w:rsid w:val="3A664D80"/>
    <w:rsid w:val="3C237404"/>
    <w:rsid w:val="3D9F5383"/>
    <w:rsid w:val="3DA95488"/>
    <w:rsid w:val="3E2937AC"/>
    <w:rsid w:val="3E483ED2"/>
    <w:rsid w:val="3E693314"/>
    <w:rsid w:val="3F8756C8"/>
    <w:rsid w:val="3FE375AC"/>
    <w:rsid w:val="40C76681"/>
    <w:rsid w:val="410C4411"/>
    <w:rsid w:val="423443C4"/>
    <w:rsid w:val="426F77A6"/>
    <w:rsid w:val="430F35B1"/>
    <w:rsid w:val="440141D9"/>
    <w:rsid w:val="44DD3164"/>
    <w:rsid w:val="47661490"/>
    <w:rsid w:val="48383884"/>
    <w:rsid w:val="49087419"/>
    <w:rsid w:val="491C3ADF"/>
    <w:rsid w:val="4A956908"/>
    <w:rsid w:val="4AC95B6D"/>
    <w:rsid w:val="4B180921"/>
    <w:rsid w:val="4B532DD3"/>
    <w:rsid w:val="4C5664A3"/>
    <w:rsid w:val="4CAC7785"/>
    <w:rsid w:val="4D043D6A"/>
    <w:rsid w:val="50980939"/>
    <w:rsid w:val="51BA4C69"/>
    <w:rsid w:val="5317797A"/>
    <w:rsid w:val="532B6A85"/>
    <w:rsid w:val="53756121"/>
    <w:rsid w:val="53B37E24"/>
    <w:rsid w:val="542821F9"/>
    <w:rsid w:val="542842C0"/>
    <w:rsid w:val="55191783"/>
    <w:rsid w:val="56614218"/>
    <w:rsid w:val="573F32EF"/>
    <w:rsid w:val="576F70A8"/>
    <w:rsid w:val="57DB0593"/>
    <w:rsid w:val="59B3792D"/>
    <w:rsid w:val="5B637CBE"/>
    <w:rsid w:val="5C8E6BE9"/>
    <w:rsid w:val="5CE60211"/>
    <w:rsid w:val="5D5E5293"/>
    <w:rsid w:val="5DA40C98"/>
    <w:rsid w:val="5F7276C1"/>
    <w:rsid w:val="5F85293F"/>
    <w:rsid w:val="60D82D47"/>
    <w:rsid w:val="617C4FEA"/>
    <w:rsid w:val="626878DF"/>
    <w:rsid w:val="629F4DCB"/>
    <w:rsid w:val="62F65BBC"/>
    <w:rsid w:val="648B1486"/>
    <w:rsid w:val="64A00512"/>
    <w:rsid w:val="64BC4215"/>
    <w:rsid w:val="660B260A"/>
    <w:rsid w:val="66195B4D"/>
    <w:rsid w:val="67E15B27"/>
    <w:rsid w:val="68253A25"/>
    <w:rsid w:val="68D57634"/>
    <w:rsid w:val="69274BBA"/>
    <w:rsid w:val="6962315D"/>
    <w:rsid w:val="6AD33666"/>
    <w:rsid w:val="6B035222"/>
    <w:rsid w:val="6C0914F0"/>
    <w:rsid w:val="6C795EE9"/>
    <w:rsid w:val="6D322453"/>
    <w:rsid w:val="6DF03B74"/>
    <w:rsid w:val="6F241F67"/>
    <w:rsid w:val="777D101D"/>
    <w:rsid w:val="779167DD"/>
    <w:rsid w:val="77E412E6"/>
    <w:rsid w:val="7A9E1BA3"/>
    <w:rsid w:val="7B86011B"/>
    <w:rsid w:val="7BFC0033"/>
    <w:rsid w:val="7C3E5CDE"/>
    <w:rsid w:val="7C6B37B8"/>
    <w:rsid w:val="7C8C1A4E"/>
    <w:rsid w:val="7F444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5"/>
    <w:qFormat/>
    <w:uiPriority w:val="0"/>
    <w:rPr>
      <w:sz w:val="18"/>
      <w:szCs w:val="18"/>
    </w:r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kern w:val="0"/>
      <w:sz w:val="24"/>
    </w:rPr>
  </w:style>
  <w:style w:type="character" w:styleId="9">
    <w:name w:val="Hyperlink"/>
    <w:basedOn w:val="8"/>
    <w:unhideWhenUsed/>
    <w:qFormat/>
    <w:uiPriority w:val="99"/>
    <w:rPr>
      <w:color w:val="0000FF"/>
      <w:u w:val="single"/>
    </w:rPr>
  </w:style>
  <w:style w:type="paragraph" w:customStyle="1" w:styleId="1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character" w:customStyle="1" w:styleId="12">
    <w:name w:val="页眉 Char"/>
    <w:basedOn w:val="8"/>
    <w:link w:val="5"/>
    <w:qFormat/>
    <w:uiPriority w:val="0"/>
    <w:rPr>
      <w:rFonts w:ascii="Calibri" w:hAnsi="Calibri"/>
      <w:kern w:val="2"/>
      <w:sz w:val="18"/>
      <w:szCs w:val="18"/>
    </w:rPr>
  </w:style>
  <w:style w:type="character" w:customStyle="1" w:styleId="13">
    <w:name w:val="页脚 Char"/>
    <w:basedOn w:val="8"/>
    <w:link w:val="4"/>
    <w:qFormat/>
    <w:uiPriority w:val="99"/>
    <w:rPr>
      <w:rFonts w:ascii="Calibri" w:hAnsi="Calibri"/>
      <w:kern w:val="2"/>
      <w:sz w:val="18"/>
      <w:szCs w:val="18"/>
    </w:rPr>
  </w:style>
  <w:style w:type="paragraph" w:styleId="14">
    <w:name w:val="List Paragraph"/>
    <w:basedOn w:val="1"/>
    <w:unhideWhenUsed/>
    <w:qFormat/>
    <w:uiPriority w:val="99"/>
    <w:pPr>
      <w:ind w:firstLine="420" w:firstLineChars="200"/>
    </w:pPr>
  </w:style>
  <w:style w:type="character" w:customStyle="1" w:styleId="15">
    <w:name w:val="批注框文本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7863</Words>
  <Characters>794</Characters>
  <Lines>6</Lines>
  <Paragraphs>17</Paragraphs>
  <TotalTime>19</TotalTime>
  <ScaleCrop>false</ScaleCrop>
  <LinksUpToDate>false</LinksUpToDate>
  <CharactersWithSpaces>8640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2022-03-28T02:57:00Z</dcterms:created>
  <dc:creator>Administrator</dc:creator>
  <cp:lastModifiedBy>NTKO</cp:lastModifiedBy>
  <dcterms:modified xsi:type="dcterms:W3CDTF">2022-09-27T11:50:01Z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