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hint="eastAsia" w:ascii="仿宋_GB2312" w:hAnsi="仿宋_GB2312" w:eastAsia="仿宋_GB2312" w:cs="仿宋_GB2312"/>
          <w:bCs/>
          <w:sz w:val="44"/>
          <w:szCs w:val="44"/>
        </w:rPr>
      </w:pPr>
      <w:r>
        <w:rPr>
          <w:rFonts w:hint="eastAsia" w:ascii="仿宋_GB2312" w:hAnsi="仿宋_GB2312" w:eastAsia="仿宋_GB2312" w:cs="仿宋_GB2312"/>
          <w:bCs/>
          <w:sz w:val="44"/>
          <w:szCs w:val="44"/>
        </w:rPr>
        <w:t>智慧市场监管</w:t>
      </w:r>
      <w:r>
        <w:rPr>
          <w:rFonts w:hint="eastAsia" w:ascii="仿宋_GB2312" w:hAnsi="仿宋_GB2312" w:eastAsia="仿宋_GB2312" w:cs="仿宋_GB2312"/>
          <w:bCs/>
          <w:sz w:val="44"/>
          <w:szCs w:val="44"/>
          <w:lang w:eastAsia="zh-CN"/>
        </w:rPr>
        <w:t>项目</w:t>
      </w:r>
      <w:r>
        <w:rPr>
          <w:rFonts w:hint="eastAsia" w:ascii="仿宋_GB2312" w:hAnsi="仿宋_GB2312" w:eastAsia="仿宋_GB2312" w:cs="仿宋_GB2312"/>
          <w:bCs/>
          <w:sz w:val="44"/>
          <w:szCs w:val="44"/>
        </w:rPr>
        <w:t>支出绩效自评报告</w:t>
      </w:r>
    </w:p>
    <w:p>
      <w:pPr>
        <w:jc w:val="center"/>
        <w:rPr>
          <w:rFonts w:hint="eastAsia" w:ascii="仿宋_GB2312" w:hAnsi="仿宋_GB2312" w:eastAsia="仿宋_GB2312" w:cs="仿宋_GB2312"/>
          <w:bCs/>
          <w:sz w:val="44"/>
          <w:szCs w:val="44"/>
        </w:rPr>
      </w:pPr>
      <w:r>
        <w:rPr>
          <w:rFonts w:hint="eastAsia" w:ascii="仿宋_GB2312" w:hAnsi="仿宋_GB2312" w:eastAsia="仿宋_GB2312" w:cs="仿宋_GB2312"/>
          <w:bCs/>
          <w:sz w:val="44"/>
          <w:szCs w:val="44"/>
        </w:rPr>
        <w:t>（ 20</w:t>
      </w:r>
      <w:r>
        <w:rPr>
          <w:rFonts w:hint="eastAsia" w:ascii="仿宋_GB2312" w:hAnsi="仿宋_GB2312" w:eastAsia="仿宋_GB2312" w:cs="仿宋_GB2312"/>
          <w:bCs/>
          <w:sz w:val="44"/>
          <w:szCs w:val="44"/>
          <w:lang w:val="en-US" w:eastAsia="zh-CN"/>
        </w:rPr>
        <w:t>21</w:t>
      </w:r>
      <w:r>
        <w:rPr>
          <w:rFonts w:hint="eastAsia" w:ascii="仿宋_GB2312" w:hAnsi="仿宋_GB2312" w:eastAsia="仿宋_GB2312" w:cs="仿宋_GB2312"/>
          <w:bCs/>
          <w:sz w:val="44"/>
          <w:szCs w:val="44"/>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left"/>
        <w:rPr>
          <w:rFonts w:hint="default" w:ascii="仿宋_GB2312" w:hAnsi="仿宋_GB2312" w:eastAsia="仿宋_GB2312" w:cs="仿宋_GB2312"/>
          <w:b w:val="0"/>
          <w:bCs w:val="0"/>
          <w:sz w:val="28"/>
          <w:szCs w:val="28"/>
          <w:u w:val="single"/>
          <w:lang w:val="en-US" w:eastAsia="zh-CN"/>
        </w:rPr>
      </w:pP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val="0"/>
          <w:bCs w:val="0"/>
          <w:sz w:val="28"/>
          <w:szCs w:val="28"/>
          <w:lang w:val="en-US" w:eastAsia="zh-CN"/>
        </w:rPr>
        <w:t>部门名称：</w:t>
      </w:r>
      <w:r>
        <w:rPr>
          <w:rFonts w:hint="eastAsia" w:ascii="仿宋_GB2312" w:hAnsi="仿宋_GB2312" w:eastAsia="仿宋_GB2312" w:cs="仿宋_GB2312"/>
          <w:b w:val="0"/>
          <w:bCs w:val="0"/>
          <w:sz w:val="28"/>
          <w:szCs w:val="28"/>
          <w:u w:val="single"/>
          <w:lang w:val="en-US" w:eastAsia="zh-CN"/>
        </w:rPr>
        <w:t xml:space="preserve">办公室                    </w:t>
      </w:r>
    </w:p>
    <w:p>
      <w:pPr>
        <w:adjustRightInd w:val="0"/>
        <w:snapToGrid w:val="0"/>
        <w:spacing w:line="360" w:lineRule="auto"/>
        <w:ind w:left="1260" w:leftChars="600"/>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mc:AlternateContent>
          <mc:Choice Requires="wps">
            <w:drawing>
              <wp:anchor distT="0" distB="0" distL="114300" distR="114300" simplePos="0" relativeHeight="1024"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2" name="自选图形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 o:spid="_x0000_s1026" o:spt="32" type="#_x0000_t32" style="position:absolute;left:0pt;margin-left:135pt;margin-top:17.45pt;height:0pt;width:196.5pt;z-index:1024;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8YRdg1wAAAAkBAAAPAAAAAAAA&#10;AAEAIAAAACIAAABkcnMvZG93bnJldi54bWxQSwECFAAUAAAACACHTuJAoz6A/toBAACVAwAADgAA&#10;AAAAAAABACAAAAAmAQAAZHJzL2Uyb0RvYy54bWxQSwUGAAAAAAYABgBZAQAAcgUAAAAA&#10;">
                <v:fill on="f" focussize="0,0"/>
                <v:stroke color="#000000" joinstyle="round"/>
                <v:imagedata o:title=""/>
                <o:lock v:ext="edit" aspectratio="f"/>
              </v:shape>
            </w:pict>
          </mc:Fallback>
        </mc:AlternateContent>
      </w:r>
      <w:r>
        <w:rPr>
          <w:rFonts w:hint="eastAsia" w:ascii="仿宋_GB2312" w:hAnsi="仿宋_GB2312" w:eastAsia="仿宋_GB2312" w:cs="仿宋_GB2312"/>
          <w:b w:val="0"/>
          <w:bCs w:val="0"/>
          <w:sz w:val="28"/>
          <w:szCs w:val="28"/>
        </w:rPr>
        <w:t>项目单位：</w:t>
      </w:r>
      <w:r>
        <w:rPr>
          <w:rFonts w:hint="eastAsia" w:ascii="仿宋_GB2312" w:hAnsi="仿宋_GB2312" w:eastAsia="仿宋_GB2312" w:cs="仿宋_GB2312"/>
          <w:b w:val="0"/>
          <w:bCs w:val="0"/>
          <w:sz w:val="28"/>
          <w:szCs w:val="28"/>
          <w:lang w:eastAsia="zh-CN"/>
        </w:rPr>
        <w:t>昆明市</w:t>
      </w:r>
      <w:r>
        <w:rPr>
          <w:rFonts w:hint="eastAsia" w:ascii="仿宋_GB2312" w:hAnsi="仿宋_GB2312" w:eastAsia="仿宋_GB2312" w:cs="仿宋_GB2312"/>
          <w:b w:val="0"/>
          <w:bCs w:val="0"/>
          <w:sz w:val="28"/>
          <w:szCs w:val="28"/>
        </w:rPr>
        <w:t>盘龙区市场监督管理局</w:t>
      </w:r>
    </w:p>
    <w:p>
      <w:pPr>
        <w:adjustRightInd w:val="0"/>
        <w:snapToGrid w:val="0"/>
        <w:spacing w:line="360" w:lineRule="auto"/>
        <w:ind w:left="1260" w:leftChars="600"/>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mc:AlternateContent>
          <mc:Choice Requires="wps">
            <w:drawing>
              <wp:anchor distT="0" distB="0" distL="114300" distR="114300" simplePos="0" relativeHeight="1024"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自选图形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 o:spid="_x0000_s1026" o:spt="32" type="#_x0000_t32" style="position:absolute;left:0pt;margin-left:135pt;margin-top:14.25pt;height:0pt;width:196.5pt;z-index:1024;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0IL+71wAAAAkBAAAPAAAAAAAA&#10;AAEAIAAAACIAAABkcnMvZG93bnJldi54bWxQSwECFAAUAAAACACHTuJA8XuJbtoBAACVAwAADgAA&#10;AAAAAAABACAAAAAmAQAAZHJzL2Uyb0RvYy54bWxQSwUGAAAAAAYABgBZAQAAcgUAAAAA&#10;">
                <v:fill on="f" focussize="0,0"/>
                <v:stroke color="#000000" joinstyle="round"/>
                <v:imagedata o:title=""/>
                <o:lock v:ext="edit" aspectratio="f"/>
              </v:shape>
            </w:pict>
          </mc:Fallback>
        </mc:AlternateContent>
      </w:r>
      <w:r>
        <w:rPr>
          <w:rFonts w:hint="eastAsia" w:ascii="仿宋_GB2312" w:hAnsi="仿宋_GB2312" w:eastAsia="仿宋_GB2312" w:cs="仿宋_GB2312"/>
          <w:b w:val="0"/>
          <w:bCs w:val="0"/>
          <w:sz w:val="28"/>
          <w:szCs w:val="28"/>
        </w:rPr>
        <w:t>主管部门：</w:t>
      </w:r>
      <w:r>
        <w:rPr>
          <w:rFonts w:hint="eastAsia" w:ascii="仿宋_GB2312" w:hAnsi="仿宋_GB2312" w:eastAsia="仿宋_GB2312" w:cs="仿宋_GB2312"/>
          <w:b w:val="0"/>
          <w:bCs w:val="0"/>
          <w:sz w:val="28"/>
          <w:szCs w:val="28"/>
          <w:lang w:eastAsia="zh-CN"/>
        </w:rPr>
        <w:t>昆明市</w:t>
      </w:r>
      <w:r>
        <w:rPr>
          <w:rFonts w:hint="eastAsia" w:ascii="仿宋_GB2312" w:hAnsi="仿宋_GB2312" w:eastAsia="仿宋_GB2312" w:cs="仿宋_GB2312"/>
          <w:b w:val="0"/>
          <w:bCs w:val="0"/>
          <w:sz w:val="28"/>
          <w:szCs w:val="28"/>
        </w:rPr>
        <w:t>盘龙区市场监督管理局</w:t>
      </w:r>
    </w:p>
    <w:p>
      <w:pPr>
        <w:adjustRightInd w:val="0"/>
        <w:snapToGrid w:val="0"/>
        <w:spacing w:line="360" w:lineRule="auto"/>
        <w:ind w:left="1260" w:leftChars="600"/>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mc:AlternateContent>
          <mc:Choice Requires="wps">
            <w:drawing>
              <wp:anchor distT="0" distB="0" distL="114300" distR="114300" simplePos="0" relativeHeight="1024"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自选图形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5" o:spid="_x0000_s1026" o:spt="32" type="#_x0000_t32" style="position:absolute;left:0pt;margin-left:135pt;margin-top:14.25pt;height:0pt;width:196.5pt;z-index:1024;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0IL+71wAAAAkBAAAPAAAAAAAA&#10;AAEAIAAAACIAAABkcnMvZG93bnJldi54bWxQSwECFAAUAAAACACHTuJAreP2WdoBAACVAwAADgAA&#10;AAAAAAABACAAAAAmAQAAZHJzL2Uyb0RvYy54bWxQSwUGAAAAAAYABgBZAQAAcgUAAAAA&#10;">
                <v:fill on="f" focussize="0,0"/>
                <v:stroke color="#000000" joinstyle="round"/>
                <v:imagedata o:title=""/>
                <o:lock v:ext="edit" aspectratio="f"/>
              </v:shape>
            </w:pict>
          </mc:Fallback>
        </mc:AlternateContent>
      </w:r>
      <w:r>
        <w:rPr>
          <w:rFonts w:hint="eastAsia" w:ascii="仿宋_GB2312" w:hAnsi="仿宋_GB2312" w:eastAsia="仿宋_GB2312" w:cs="仿宋_GB2312"/>
          <w:b w:val="0"/>
          <w:bCs w:val="0"/>
          <w:sz w:val="28"/>
          <w:szCs w:val="28"/>
        </w:rPr>
        <w:t>项目名称： 智慧市场监管系统服务经费</w:t>
      </w:r>
    </w:p>
    <w:p>
      <w:pPr>
        <w:adjustRightInd w:val="0"/>
        <w:snapToGrid w:val="0"/>
        <w:spacing w:line="360" w:lineRule="auto"/>
        <w:ind w:left="1260" w:leftChars="600"/>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mc:AlternateContent>
          <mc:Choice Requires="wps">
            <w:drawing>
              <wp:anchor distT="0" distB="0" distL="114300" distR="114300" simplePos="0" relativeHeight="1024"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自选图形 6"/>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6" o:spid="_x0000_s1026" o:spt="32" type="#_x0000_t32" style="position:absolute;left:0pt;margin-left:135pt;margin-top:14.25pt;height:0pt;width:196.5pt;z-index:1024;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0IL+71wAAAAkBAAAPAAAAAAAA&#10;AAEAIAAAACIAAABkcnMvZG93bnJldi54bWxQSwECFAAUAAAACACHTuJAIE3wZdoBAACVAwAADgAA&#10;AAAAAAABACAAAAAmAQAAZHJzL2Uyb0RvYy54bWxQSwUGAAAAAAYABgBZAQAAcgUAAAAA&#10;">
                <v:fill on="f" focussize="0,0"/>
                <v:stroke color="#000000" joinstyle="round"/>
                <v:imagedata o:title=""/>
                <o:lock v:ext="edit" aspectratio="f"/>
              </v:shape>
            </w:pict>
          </mc:Fallback>
        </mc:AlternateContent>
      </w:r>
      <w:r>
        <w:rPr>
          <w:rFonts w:hint="eastAsia" w:ascii="仿宋_GB2312" w:hAnsi="仿宋_GB2312" w:eastAsia="仿宋_GB2312" w:cs="仿宋_GB2312"/>
          <w:b w:val="0"/>
          <w:bCs w:val="0"/>
          <w:sz w:val="28"/>
          <w:szCs w:val="28"/>
        </w:rPr>
        <w:t>绩效自评日期： 202</w:t>
      </w:r>
      <w:r>
        <w:rPr>
          <w:rFonts w:hint="eastAsia" w:ascii="仿宋_GB2312" w:hAnsi="仿宋_GB2312" w:eastAsia="仿宋_GB2312" w:cs="仿宋_GB2312"/>
          <w:b w:val="0"/>
          <w:bCs w:val="0"/>
          <w:sz w:val="28"/>
          <w:szCs w:val="28"/>
          <w:lang w:val="en-US" w:eastAsia="zh-CN"/>
        </w:rPr>
        <w:t>2</w:t>
      </w:r>
      <w:r>
        <w:rPr>
          <w:rFonts w:hint="eastAsia" w:ascii="仿宋_GB2312" w:hAnsi="仿宋_GB2312" w:eastAsia="仿宋_GB2312" w:cs="仿宋_GB2312"/>
          <w:b w:val="0"/>
          <w:bCs w:val="0"/>
          <w:sz w:val="28"/>
          <w:szCs w:val="28"/>
        </w:rPr>
        <w:t>年</w:t>
      </w:r>
      <w:r>
        <w:rPr>
          <w:rFonts w:hint="eastAsia" w:ascii="仿宋_GB2312" w:hAnsi="仿宋_GB2312" w:eastAsia="仿宋_GB2312" w:cs="仿宋_GB2312"/>
          <w:b w:val="0"/>
          <w:bCs w:val="0"/>
          <w:sz w:val="28"/>
          <w:szCs w:val="28"/>
          <w:lang w:val="en-US" w:eastAsia="zh-CN"/>
        </w:rPr>
        <w:t>4</w:t>
      </w:r>
      <w:r>
        <w:rPr>
          <w:rFonts w:hint="eastAsia" w:ascii="仿宋_GB2312" w:hAnsi="仿宋_GB2312" w:eastAsia="仿宋_GB2312" w:cs="仿宋_GB2312"/>
          <w:b w:val="0"/>
          <w:bCs w:val="0"/>
          <w:sz w:val="28"/>
          <w:szCs w:val="28"/>
        </w:rPr>
        <w:t>月</w:t>
      </w:r>
    </w:p>
    <w:p>
      <w:pPr>
        <w:spacing w:line="360" w:lineRule="auto"/>
        <w:ind w:left="1218" w:leftChars="580"/>
        <w:rPr>
          <w:rFonts w:hint="eastAsia" w:ascii="仿宋_GB2312" w:hAnsi="仿宋_GB2312" w:eastAsia="仿宋_GB2312" w:cs="仿宋_GB2312"/>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pStyle w:val="12"/>
        <w:widowControl w:val="0"/>
        <w:spacing w:after="0" w:line="360" w:lineRule="auto"/>
        <w:jc w:val="both"/>
        <w:rPr>
          <w:rFonts w:ascii="Times New Roman" w:hAnsi="Times New Roman" w:cs="Times New Roman"/>
          <w:color w:val="auto"/>
          <w:kern w:val="2"/>
          <w:sz w:val="24"/>
          <w:szCs w:val="24"/>
          <w:lang w:val="zh-TW"/>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line="580" w:lineRule="exact"/>
        <w:ind w:firstLine="4620" w:firstLineChars="2200"/>
        <w:jc w:val="both"/>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目录</w:t>
      </w:r>
    </w:p>
    <w:p>
      <w:pPr>
        <w:spacing w:line="580" w:lineRule="exact"/>
        <w:jc w:val="center"/>
        <w:rPr>
          <w:rFonts w:hint="eastAsia" w:ascii="仿宋_GB2312" w:hAnsi="仿宋_GB2312" w:eastAsia="仿宋_GB2312" w:cs="仿宋_GB2312"/>
          <w:bCs/>
          <w:sz w:val="21"/>
          <w:szCs w:val="21"/>
        </w:rPr>
      </w:pPr>
    </w:p>
    <w:p>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摘要</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 项目基本情况</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580" w:lineRule="exact"/>
        <w:ind w:firstLine="420" w:firstLineChars="20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（一）项目</w:t>
      </w:r>
      <w:r>
        <w:rPr>
          <w:rFonts w:hint="eastAsia" w:ascii="仿宋_GB2312" w:hAnsi="仿宋_GB2312" w:eastAsia="仿宋_GB2312" w:cs="仿宋_GB2312"/>
          <w:sz w:val="21"/>
          <w:szCs w:val="21"/>
          <w:lang w:eastAsia="zh-CN"/>
        </w:rPr>
        <w:t>概况</w:t>
      </w:r>
    </w:p>
    <w:p>
      <w:pPr>
        <w:spacing w:line="580" w:lineRule="exact"/>
        <w:ind w:firstLine="420" w:firstLineChars="20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（二）</w:t>
      </w:r>
      <w:r>
        <w:rPr>
          <w:rFonts w:hint="eastAsia" w:ascii="仿宋_GB2312" w:hAnsi="仿宋_GB2312" w:eastAsia="仿宋_GB2312" w:cs="仿宋_GB2312"/>
          <w:sz w:val="21"/>
          <w:szCs w:val="21"/>
          <w:lang w:eastAsia="zh-CN"/>
        </w:rPr>
        <w:t>绩效目标</w:t>
      </w:r>
    </w:p>
    <w:p>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二、绩效评价工作情况</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580" w:lineRule="exact"/>
        <w:ind w:firstLine="420" w:firstLineChars="20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(一)</w:t>
      </w:r>
      <w:r>
        <w:rPr>
          <w:rFonts w:hint="eastAsia" w:ascii="仿宋_GB2312" w:hAnsi="仿宋_GB2312" w:eastAsia="仿宋_GB2312" w:cs="仿宋_GB2312"/>
          <w:sz w:val="21"/>
          <w:szCs w:val="21"/>
          <w:lang w:eastAsia="zh-CN"/>
        </w:rPr>
        <w:t>绩效评价目的</w:t>
      </w:r>
    </w:p>
    <w:p>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(二)绩效评价工作方案制定过程</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(三)绩效评价原则、评价方法等</w:t>
      </w:r>
      <w:r>
        <w:rPr>
          <w:rFonts w:hint="eastAsia" w:ascii="仿宋_GB2312" w:hAnsi="仿宋_GB2312" w:eastAsia="仿宋_GB2312" w:cs="仿宋_GB2312"/>
          <w:sz w:val="21"/>
          <w:szCs w:val="21"/>
        </w:rPr>
        <w:tab/>
      </w:r>
    </w:p>
    <w:p>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(四)绩效评价实施过程</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三、评价结论及绩效分析 </w:t>
      </w:r>
    </w:p>
    <w:p>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(一)评价结论</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(二)绩效分析</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580" w:lineRule="exact"/>
        <w:ind w:firstLine="420" w:firstLineChars="20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四、</w:t>
      </w:r>
      <w:r>
        <w:rPr>
          <w:rFonts w:hint="eastAsia" w:ascii="仿宋_GB2312" w:hAnsi="仿宋_GB2312" w:eastAsia="仿宋_GB2312" w:cs="仿宋_GB2312"/>
          <w:sz w:val="21"/>
          <w:szCs w:val="21"/>
          <w:lang w:eastAsia="zh-CN"/>
        </w:rPr>
        <w:t>成本效益分析</w:t>
      </w:r>
    </w:p>
    <w:p>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五、</w:t>
      </w:r>
      <w:r>
        <w:rPr>
          <w:rFonts w:hint="eastAsia" w:ascii="仿宋_GB2312" w:hAnsi="仿宋_GB2312" w:eastAsia="仿宋_GB2312" w:cs="仿宋_GB2312"/>
          <w:sz w:val="21"/>
          <w:szCs w:val="21"/>
        </w:rPr>
        <w:t xml:space="preserve">项目主要经验及做法、存在的问题和建议 </w:t>
      </w:r>
    </w:p>
    <w:p>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(一)主要经验及做法</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(二)存在的问题</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(三)建议和改进措施 </w:t>
      </w:r>
    </w:p>
    <w:p>
      <w:pPr>
        <w:autoSpaceDE w:val="0"/>
        <w:autoSpaceDN w:val="0"/>
        <w:adjustRightInd w:val="0"/>
        <w:jc w:val="left"/>
        <w:rPr>
          <w:rFonts w:ascii="黑体" w:hAnsi="Arial" w:eastAsia="黑体" w:cs="黑体"/>
          <w:kern w:val="0"/>
          <w:sz w:val="32"/>
          <w:szCs w:val="32"/>
        </w:rPr>
      </w:pPr>
    </w:p>
    <w:p>
      <w:pPr>
        <w:ind w:firstLine="880" w:firstLineChars="200"/>
        <w:jc w:val="center"/>
        <w:rPr>
          <w:rFonts w:hint="eastAsia" w:ascii="方正小标宋简体" w:hAnsi="黑体" w:eastAsia="方正小标宋简体" w:cs="黑体"/>
          <w:bCs/>
          <w:sz w:val="44"/>
          <w:szCs w:val="44"/>
        </w:rPr>
      </w:pPr>
    </w:p>
    <w:p>
      <w:pPr>
        <w:ind w:firstLine="880" w:firstLineChars="200"/>
        <w:jc w:val="center"/>
        <w:rPr>
          <w:rFonts w:hint="eastAsia" w:ascii="方正小标宋简体" w:hAnsi="黑体" w:eastAsia="方正小标宋简体" w:cs="黑体"/>
          <w:bCs/>
          <w:sz w:val="44"/>
          <w:szCs w:val="44"/>
        </w:rPr>
      </w:pPr>
    </w:p>
    <w:tbl>
      <w:tblPr>
        <w:tblStyle w:val="6"/>
        <w:tblW w:w="9089" w:type="dxa"/>
        <w:jc w:val="center"/>
        <w:tblInd w:w="0" w:type="dxa"/>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9089"/>
      </w:tblGrid>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color="auto" w:fill="FFFFFF"/>
          <w:tblLayout w:type="fixed"/>
          <w:tblCellMar>
            <w:top w:w="0" w:type="dxa"/>
            <w:left w:w="0" w:type="dxa"/>
            <w:bottom w:w="0" w:type="dxa"/>
            <w:right w:w="0" w:type="dxa"/>
          </w:tblCellMar>
        </w:tblPrEx>
        <w:trPr>
          <w:jc w:val="center"/>
        </w:trPr>
        <w:tc>
          <w:tcPr>
            <w:tcW w:w="9089" w:type="dxa"/>
            <w:tcBorders>
              <w:top w:val="single" w:color="FFFFFF" w:sz="2" w:space="0"/>
              <w:left w:val="single" w:color="FFFFFF" w:sz="2" w:space="0"/>
              <w:bottom w:val="single" w:color="FFFFFF" w:sz="2" w:space="0"/>
              <w:right w:val="single" w:color="FFFFFF" w:sz="2" w:space="0"/>
            </w:tcBorders>
            <w:shd w:val="clear" w:color="auto" w:fill="FFFFFF"/>
            <w:noWrap w:val="0"/>
            <w:vAlign w:val="top"/>
          </w:tcPr>
          <w:p>
            <w:pPr>
              <w:jc w:val="left"/>
              <w:rPr>
                <w:spacing w:val="0"/>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tblLayout w:type="fixed"/>
          <w:tblCellMar>
            <w:top w:w="0" w:type="dxa"/>
            <w:left w:w="0" w:type="dxa"/>
            <w:bottom w:w="0" w:type="dxa"/>
            <w:right w:w="0" w:type="dxa"/>
          </w:tblCellMar>
        </w:tblPrEx>
        <w:trPr>
          <w:trHeight w:val="788" w:hRule="atLeast"/>
          <w:jc w:val="center"/>
        </w:trPr>
        <w:tc>
          <w:tcPr>
            <w:tcW w:w="9089" w:type="dxa"/>
            <w:tcBorders>
              <w:top w:val="single" w:color="FFFFFF" w:sz="2" w:space="0"/>
              <w:left w:val="single" w:color="FFFFFF" w:sz="2" w:space="0"/>
              <w:bottom w:val="single" w:color="FFFFFF" w:sz="2" w:space="0"/>
              <w:right w:val="single" w:color="FFFFFF" w:sz="2" w:space="0"/>
            </w:tcBorders>
            <w:shd w:val="clear" w:color="auto" w:fill="FFFFFF"/>
            <w:noWrap w:val="0"/>
            <w:vAlign w:val="top"/>
          </w:tcPr>
          <w:p>
            <w:pPr>
              <w:keepNext w:val="0"/>
              <w:keepLines w:val="0"/>
              <w:widowControl/>
              <w:suppressLineNumbers w:val="0"/>
              <w:spacing w:before="0" w:beforeAutospacing="0" w:after="0" w:afterAutospacing="0" w:line="394" w:lineRule="atLeast"/>
              <w:ind w:left="0" w:right="0"/>
              <w:jc w:val="left"/>
              <w:textAlignment w:val="top"/>
              <w:rPr>
                <w:rFonts w:hint="eastAsia" w:ascii="仿宋" w:hAnsi="仿宋" w:eastAsia="仿宋" w:cs="仿宋"/>
                <w:kern w:val="0"/>
                <w:sz w:val="28"/>
                <w:szCs w:val="28"/>
                <w:lang w:val="en-US" w:eastAsia="zh-CN" w:bidi="ar"/>
              </w:rPr>
            </w:pPr>
          </w:p>
          <w:p>
            <w:pPr>
              <w:keepNext w:val="0"/>
              <w:keepLines w:val="0"/>
              <w:widowControl/>
              <w:suppressLineNumbers w:val="0"/>
              <w:spacing w:before="0" w:beforeAutospacing="0" w:after="0" w:afterAutospacing="0" w:line="394" w:lineRule="atLeast"/>
              <w:ind w:left="0" w:right="0"/>
              <w:jc w:val="center"/>
              <w:textAlignment w:val="top"/>
              <w:rPr>
                <w:rFonts w:hint="eastAsia" w:ascii="仿宋" w:hAnsi="仿宋" w:eastAsia="仿宋" w:cs="仿宋"/>
                <w:sz w:val="32"/>
                <w:szCs w:val="32"/>
              </w:rPr>
            </w:pPr>
            <w:r>
              <w:rPr>
                <w:rFonts w:hint="eastAsia" w:ascii="方正小标宋简体" w:hAnsi="方正小标宋简体" w:eastAsia="方正小标宋简体" w:cs="方正小标宋简体"/>
                <w:kern w:val="0"/>
                <w:sz w:val="44"/>
                <w:szCs w:val="44"/>
                <w:lang w:val="en-US" w:eastAsia="zh-CN" w:bidi="ar"/>
              </w:rPr>
              <w:t>智慧市场监管系统服务经费绩效自评报告</w:t>
            </w:r>
          </w:p>
        </w:tc>
      </w:tr>
    </w:tbl>
    <w:p>
      <w:pPr>
        <w:ind w:firstLine="480" w:firstLineChars="200"/>
        <w:jc w:val="center"/>
        <w:rPr>
          <w:rFonts w:ascii="方正小标宋简体" w:hAnsi="黑体" w:eastAsia="方正小标宋简体"/>
          <w:sz w:val="24"/>
          <w:szCs w:val="24"/>
        </w:rPr>
      </w:pPr>
      <w:r>
        <w:rPr>
          <w:rFonts w:hint="eastAsia" w:ascii="楷体" w:hAnsi="楷体" w:eastAsia="楷体" w:cs="楷体"/>
          <w:sz w:val="24"/>
          <w:szCs w:val="24"/>
        </w:rPr>
        <w:t>摘要</w:t>
      </w:r>
    </w:p>
    <w:p>
      <w:pPr>
        <w:topLinePunct/>
        <w:ind w:firstLine="800" w:firstLineChars="250"/>
        <w:rPr>
          <w:rFonts w:hint="eastAsia" w:ascii="黑体" w:eastAsia="黑体"/>
          <w:sz w:val="32"/>
          <w:szCs w:val="32"/>
        </w:rPr>
      </w:pPr>
    </w:p>
    <w:p>
      <w:pPr>
        <w:topLinePunct/>
        <w:ind w:firstLine="800" w:firstLineChars="250"/>
        <w:rPr>
          <w:rFonts w:ascii="黑体" w:eastAsia="黑体"/>
          <w:sz w:val="32"/>
          <w:szCs w:val="32"/>
        </w:rPr>
      </w:pPr>
      <w:r>
        <w:rPr>
          <w:rFonts w:hint="eastAsia" w:ascii="黑体" w:eastAsia="黑体"/>
          <w:sz w:val="32"/>
          <w:szCs w:val="32"/>
        </w:rPr>
        <w:t>一、项目概况</w:t>
      </w:r>
    </w:p>
    <w:p>
      <w:pPr>
        <w:ind w:firstLine="640" w:firstLineChars="200"/>
        <w:rPr>
          <w:rFonts w:ascii="楷体_GB2312" w:eastAsia="楷体_GB2312"/>
          <w:sz w:val="32"/>
          <w:szCs w:val="32"/>
        </w:rPr>
      </w:pPr>
      <w:r>
        <w:rPr>
          <w:rFonts w:hint="eastAsia" w:ascii="楷体_GB2312" w:eastAsia="楷体_GB2312"/>
          <w:sz w:val="32"/>
          <w:szCs w:val="32"/>
        </w:rPr>
        <w:t>（一）项目立项背景及目的</w:t>
      </w:r>
    </w:p>
    <w:p>
      <w:pPr>
        <w:ind w:firstLine="640" w:firstLineChars="200"/>
        <w:jc w:val="left"/>
        <w:rPr>
          <w:rFonts w:hint="eastAsia" w:ascii="仿宋_GB2312" w:eastAsia="仿宋_GB2312"/>
          <w:sz w:val="32"/>
          <w:szCs w:val="32"/>
        </w:rPr>
      </w:pPr>
      <w:r>
        <w:rPr>
          <w:rFonts w:hint="eastAsia" w:ascii="仿宋_GB2312" w:eastAsia="仿宋_GB2312"/>
          <w:sz w:val="32"/>
          <w:szCs w:val="32"/>
        </w:rPr>
        <w:t>随着“三局合一”体制调整，食品药品、特种设备下放基层监管，市场管理模式和工作机制已随之发生了变化，实际工作已出现一些新情况、新形势，如基层监管人员承担的职责杂多，平均每人监管500个以上主体经营单位；工作人员年龄老化，对工作质量的保障度偏低；食药监管存在专业类人才缺乏</w:t>
      </w:r>
      <w:r>
        <w:rPr>
          <w:rFonts w:hint="eastAsia" w:ascii="仿宋_GB2312" w:eastAsia="仿宋_GB2312"/>
          <w:sz w:val="32"/>
          <w:szCs w:val="32"/>
          <w:lang w:eastAsia="zh-CN"/>
        </w:rPr>
        <w:t>、</w:t>
      </w:r>
      <w:r>
        <w:rPr>
          <w:rFonts w:hint="eastAsia" w:ascii="仿宋_GB2312" w:eastAsia="仿宋_GB2312"/>
          <w:sz w:val="32"/>
          <w:szCs w:val="32"/>
        </w:rPr>
        <w:t>监管手段落后的窘景，无法实现和满足现阶段安全风险防控的需要。</w:t>
      </w:r>
    </w:p>
    <w:p>
      <w:pPr>
        <w:ind w:firstLine="640" w:firstLineChars="200"/>
        <w:jc w:val="left"/>
        <w:rPr>
          <w:rFonts w:hint="eastAsia" w:ascii="仿宋_GB2312" w:eastAsia="仿宋_GB2312"/>
          <w:sz w:val="32"/>
          <w:szCs w:val="32"/>
        </w:rPr>
      </w:pPr>
      <w:r>
        <w:rPr>
          <w:rFonts w:hint="eastAsia" w:ascii="仿宋_GB2312" w:eastAsia="仿宋_GB2312"/>
          <w:sz w:val="32"/>
          <w:szCs w:val="32"/>
        </w:rPr>
        <w:t>从长远来看，随着互联网普及应用不断提高，运用互联网、大数据提升政府服务和监管能力正成为趋势。坚持创新驱动发展，深化信息应用，已成为稳增长、促改革、调结构、惠民生和推动政府治理能力现代化的内在需要和必然选择。智慧监管应用顺应互联网+政务的发展趋势，通过项目应用实现监督管理移动化、业务办理电子化、长效监管智能化。</w:t>
      </w:r>
    </w:p>
    <w:p>
      <w:pPr>
        <w:ind w:firstLine="640" w:firstLineChars="200"/>
        <w:jc w:val="left"/>
        <w:rPr>
          <w:rFonts w:hint="eastAsia" w:ascii="仿宋_GB2312" w:eastAsia="仿宋_GB2312"/>
          <w:sz w:val="32"/>
          <w:szCs w:val="32"/>
        </w:rPr>
      </w:pPr>
      <w:r>
        <w:rPr>
          <w:rFonts w:hint="eastAsia" w:ascii="仿宋_GB2312" w:eastAsia="仿宋_GB2312"/>
          <w:sz w:val="32"/>
          <w:szCs w:val="32"/>
        </w:rPr>
        <w:t>鉴于以上原因，盘龙区市场监督管理局拟建设全区统一管理的数据交互平台，将现有监督管理执法工作和互联网理念相结合，对涉及到老百姓健康、安全、民生的业务进行数据化监督管理，采用移动互联网技术实现现场执法、群众监督、安全源头可查、问题可控、全程监控的目标。</w:t>
      </w:r>
    </w:p>
    <w:p>
      <w:pPr>
        <w:ind w:firstLine="640" w:firstLineChars="200"/>
        <w:rPr>
          <w:rFonts w:ascii="楷体_GB2312" w:eastAsia="楷体_GB2312"/>
          <w:sz w:val="32"/>
          <w:szCs w:val="32"/>
        </w:rPr>
      </w:pPr>
      <w:r>
        <w:rPr>
          <w:rFonts w:hint="eastAsia" w:ascii="楷体_GB2312" w:eastAsia="楷体_GB2312"/>
          <w:sz w:val="32"/>
          <w:szCs w:val="32"/>
        </w:rPr>
        <w:t>（二）预算收支情况</w:t>
      </w:r>
    </w:p>
    <w:p>
      <w:pPr>
        <w:spacing w:line="360" w:lineRule="auto"/>
        <w:ind w:firstLine="627" w:firstLineChars="196"/>
        <w:rPr>
          <w:rFonts w:hint="eastAsia" w:ascii="仿宋_GB2312" w:eastAsia="仿宋_GB2312"/>
          <w:sz w:val="32"/>
          <w:szCs w:val="32"/>
          <w:lang w:eastAsia="zh-CN"/>
        </w:rPr>
      </w:pPr>
      <w:r>
        <w:rPr>
          <w:rFonts w:ascii="仿宋_GB2312" w:eastAsia="仿宋_GB2312"/>
          <w:sz w:val="32"/>
          <w:szCs w:val="32"/>
        </w:rPr>
        <w:t>20</w:t>
      </w:r>
      <w:r>
        <w:rPr>
          <w:rFonts w:hint="eastAsia" w:ascii="仿宋_GB2312" w:eastAsia="仿宋_GB2312"/>
          <w:sz w:val="32"/>
          <w:szCs w:val="32"/>
          <w:lang w:val="en-US" w:eastAsia="zh-CN"/>
        </w:rPr>
        <w:t>21</w:t>
      </w:r>
      <w:r>
        <w:rPr>
          <w:rFonts w:hint="eastAsia" w:ascii="仿宋_GB2312" w:eastAsia="仿宋_GB2312"/>
          <w:sz w:val="32"/>
          <w:szCs w:val="32"/>
        </w:rPr>
        <w:t>收到财政拨付“智慧市场监管项目资金”共计</w:t>
      </w:r>
      <w:r>
        <w:rPr>
          <w:rFonts w:hint="eastAsia" w:ascii="仿宋_GB2312" w:eastAsia="仿宋_GB2312"/>
          <w:sz w:val="32"/>
          <w:szCs w:val="32"/>
          <w:lang w:val="en-US" w:eastAsia="zh-CN"/>
        </w:rPr>
        <w:t>148.9</w:t>
      </w:r>
      <w:r>
        <w:rPr>
          <w:rFonts w:hint="eastAsia" w:ascii="仿宋_GB2312" w:eastAsia="仿宋_GB2312"/>
          <w:sz w:val="32"/>
          <w:szCs w:val="32"/>
        </w:rPr>
        <w:t>万元，年终决算收入</w:t>
      </w:r>
      <w:r>
        <w:rPr>
          <w:rFonts w:hint="eastAsia" w:ascii="仿宋_GB2312" w:eastAsia="仿宋_GB2312"/>
          <w:sz w:val="32"/>
          <w:szCs w:val="32"/>
          <w:lang w:val="en-US" w:eastAsia="zh-CN"/>
        </w:rPr>
        <w:t>148.9</w:t>
      </w:r>
      <w:r>
        <w:rPr>
          <w:rFonts w:hint="eastAsia" w:ascii="仿宋_GB2312" w:eastAsia="仿宋_GB2312"/>
          <w:sz w:val="32"/>
          <w:szCs w:val="32"/>
        </w:rPr>
        <w:t>万元，已全部使用完毕</w:t>
      </w:r>
      <w:r>
        <w:rPr>
          <w:rFonts w:hint="eastAsia" w:ascii="仿宋_GB2312" w:eastAsia="仿宋_GB2312"/>
          <w:sz w:val="32"/>
          <w:szCs w:val="32"/>
          <w:lang w:eastAsia="zh-CN"/>
        </w:rPr>
        <w:t>。</w:t>
      </w:r>
    </w:p>
    <w:p>
      <w:pPr>
        <w:topLinePunct/>
        <w:spacing w:line="360" w:lineRule="auto"/>
        <w:ind w:firstLine="640" w:firstLineChars="200"/>
        <w:rPr>
          <w:rFonts w:ascii="黑体" w:eastAsia="黑体"/>
          <w:sz w:val="32"/>
          <w:szCs w:val="32"/>
        </w:rPr>
      </w:pPr>
      <w:r>
        <w:rPr>
          <w:rFonts w:hint="eastAsia" w:ascii="黑体" w:eastAsia="黑体"/>
          <w:sz w:val="32"/>
          <w:szCs w:val="32"/>
        </w:rPr>
        <w:t>二、评价结论</w:t>
      </w:r>
    </w:p>
    <w:p>
      <w:pPr>
        <w:topLinePunct/>
        <w:adjustRightInd w:val="0"/>
        <w:snapToGrid w:val="0"/>
        <w:spacing w:line="360" w:lineRule="auto"/>
        <w:ind w:firstLine="640" w:firstLineChars="200"/>
        <w:rPr>
          <w:rFonts w:hint="eastAsia" w:ascii="仿宋_GB2312" w:eastAsia="仿宋_GB2312"/>
          <w:sz w:val="32"/>
          <w:szCs w:val="32"/>
          <w:lang w:eastAsia="zh-CN"/>
        </w:rPr>
      </w:pPr>
      <w:r>
        <w:rPr>
          <w:rFonts w:ascii="仿宋_GB2312" w:eastAsia="仿宋_GB2312"/>
          <w:sz w:val="32"/>
          <w:szCs w:val="32"/>
        </w:rPr>
        <w:t>20</w:t>
      </w:r>
      <w:r>
        <w:rPr>
          <w:rFonts w:hint="eastAsia" w:ascii="仿宋_GB2312" w:eastAsia="仿宋_GB2312"/>
          <w:sz w:val="32"/>
          <w:szCs w:val="32"/>
          <w:lang w:val="en-US" w:eastAsia="zh-CN"/>
        </w:rPr>
        <w:t>21</w:t>
      </w:r>
      <w:r>
        <w:rPr>
          <w:rFonts w:hint="eastAsia" w:ascii="仿宋_GB2312" w:eastAsia="仿宋_GB2312"/>
          <w:sz w:val="32"/>
          <w:szCs w:val="32"/>
        </w:rPr>
        <w:t>年度，“智慧市场监管项目”经费做到了专款专用，项目支出绩效评价自评分为</w:t>
      </w:r>
      <w:r>
        <w:rPr>
          <w:rFonts w:ascii="仿宋_GB2312" w:eastAsia="仿宋_GB2312"/>
          <w:sz w:val="32"/>
          <w:szCs w:val="32"/>
        </w:rPr>
        <w:t>100</w:t>
      </w:r>
      <w:r>
        <w:rPr>
          <w:rFonts w:hint="eastAsia" w:ascii="仿宋_GB2312" w:eastAsia="仿宋_GB2312"/>
          <w:sz w:val="32"/>
          <w:szCs w:val="32"/>
        </w:rPr>
        <w:t>分，项目支出绩效评价自评结果为优，其中项目决策</w:t>
      </w:r>
      <w:r>
        <w:rPr>
          <w:rFonts w:ascii="仿宋_GB2312" w:eastAsia="仿宋_GB2312"/>
          <w:sz w:val="32"/>
          <w:szCs w:val="32"/>
        </w:rPr>
        <w:t>20</w:t>
      </w:r>
      <w:r>
        <w:rPr>
          <w:rFonts w:hint="eastAsia" w:ascii="仿宋_GB2312" w:eastAsia="仿宋_GB2312"/>
          <w:sz w:val="32"/>
          <w:szCs w:val="32"/>
        </w:rPr>
        <w:t>分、项目管理</w:t>
      </w:r>
      <w:r>
        <w:rPr>
          <w:rFonts w:ascii="仿宋_GB2312" w:eastAsia="仿宋_GB2312"/>
          <w:sz w:val="32"/>
          <w:szCs w:val="32"/>
        </w:rPr>
        <w:t>20</w:t>
      </w:r>
      <w:r>
        <w:rPr>
          <w:rFonts w:hint="eastAsia" w:ascii="仿宋_GB2312" w:eastAsia="仿宋_GB2312"/>
          <w:sz w:val="32"/>
          <w:szCs w:val="32"/>
        </w:rPr>
        <w:t>分、项目绩效</w:t>
      </w:r>
      <w:r>
        <w:rPr>
          <w:rFonts w:ascii="仿宋_GB2312" w:eastAsia="仿宋_GB2312"/>
          <w:sz w:val="32"/>
          <w:szCs w:val="32"/>
        </w:rPr>
        <w:t>60</w:t>
      </w:r>
      <w:r>
        <w:rPr>
          <w:rFonts w:hint="eastAsia" w:ascii="仿宋_GB2312" w:eastAsia="仿宋_GB2312"/>
          <w:sz w:val="32"/>
          <w:szCs w:val="32"/>
        </w:rPr>
        <w:t>分。</w:t>
      </w:r>
      <w:r>
        <w:rPr>
          <w:rFonts w:hint="eastAsia" w:ascii="仿宋_GB2312" w:eastAsia="仿宋_GB2312"/>
          <w:sz w:val="32"/>
          <w:szCs w:val="32"/>
          <w:lang w:eastAsia="zh-CN"/>
        </w:rPr>
        <w:t>评价结果为优。</w:t>
      </w:r>
    </w:p>
    <w:p>
      <w:pPr>
        <w:topLinePunct/>
        <w:spacing w:line="360" w:lineRule="auto"/>
        <w:ind w:firstLine="800" w:firstLineChars="250"/>
        <w:rPr>
          <w:rFonts w:ascii="黑体" w:eastAsia="黑体"/>
          <w:sz w:val="32"/>
          <w:szCs w:val="32"/>
        </w:rPr>
      </w:pPr>
      <w:r>
        <w:rPr>
          <w:rFonts w:hint="eastAsia" w:ascii="黑体" w:eastAsia="黑体"/>
          <w:sz w:val="32"/>
          <w:szCs w:val="32"/>
        </w:rPr>
        <w:t>三、经验、问题和建议</w:t>
      </w:r>
    </w:p>
    <w:p>
      <w:pPr>
        <w:ind w:firstLine="640" w:firstLineChars="200"/>
        <w:rPr>
          <w:rFonts w:ascii="楷体_GB2312" w:eastAsia="楷体_GB2312"/>
          <w:sz w:val="32"/>
          <w:szCs w:val="32"/>
        </w:rPr>
      </w:pPr>
      <w:r>
        <w:rPr>
          <w:rFonts w:hint="eastAsia" w:ascii="楷体_GB2312" w:eastAsia="楷体_GB2312"/>
          <w:sz w:val="32"/>
          <w:szCs w:val="32"/>
        </w:rPr>
        <w:t>（一）主要经验及做法</w:t>
      </w:r>
    </w:p>
    <w:p>
      <w:pPr>
        <w:autoSpaceDE w:val="0"/>
        <w:autoSpaceDN w:val="0"/>
        <w:adjustRightInd w:val="0"/>
        <w:ind w:firstLine="640" w:firstLineChars="200"/>
        <w:jc w:val="left"/>
        <w:rPr>
          <w:rFonts w:hint="eastAsia" w:ascii="仿宋_GB2312" w:eastAsia="仿宋_GB2312"/>
          <w:sz w:val="32"/>
          <w:szCs w:val="32"/>
        </w:rPr>
      </w:pPr>
      <w:r>
        <w:rPr>
          <w:rFonts w:hint="eastAsia" w:ascii="仿宋_GB2312" w:eastAsia="仿宋_GB2312"/>
          <w:sz w:val="32"/>
          <w:szCs w:val="32"/>
        </w:rPr>
        <w:t>“智慧市场监管系统”由视频监控及日常监管两部分组成，系统以服务+监管+互联网的新型综合监管体系为目标，紧紧围绕营商环境、现场执法、安全源头可查、问题可控、全程监控的目标，对全区市场经营主体进行实时监管。</w:t>
      </w:r>
    </w:p>
    <w:p>
      <w:pPr>
        <w:numPr>
          <w:ilvl w:val="0"/>
          <w:numId w:val="1"/>
        </w:numPr>
        <w:autoSpaceDE w:val="0"/>
        <w:autoSpaceDN w:val="0"/>
        <w:adjustRightInd w:val="0"/>
        <w:ind w:firstLine="640" w:firstLineChars="200"/>
        <w:jc w:val="left"/>
        <w:rPr>
          <w:rFonts w:hint="eastAsia" w:ascii="仿宋_GB2312" w:eastAsia="仿宋_GB2312"/>
          <w:sz w:val="32"/>
          <w:szCs w:val="32"/>
        </w:rPr>
      </w:pPr>
      <w:r>
        <w:rPr>
          <w:rFonts w:hint="eastAsia" w:ascii="仿宋_GB2312" w:eastAsia="仿宋_GB2312"/>
          <w:sz w:val="32"/>
          <w:szCs w:val="32"/>
        </w:rPr>
        <w:t>视频监控通过智能识别对农贸市场</w:t>
      </w:r>
      <w:r>
        <w:rPr>
          <w:rFonts w:hint="eastAsia" w:ascii="仿宋_GB2312" w:eastAsia="仿宋_GB2312"/>
          <w:sz w:val="32"/>
          <w:szCs w:val="32"/>
          <w:lang w:eastAsia="zh-CN"/>
        </w:rPr>
        <w:t>、供餐单位、农村客堂及机关、</w:t>
      </w:r>
      <w:r>
        <w:rPr>
          <w:rFonts w:hint="eastAsia" w:ascii="仿宋_GB2312" w:eastAsia="仿宋_GB2312"/>
          <w:sz w:val="32"/>
          <w:szCs w:val="32"/>
        </w:rPr>
        <w:t>学校、幼儿园</w:t>
      </w:r>
      <w:r>
        <w:rPr>
          <w:rFonts w:hint="eastAsia" w:ascii="仿宋_GB2312" w:eastAsia="仿宋_GB2312"/>
          <w:sz w:val="32"/>
          <w:szCs w:val="32"/>
          <w:lang w:eastAsia="zh-CN"/>
        </w:rPr>
        <w:t>等</w:t>
      </w:r>
      <w:r>
        <w:rPr>
          <w:rFonts w:hint="eastAsia" w:ascii="仿宋_GB2312" w:eastAsia="仿宋_GB2312"/>
          <w:sz w:val="32"/>
          <w:szCs w:val="32"/>
        </w:rPr>
        <w:t>食堂进行远程监管，自动识别违规行为，自动派发整改单；</w:t>
      </w:r>
    </w:p>
    <w:p>
      <w:pPr>
        <w:numPr>
          <w:ilvl w:val="0"/>
          <w:numId w:val="1"/>
        </w:numPr>
        <w:autoSpaceDE w:val="0"/>
        <w:autoSpaceDN w:val="0"/>
        <w:adjustRightInd w:val="0"/>
        <w:ind w:left="0" w:leftChars="0" w:firstLine="640" w:firstLineChars="200"/>
        <w:jc w:val="left"/>
        <w:rPr>
          <w:rFonts w:hint="eastAsia" w:ascii="仿宋_GB2312" w:eastAsia="仿宋_GB2312"/>
          <w:sz w:val="32"/>
          <w:szCs w:val="32"/>
          <w:lang w:eastAsia="zh-CN"/>
        </w:rPr>
      </w:pPr>
      <w:r>
        <w:rPr>
          <w:rFonts w:hint="eastAsia" w:ascii="仿宋_GB2312" w:eastAsia="仿宋_GB2312"/>
          <w:sz w:val="32"/>
          <w:szCs w:val="32"/>
        </w:rPr>
        <w:t>日常监管主要用于市场监管工作人员外出巡查时对食品（含餐饮）、药品、化妆品、医疗器械、特种设备</w:t>
      </w:r>
      <w:r>
        <w:rPr>
          <w:rFonts w:hint="eastAsia" w:ascii="仿宋_GB2312" w:eastAsia="仿宋_GB2312"/>
          <w:sz w:val="32"/>
          <w:szCs w:val="32"/>
          <w:lang w:eastAsia="zh-CN"/>
        </w:rPr>
        <w:t>、</w:t>
      </w:r>
      <w:r>
        <w:rPr>
          <w:rFonts w:hint="eastAsia" w:ascii="仿宋_GB2312" w:eastAsia="仿宋_GB2312"/>
          <w:sz w:val="32"/>
          <w:szCs w:val="32"/>
        </w:rPr>
        <w:t>农贸市场等市场经营主题进行监管、溯源及预警</w:t>
      </w:r>
      <w:r>
        <w:rPr>
          <w:rFonts w:hint="eastAsia" w:ascii="仿宋_GB2312" w:eastAsia="仿宋_GB2312"/>
          <w:sz w:val="32"/>
          <w:szCs w:val="32"/>
          <w:lang w:eastAsia="zh-CN"/>
        </w:rPr>
        <w:t>；</w:t>
      </w:r>
    </w:p>
    <w:p>
      <w:pPr>
        <w:numPr>
          <w:ilvl w:val="0"/>
          <w:numId w:val="1"/>
        </w:numPr>
        <w:autoSpaceDE w:val="0"/>
        <w:autoSpaceDN w:val="0"/>
        <w:adjustRightInd w:val="0"/>
        <w:ind w:left="0" w:leftChars="0" w:firstLine="640" w:firstLineChars="200"/>
        <w:jc w:val="left"/>
        <w:rPr>
          <w:rFonts w:ascii="仿宋_GB2312" w:eastAsia="仿宋_GB2312"/>
          <w:sz w:val="32"/>
          <w:szCs w:val="32"/>
        </w:rPr>
      </w:pPr>
      <w:r>
        <w:rPr>
          <w:rFonts w:hint="eastAsia" w:ascii="仿宋_GB2312" w:eastAsia="仿宋_GB2312"/>
          <w:sz w:val="32"/>
          <w:szCs w:val="32"/>
          <w:lang w:eastAsia="zh-CN"/>
        </w:rPr>
        <w:t>系统</w:t>
      </w:r>
      <w:r>
        <w:rPr>
          <w:rFonts w:hint="eastAsia" w:ascii="仿宋_GB2312" w:eastAsia="仿宋_GB2312"/>
          <w:sz w:val="32"/>
          <w:szCs w:val="32"/>
        </w:rPr>
        <w:t>各业务监管模块</w:t>
      </w:r>
      <w:r>
        <w:rPr>
          <w:rFonts w:hint="eastAsia" w:ascii="仿宋_GB2312" w:eastAsia="仿宋_GB2312"/>
          <w:sz w:val="32"/>
          <w:szCs w:val="32"/>
          <w:lang w:eastAsia="zh-CN"/>
        </w:rPr>
        <w:t>已于</w:t>
      </w:r>
      <w:r>
        <w:rPr>
          <w:rFonts w:hint="eastAsia" w:ascii="仿宋_GB2312" w:eastAsia="仿宋_GB2312"/>
          <w:sz w:val="32"/>
          <w:szCs w:val="32"/>
        </w:rPr>
        <w:t>2020年</w:t>
      </w:r>
      <w:r>
        <w:rPr>
          <w:rFonts w:hint="eastAsia" w:ascii="仿宋_GB2312" w:eastAsia="仿宋_GB2312"/>
          <w:sz w:val="32"/>
          <w:szCs w:val="32"/>
          <w:lang w:val="en-US" w:eastAsia="zh-CN"/>
        </w:rPr>
        <w:t>6月建设完成，现根据实际工作需要不断进行功能新增及完善</w:t>
      </w:r>
      <w:r>
        <w:rPr>
          <w:rFonts w:hint="eastAsia" w:ascii="仿宋_GB2312" w:eastAsia="仿宋_GB2312"/>
          <w:sz w:val="32"/>
          <w:szCs w:val="32"/>
        </w:rPr>
        <w:t>。</w:t>
      </w:r>
    </w:p>
    <w:p>
      <w:pPr>
        <w:adjustRightInd w:val="0"/>
        <w:snapToGrid w:val="0"/>
        <w:spacing w:beforeLines="50" w:afterLines="50"/>
        <w:ind w:firstLine="640" w:firstLineChars="200"/>
        <w:rPr>
          <w:rFonts w:ascii="黑体" w:hAnsi="黑体" w:eastAsia="黑体"/>
          <w:sz w:val="32"/>
          <w:szCs w:val="32"/>
        </w:rPr>
      </w:pPr>
      <w:r>
        <w:rPr>
          <w:rFonts w:hint="eastAsia" w:ascii="楷体_GB2312" w:eastAsia="楷体_GB2312"/>
          <w:sz w:val="32"/>
          <w:szCs w:val="32"/>
        </w:rPr>
        <w:t>（二）存在的问题</w:t>
      </w:r>
    </w:p>
    <w:p>
      <w:pPr>
        <w:adjustRightInd w:val="0"/>
        <w:snapToGrid w:val="0"/>
        <w:spacing w:beforeLines="50" w:afterLines="50"/>
        <w:ind w:firstLine="640" w:firstLineChars="200"/>
        <w:rPr>
          <w:rFonts w:ascii="仿宋_GB2312" w:hAnsi="黑体" w:eastAsia="仿宋_GB2312"/>
          <w:sz w:val="32"/>
          <w:szCs w:val="32"/>
        </w:rPr>
      </w:pPr>
      <w:r>
        <w:rPr>
          <w:rFonts w:hint="eastAsia" w:ascii="仿宋_GB2312" w:hAnsi="黑体" w:eastAsia="仿宋_GB2312"/>
          <w:sz w:val="32"/>
          <w:szCs w:val="32"/>
          <w:lang w:eastAsia="zh-CN"/>
        </w:rPr>
        <w:t>部分配餐单位电信</w:t>
      </w:r>
      <w:r>
        <w:rPr>
          <w:rFonts w:hint="eastAsia" w:ascii="仿宋_GB2312" w:hAnsi="黑体" w:eastAsia="仿宋_GB2312"/>
          <w:sz w:val="32"/>
          <w:szCs w:val="32"/>
        </w:rPr>
        <w:t>运营商</w:t>
      </w:r>
      <w:r>
        <w:rPr>
          <w:rFonts w:hint="eastAsia" w:ascii="仿宋_GB2312" w:hAnsi="黑体" w:eastAsia="仿宋_GB2312"/>
          <w:sz w:val="32"/>
          <w:szCs w:val="32"/>
          <w:lang w:eastAsia="zh-CN"/>
        </w:rPr>
        <w:t>未能做到网络线路</w:t>
      </w:r>
      <w:r>
        <w:rPr>
          <w:rFonts w:hint="eastAsia" w:ascii="仿宋_GB2312" w:hAnsi="黑体" w:eastAsia="仿宋_GB2312"/>
          <w:sz w:val="32"/>
          <w:szCs w:val="32"/>
        </w:rPr>
        <w:t>点位覆盖。</w:t>
      </w:r>
    </w:p>
    <w:p>
      <w:pPr>
        <w:adjustRightInd w:val="0"/>
        <w:snapToGrid w:val="0"/>
        <w:spacing w:beforeLines="50" w:afterLines="50"/>
        <w:ind w:firstLine="640" w:firstLineChars="200"/>
        <w:rPr>
          <w:rFonts w:hint="eastAsia" w:ascii="楷体_GB2312" w:eastAsia="楷体_GB2312"/>
          <w:sz w:val="32"/>
          <w:szCs w:val="32"/>
        </w:rPr>
      </w:pPr>
      <w:r>
        <w:rPr>
          <w:rFonts w:hint="eastAsia" w:ascii="楷体_GB2312" w:eastAsia="楷体_GB2312"/>
          <w:sz w:val="32"/>
          <w:szCs w:val="32"/>
        </w:rPr>
        <w:t>（三）改进措施及建议。</w:t>
      </w:r>
    </w:p>
    <w:p>
      <w:pPr>
        <w:adjustRightInd w:val="0"/>
        <w:snapToGrid w:val="0"/>
        <w:spacing w:beforeLines="50" w:afterLines="50"/>
        <w:ind w:firstLine="640" w:firstLineChars="200"/>
        <w:rPr>
          <w:rFonts w:hint="eastAsia" w:ascii="仿宋_GB2312" w:hAnsi="黑体" w:eastAsia="仿宋_GB2312"/>
          <w:sz w:val="32"/>
          <w:szCs w:val="32"/>
          <w:lang w:eastAsia="zh-CN"/>
        </w:rPr>
      </w:pPr>
      <w:r>
        <w:rPr>
          <w:rFonts w:hint="eastAsia" w:ascii="仿宋_GB2312" w:hAnsi="黑体" w:eastAsia="仿宋_GB2312"/>
          <w:sz w:val="32"/>
          <w:szCs w:val="32"/>
          <w:lang w:eastAsia="zh-CN"/>
        </w:rPr>
        <w:t>拟协电信</w:t>
      </w:r>
      <w:r>
        <w:rPr>
          <w:rFonts w:hint="eastAsia" w:ascii="仿宋_GB2312" w:hAnsi="黑体" w:eastAsia="仿宋_GB2312"/>
          <w:sz w:val="32"/>
          <w:szCs w:val="32"/>
        </w:rPr>
        <w:t>运营商进行</w:t>
      </w:r>
      <w:r>
        <w:rPr>
          <w:rFonts w:hint="eastAsia" w:ascii="仿宋_GB2312" w:hAnsi="黑体" w:eastAsia="仿宋_GB2312"/>
          <w:sz w:val="32"/>
          <w:szCs w:val="32"/>
          <w:lang w:eastAsia="zh-CN"/>
        </w:rPr>
        <w:t>配餐单位网络线路</w:t>
      </w:r>
      <w:r>
        <w:rPr>
          <w:rFonts w:hint="eastAsia" w:ascii="仿宋_GB2312" w:hAnsi="黑体" w:eastAsia="仿宋_GB2312"/>
          <w:sz w:val="32"/>
          <w:szCs w:val="32"/>
        </w:rPr>
        <w:t>点位覆盖。</w:t>
      </w:r>
    </w:p>
    <w:p>
      <w:pPr>
        <w:adjustRightInd w:val="0"/>
        <w:snapToGrid w:val="0"/>
        <w:spacing w:beforeLines="50" w:afterLines="50"/>
        <w:ind w:firstLine="640" w:firstLineChars="200"/>
        <w:rPr>
          <w:rFonts w:ascii="黑体" w:hAnsi="黑体" w:eastAsia="黑体"/>
          <w:sz w:val="32"/>
          <w:szCs w:val="32"/>
        </w:rPr>
      </w:pPr>
    </w:p>
    <w:p>
      <w:pPr>
        <w:adjustRightInd w:val="0"/>
        <w:snapToGrid w:val="0"/>
        <w:spacing w:beforeLines="50" w:afterLines="50"/>
        <w:ind w:firstLine="640" w:firstLineChars="200"/>
        <w:rPr>
          <w:rFonts w:ascii="黑体" w:hAnsi="黑体" w:eastAsia="黑体"/>
          <w:sz w:val="32"/>
          <w:szCs w:val="32"/>
        </w:rPr>
      </w:pPr>
    </w:p>
    <w:p>
      <w:pPr>
        <w:adjustRightInd w:val="0"/>
        <w:snapToGrid w:val="0"/>
        <w:spacing w:beforeLines="50" w:afterLines="50"/>
        <w:ind w:firstLine="640" w:firstLineChars="200"/>
        <w:rPr>
          <w:rFonts w:ascii="黑体" w:hAnsi="黑体" w:eastAsia="黑体"/>
          <w:sz w:val="32"/>
          <w:szCs w:val="32"/>
        </w:rPr>
      </w:pPr>
    </w:p>
    <w:p>
      <w:pPr>
        <w:adjustRightInd w:val="0"/>
        <w:snapToGrid w:val="0"/>
        <w:spacing w:beforeLines="50" w:afterLines="50"/>
        <w:ind w:firstLine="640" w:firstLineChars="200"/>
        <w:rPr>
          <w:rFonts w:ascii="黑体" w:hAnsi="黑体" w:eastAsia="黑体"/>
          <w:sz w:val="32"/>
          <w:szCs w:val="32"/>
        </w:rPr>
      </w:pPr>
    </w:p>
    <w:p>
      <w:pPr>
        <w:adjustRightInd w:val="0"/>
        <w:snapToGrid w:val="0"/>
        <w:spacing w:beforeLines="50" w:afterLines="50"/>
        <w:ind w:firstLine="640" w:firstLineChars="200"/>
        <w:rPr>
          <w:rFonts w:ascii="黑体" w:hAnsi="黑体" w:eastAsia="黑体"/>
          <w:sz w:val="32"/>
          <w:szCs w:val="32"/>
        </w:rPr>
      </w:pPr>
    </w:p>
    <w:p>
      <w:pPr>
        <w:adjustRightInd w:val="0"/>
        <w:snapToGrid w:val="0"/>
        <w:spacing w:beforeLines="50" w:afterLines="50"/>
        <w:ind w:firstLine="640" w:firstLineChars="200"/>
        <w:rPr>
          <w:rFonts w:ascii="黑体" w:hAnsi="黑体" w:eastAsia="黑体"/>
          <w:sz w:val="32"/>
          <w:szCs w:val="32"/>
        </w:rPr>
      </w:pPr>
    </w:p>
    <w:p>
      <w:pPr>
        <w:adjustRightInd w:val="0"/>
        <w:snapToGrid w:val="0"/>
        <w:spacing w:beforeLines="50" w:afterLines="50"/>
        <w:ind w:firstLine="640" w:firstLineChars="200"/>
        <w:rPr>
          <w:rFonts w:ascii="黑体" w:hAnsi="黑体" w:eastAsia="黑体"/>
          <w:sz w:val="32"/>
          <w:szCs w:val="32"/>
        </w:rPr>
      </w:pPr>
    </w:p>
    <w:p>
      <w:pPr>
        <w:adjustRightInd w:val="0"/>
        <w:snapToGrid w:val="0"/>
        <w:spacing w:beforeLines="50" w:afterLines="50"/>
        <w:ind w:firstLine="640" w:firstLineChars="200"/>
        <w:rPr>
          <w:rFonts w:ascii="黑体" w:hAnsi="黑体" w:eastAsia="黑体"/>
          <w:sz w:val="32"/>
          <w:szCs w:val="32"/>
        </w:rPr>
      </w:pPr>
    </w:p>
    <w:p>
      <w:pPr>
        <w:adjustRightInd w:val="0"/>
        <w:snapToGrid w:val="0"/>
        <w:spacing w:beforeLines="50" w:afterLines="50"/>
        <w:ind w:firstLine="640" w:firstLineChars="200"/>
        <w:rPr>
          <w:rFonts w:ascii="黑体" w:hAnsi="黑体" w:eastAsia="黑体"/>
          <w:sz w:val="32"/>
          <w:szCs w:val="32"/>
        </w:rPr>
      </w:pPr>
    </w:p>
    <w:p>
      <w:pPr>
        <w:adjustRightInd w:val="0"/>
        <w:snapToGrid w:val="0"/>
        <w:spacing w:beforeLines="50" w:afterLines="50"/>
        <w:ind w:firstLine="640" w:firstLineChars="200"/>
        <w:rPr>
          <w:rFonts w:ascii="黑体" w:hAnsi="黑体" w:eastAsia="黑体"/>
          <w:sz w:val="32"/>
          <w:szCs w:val="32"/>
        </w:rPr>
      </w:pPr>
    </w:p>
    <w:p>
      <w:pPr>
        <w:adjustRightInd w:val="0"/>
        <w:snapToGrid w:val="0"/>
        <w:spacing w:beforeLines="50" w:afterLines="50"/>
        <w:ind w:firstLine="640" w:firstLineChars="200"/>
        <w:rPr>
          <w:rFonts w:ascii="黑体" w:hAnsi="黑体" w:eastAsia="黑体"/>
          <w:sz w:val="32"/>
          <w:szCs w:val="32"/>
        </w:rPr>
      </w:pPr>
    </w:p>
    <w:p>
      <w:pPr>
        <w:adjustRightInd w:val="0"/>
        <w:snapToGrid w:val="0"/>
        <w:spacing w:beforeLines="50" w:afterLines="50"/>
        <w:ind w:firstLine="640" w:firstLineChars="200"/>
        <w:rPr>
          <w:rFonts w:ascii="黑体" w:hAnsi="黑体" w:eastAsia="黑体"/>
          <w:sz w:val="32"/>
          <w:szCs w:val="32"/>
        </w:rPr>
      </w:pPr>
    </w:p>
    <w:p>
      <w:pPr>
        <w:adjustRightInd w:val="0"/>
        <w:snapToGrid w:val="0"/>
        <w:spacing w:beforeLines="50" w:afterLines="50"/>
        <w:ind w:firstLine="640" w:firstLineChars="200"/>
        <w:rPr>
          <w:rFonts w:ascii="黑体" w:hAnsi="黑体" w:eastAsia="黑体"/>
          <w:sz w:val="32"/>
          <w:szCs w:val="32"/>
        </w:rPr>
      </w:pPr>
    </w:p>
    <w:p>
      <w:pPr>
        <w:adjustRightInd w:val="0"/>
        <w:snapToGrid w:val="0"/>
        <w:spacing w:beforeLines="50" w:afterLines="50"/>
        <w:ind w:firstLine="640" w:firstLineChars="200"/>
        <w:rPr>
          <w:rFonts w:ascii="黑体" w:hAnsi="黑体" w:eastAsia="黑体"/>
          <w:sz w:val="32"/>
          <w:szCs w:val="32"/>
        </w:rPr>
      </w:pPr>
    </w:p>
    <w:p>
      <w:pPr>
        <w:adjustRightInd w:val="0"/>
        <w:snapToGrid w:val="0"/>
        <w:spacing w:beforeLines="50" w:afterLines="50"/>
        <w:ind w:firstLine="640" w:firstLineChars="200"/>
        <w:rPr>
          <w:rFonts w:ascii="黑体" w:hAnsi="黑体" w:eastAsia="黑体"/>
          <w:sz w:val="32"/>
          <w:szCs w:val="32"/>
        </w:rPr>
      </w:pPr>
    </w:p>
    <w:p>
      <w:pPr>
        <w:adjustRightInd w:val="0"/>
        <w:snapToGrid w:val="0"/>
        <w:spacing w:beforeLines="50" w:afterLines="50"/>
        <w:ind w:firstLine="640" w:firstLineChars="200"/>
        <w:rPr>
          <w:rFonts w:ascii="黑体" w:hAnsi="黑体" w:eastAsia="黑体"/>
          <w:sz w:val="32"/>
          <w:szCs w:val="32"/>
        </w:rPr>
      </w:pPr>
    </w:p>
    <w:p>
      <w:pPr>
        <w:adjustRightInd w:val="0"/>
        <w:snapToGrid w:val="0"/>
        <w:spacing w:beforeLines="50" w:afterLines="50"/>
        <w:ind w:firstLine="640" w:firstLineChars="200"/>
        <w:rPr>
          <w:rFonts w:ascii="黑体" w:hAnsi="黑体" w:eastAsia="黑体"/>
          <w:sz w:val="32"/>
          <w:szCs w:val="32"/>
        </w:rPr>
      </w:pPr>
    </w:p>
    <w:p>
      <w:pPr>
        <w:jc w:val="both"/>
        <w:rPr>
          <w:rFonts w:hint="eastAsia" w:ascii="方正小标宋简体" w:hAnsi="黑体" w:eastAsia="方正小标宋简体" w:cs="黑体"/>
          <w:bCs/>
          <w:sz w:val="44"/>
          <w:szCs w:val="44"/>
        </w:rPr>
      </w:pPr>
    </w:p>
    <w:p>
      <w:pPr>
        <w:autoSpaceDE w:val="0"/>
        <w:autoSpaceDN w:val="0"/>
        <w:adjustRightInd w:val="0"/>
        <w:spacing w:line="560" w:lineRule="exact"/>
        <w:jc w:val="left"/>
        <w:rPr>
          <w:rFonts w:hint="eastAsia" w:ascii="楷体" w:hAnsi="楷体" w:eastAsia="楷体" w:cs="楷体"/>
          <w:kern w:val="0"/>
          <w:sz w:val="28"/>
          <w:szCs w:val="28"/>
          <w:lang w:eastAsia="zh-CN"/>
        </w:rPr>
      </w:pPr>
      <w:r>
        <w:rPr>
          <w:rFonts w:hint="eastAsia" w:ascii="楷体" w:hAnsi="楷体" w:eastAsia="楷体" w:cs="楷体"/>
          <w:kern w:val="0"/>
          <w:sz w:val="28"/>
          <w:szCs w:val="28"/>
          <w:lang w:eastAsia="zh-CN"/>
        </w:rPr>
        <w:t>正文</w:t>
      </w:r>
    </w:p>
    <w:p>
      <w:pPr>
        <w:autoSpaceDE w:val="0"/>
        <w:autoSpaceDN w:val="0"/>
        <w:adjustRightInd w:val="0"/>
        <w:spacing w:line="560" w:lineRule="exact"/>
        <w:jc w:val="center"/>
        <w:rPr>
          <w:rFonts w:hint="eastAsia" w:ascii="方正小标宋简体" w:hAnsi="Arial" w:eastAsia="方正小标宋简体" w:cs="方正小标宋简体"/>
          <w:kern w:val="0"/>
          <w:sz w:val="44"/>
          <w:szCs w:val="44"/>
        </w:rPr>
      </w:pPr>
      <w:r>
        <w:rPr>
          <w:rFonts w:hint="eastAsia" w:ascii="方正小标宋简体" w:hAnsi="Arial" w:eastAsia="方正小标宋简体" w:cs="方正小标宋简体"/>
          <w:kern w:val="0"/>
          <w:sz w:val="44"/>
          <w:szCs w:val="44"/>
        </w:rPr>
        <w:t>智慧市场监管系统服务经费绩效自评报告</w:t>
      </w:r>
    </w:p>
    <w:p>
      <w:pPr>
        <w:autoSpaceDE w:val="0"/>
        <w:autoSpaceDN w:val="0"/>
        <w:adjustRightInd w:val="0"/>
        <w:spacing w:line="560" w:lineRule="exact"/>
        <w:jc w:val="center"/>
        <w:rPr>
          <w:rFonts w:hint="eastAsia" w:ascii="方正小标宋简体" w:hAnsi="Arial" w:eastAsia="方正小标宋简体" w:cs="方正小标宋简体"/>
          <w:kern w:val="0"/>
          <w:sz w:val="44"/>
          <w:szCs w:val="44"/>
        </w:rPr>
      </w:pPr>
    </w:p>
    <w:p>
      <w:pPr>
        <w:numPr>
          <w:ilvl w:val="0"/>
          <w:numId w:val="2"/>
        </w:numPr>
        <w:topLinePunct/>
        <w:ind w:firstLine="800" w:firstLineChars="250"/>
        <w:rPr>
          <w:rFonts w:hint="eastAsia" w:ascii="黑体" w:eastAsia="黑体"/>
          <w:sz w:val="32"/>
          <w:szCs w:val="32"/>
          <w:lang w:eastAsia="zh-CN"/>
        </w:rPr>
      </w:pPr>
      <w:r>
        <w:rPr>
          <w:rFonts w:hint="eastAsia" w:ascii="黑体" w:eastAsia="黑体"/>
          <w:sz w:val="32"/>
          <w:szCs w:val="32"/>
          <w:lang w:eastAsia="zh-CN"/>
        </w:rPr>
        <w:t>项目的基本情况</w:t>
      </w:r>
    </w:p>
    <w:p>
      <w:pPr>
        <w:numPr>
          <w:ilvl w:val="0"/>
          <w:numId w:val="3"/>
        </w:numPr>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项目概况</w:t>
      </w:r>
    </w:p>
    <w:p>
      <w:pPr>
        <w:numPr>
          <w:ilvl w:val="0"/>
          <w:numId w:val="0"/>
        </w:numPr>
        <w:ind w:firstLine="640" w:firstLineChars="200"/>
        <w:jc w:val="left"/>
        <w:rPr>
          <w:rFonts w:hint="eastAsia" w:ascii="仿宋_GB2312" w:eastAsia="仿宋_GB2312"/>
          <w:sz w:val="32"/>
          <w:szCs w:val="32"/>
        </w:rPr>
      </w:pPr>
      <w:r>
        <w:rPr>
          <w:rFonts w:hint="eastAsia" w:ascii="仿宋_GB2312" w:eastAsia="仿宋_GB2312"/>
          <w:sz w:val="32"/>
          <w:szCs w:val="32"/>
          <w:lang w:val="en-US" w:eastAsia="zh-CN"/>
        </w:rPr>
        <w:t>1.立项背景及目的。</w:t>
      </w:r>
      <w:r>
        <w:rPr>
          <w:rFonts w:hint="eastAsia" w:ascii="仿宋_GB2312" w:eastAsia="仿宋_GB2312"/>
          <w:sz w:val="32"/>
          <w:szCs w:val="32"/>
        </w:rPr>
        <w:t>随着“三局合一”体制调整，食品药品、特种设备下放基层监管，市场管理模式和工作机制已随之发生了变化，实际工作已出现一些新情况、新形势，如基层监管人员承担的职责杂多，平均每人监管500个以上主体经营单位；工作人员年龄老化，对工作质量的保障度偏低；食药监管存在专业类人才缺乏</w:t>
      </w:r>
      <w:r>
        <w:rPr>
          <w:rFonts w:hint="eastAsia" w:ascii="仿宋_GB2312" w:eastAsia="仿宋_GB2312"/>
          <w:sz w:val="32"/>
          <w:szCs w:val="32"/>
          <w:lang w:eastAsia="zh-CN"/>
        </w:rPr>
        <w:t>、</w:t>
      </w:r>
      <w:r>
        <w:rPr>
          <w:rFonts w:hint="eastAsia" w:ascii="仿宋_GB2312" w:eastAsia="仿宋_GB2312"/>
          <w:sz w:val="32"/>
          <w:szCs w:val="32"/>
        </w:rPr>
        <w:t>监管手段落后的窘景，无法实现和满足现阶段安全风险防控的需要。</w:t>
      </w:r>
    </w:p>
    <w:p>
      <w:pPr>
        <w:ind w:firstLine="640" w:firstLineChars="200"/>
        <w:jc w:val="left"/>
        <w:rPr>
          <w:rFonts w:hint="eastAsia" w:ascii="仿宋_GB2312" w:eastAsia="仿宋_GB2312"/>
          <w:sz w:val="32"/>
          <w:szCs w:val="32"/>
        </w:rPr>
      </w:pPr>
      <w:r>
        <w:rPr>
          <w:rFonts w:hint="eastAsia" w:ascii="仿宋_GB2312" w:eastAsia="仿宋_GB2312"/>
          <w:sz w:val="32"/>
          <w:szCs w:val="32"/>
        </w:rPr>
        <w:t>从长远来看，随着互联网普及应用不断提高，运用互联网、大数据提升政府服务和监管能力正成为趋势。坚持创新驱动发展，深化信息应用，已成为稳增长、促改革、调结构、惠民生和推动政府治理能力现代化的内在需要和必然选择。智慧监管应用顺应互联网+政务的发展趋势，通过项目应用实现监督管理移动化、业务办理电子化、长效监管智能化。</w:t>
      </w:r>
    </w:p>
    <w:p>
      <w:pPr>
        <w:ind w:firstLine="640" w:firstLineChars="200"/>
        <w:jc w:val="left"/>
        <w:rPr>
          <w:rFonts w:hint="eastAsia" w:ascii="仿宋_GB2312" w:eastAsia="仿宋_GB2312"/>
          <w:sz w:val="32"/>
          <w:szCs w:val="32"/>
        </w:rPr>
      </w:pPr>
      <w:r>
        <w:rPr>
          <w:rFonts w:hint="eastAsia" w:ascii="仿宋_GB2312" w:eastAsia="仿宋_GB2312"/>
          <w:sz w:val="32"/>
          <w:szCs w:val="32"/>
        </w:rPr>
        <w:t>鉴于以上原因，盘龙区市场监督管理局拟建设全区统一管理的数据交互平台，将现有监督管理执法工作和互联网理念相结合，对涉及到老百姓健康、安全、民生的业务进行数据化监督管理，采用移动互联网技术实现现场执法、群众监督、安全源头可查、问题可控、全程监控的目标。</w:t>
      </w:r>
    </w:p>
    <w:p>
      <w:pPr>
        <w:ind w:firstLine="640" w:firstLineChars="200"/>
        <w:jc w:val="left"/>
        <w:rPr>
          <w:rFonts w:hint="eastAsia" w:ascii="楷体_GB2312" w:eastAsia="仿宋_GB2312"/>
          <w:sz w:val="32"/>
          <w:szCs w:val="32"/>
          <w:lang w:eastAsia="zh-CN"/>
        </w:rPr>
      </w:pPr>
      <w:r>
        <w:rPr>
          <w:rFonts w:hint="eastAsia" w:ascii="仿宋_GB2312" w:eastAsia="仿宋_GB2312"/>
          <w:sz w:val="32"/>
          <w:szCs w:val="32"/>
          <w:lang w:val="en-US" w:eastAsia="zh-CN"/>
        </w:rPr>
        <w:t>2.项目的实施情况。</w:t>
      </w:r>
      <w:r>
        <w:rPr>
          <w:rFonts w:hint="eastAsia" w:ascii="仿宋_GB2312" w:eastAsia="仿宋_GB2312"/>
          <w:sz w:val="32"/>
          <w:szCs w:val="32"/>
          <w:lang w:eastAsia="zh-CN"/>
        </w:rPr>
        <w:t>项目的立项依据为项目实施的可行性报告，</w:t>
      </w:r>
      <w:r>
        <w:rPr>
          <w:rFonts w:hint="eastAsia" w:ascii="仿宋_GB2312" w:eastAsia="仿宋_GB2312"/>
          <w:sz w:val="32"/>
          <w:szCs w:val="32"/>
        </w:rPr>
        <w:t>按照2019年区政府第十六届48次常务会议研究通过，同意我局实施该智慧监管项目</w:t>
      </w:r>
      <w:r>
        <w:rPr>
          <w:rFonts w:hint="eastAsia" w:ascii="仿宋_GB2312" w:eastAsia="仿宋_GB2312"/>
          <w:sz w:val="32"/>
          <w:szCs w:val="32"/>
          <w:lang w:eastAsia="zh-CN"/>
        </w:rPr>
        <w:t>。</w:t>
      </w:r>
      <w:r>
        <w:rPr>
          <w:rFonts w:hint="eastAsia" w:ascii="仿宋_GB2312" w:eastAsia="仿宋_GB2312"/>
          <w:sz w:val="32"/>
          <w:szCs w:val="32"/>
        </w:rPr>
        <w:t>“智慧市场监管系统”由视频监控及日常监管两部分组成，系统以服务+监管+互联网的新型综合监管体系为目标，紧紧围绕营商环境、现场执法、安全源头可查、问题可控、全程监控的目标，对全区市场经营主体进行实时监管。1、视频监控通过智能识别对农贸市场、学校、幼儿园食堂进行远程监管，自动识别违规行为，自动派发整改单；2、日常监管主要用于市场监管工作人员外出巡查时对食品（含餐饮）、药品、化妆品、医疗器械、特种设备等市场经营主题进行监管、溯源及预警</w:t>
      </w:r>
      <w:r>
        <w:rPr>
          <w:rFonts w:hint="eastAsia" w:ascii="仿宋_GB2312" w:eastAsia="仿宋_GB2312"/>
          <w:sz w:val="32"/>
          <w:szCs w:val="32"/>
          <w:lang w:eastAsia="zh-CN"/>
        </w:rPr>
        <w:t>。</w:t>
      </w:r>
    </w:p>
    <w:p>
      <w:pPr>
        <w:spacing w:line="360" w:lineRule="auto"/>
        <w:ind w:firstLine="627" w:firstLineChars="196"/>
        <w:rPr>
          <w:rFonts w:hint="eastAsia" w:ascii="仿宋_GB2312" w:eastAsia="仿宋_GB2312"/>
          <w:sz w:val="32"/>
          <w:szCs w:val="32"/>
        </w:rPr>
      </w:pPr>
      <w:r>
        <w:rPr>
          <w:rFonts w:hint="eastAsia" w:ascii="仿宋_GB2312" w:eastAsia="仿宋_GB2312"/>
          <w:sz w:val="32"/>
          <w:szCs w:val="32"/>
        </w:rPr>
        <w:t>我局于20</w:t>
      </w:r>
      <w:r>
        <w:rPr>
          <w:rFonts w:hint="eastAsia" w:ascii="仿宋_GB2312" w:eastAsia="仿宋_GB2312"/>
          <w:sz w:val="32"/>
          <w:szCs w:val="32"/>
          <w:lang w:val="en-US" w:eastAsia="zh-CN"/>
        </w:rPr>
        <w:t>19</w:t>
      </w:r>
      <w:r>
        <w:rPr>
          <w:rFonts w:hint="eastAsia" w:ascii="仿宋_GB2312" w:eastAsia="仿宋_GB2312"/>
          <w:sz w:val="32"/>
          <w:szCs w:val="32"/>
        </w:rPr>
        <w:t>年7月25日完成政府采购招投标工作，项目服务期三年（2019年9月9日至2022年8月9日），服务金额446.7万元（1</w:t>
      </w:r>
      <w:r>
        <w:rPr>
          <w:rFonts w:hint="eastAsia" w:ascii="仿宋_GB2312" w:eastAsia="仿宋_GB2312"/>
          <w:sz w:val="32"/>
          <w:szCs w:val="32"/>
          <w:lang w:val="en-US" w:eastAsia="zh-CN"/>
        </w:rPr>
        <w:t>4</w:t>
      </w:r>
      <w:r>
        <w:rPr>
          <w:rFonts w:hint="eastAsia" w:ascii="仿宋_GB2312" w:eastAsia="仿宋_GB2312"/>
          <w:sz w:val="32"/>
          <w:szCs w:val="32"/>
        </w:rPr>
        <w:t>8.9万元/每年）。20</w:t>
      </w:r>
      <w:r>
        <w:rPr>
          <w:rFonts w:hint="eastAsia" w:ascii="仿宋_GB2312" w:eastAsia="仿宋_GB2312"/>
          <w:sz w:val="32"/>
          <w:szCs w:val="32"/>
          <w:lang w:val="en-US" w:eastAsia="zh-CN"/>
        </w:rPr>
        <w:t>19</w:t>
      </w:r>
      <w:r>
        <w:rPr>
          <w:rFonts w:hint="eastAsia" w:ascii="仿宋_GB2312" w:eastAsia="仿宋_GB2312"/>
          <w:sz w:val="32"/>
          <w:szCs w:val="32"/>
        </w:rPr>
        <w:t>年9月12日我局与项目中标方</w:t>
      </w:r>
      <w:bookmarkStart w:id="0" w:name="_GoBack"/>
      <w:bookmarkEnd w:id="0"/>
      <w:r>
        <w:rPr>
          <w:rFonts w:hint="eastAsia" w:ascii="仿宋_GB2312" w:eastAsia="仿宋_GB2312"/>
          <w:sz w:val="32"/>
          <w:szCs w:val="32"/>
        </w:rPr>
        <w:t>签订服务合同，项目自2019年9月29日正式进入实施</w:t>
      </w:r>
      <w:r>
        <w:rPr>
          <w:rFonts w:hint="eastAsia" w:ascii="仿宋_GB2312" w:eastAsia="仿宋_GB2312"/>
          <w:sz w:val="32"/>
          <w:szCs w:val="32"/>
          <w:lang w:eastAsia="zh-CN"/>
        </w:rPr>
        <w:t>，系统</w:t>
      </w:r>
      <w:r>
        <w:rPr>
          <w:rFonts w:hint="eastAsia" w:ascii="仿宋_GB2312" w:eastAsia="仿宋_GB2312"/>
          <w:sz w:val="32"/>
          <w:szCs w:val="32"/>
        </w:rPr>
        <w:t>各业务监管模块</w:t>
      </w:r>
      <w:r>
        <w:rPr>
          <w:rFonts w:hint="eastAsia" w:ascii="仿宋_GB2312" w:eastAsia="仿宋_GB2312"/>
          <w:sz w:val="32"/>
          <w:szCs w:val="32"/>
          <w:lang w:eastAsia="zh-CN"/>
        </w:rPr>
        <w:t>已于</w:t>
      </w:r>
      <w:r>
        <w:rPr>
          <w:rFonts w:hint="eastAsia" w:ascii="仿宋_GB2312" w:eastAsia="仿宋_GB2312"/>
          <w:sz w:val="32"/>
          <w:szCs w:val="32"/>
        </w:rPr>
        <w:t>2020年</w:t>
      </w:r>
      <w:r>
        <w:rPr>
          <w:rFonts w:hint="eastAsia" w:ascii="仿宋_GB2312" w:eastAsia="仿宋_GB2312"/>
          <w:sz w:val="32"/>
          <w:szCs w:val="32"/>
          <w:lang w:val="en-US" w:eastAsia="zh-CN"/>
        </w:rPr>
        <w:t>6月建设完成，现根据实际工作需要不断进行功能新增及完善</w:t>
      </w:r>
      <w:r>
        <w:rPr>
          <w:rFonts w:hint="eastAsia" w:ascii="仿宋_GB2312" w:eastAsia="仿宋_GB2312"/>
          <w:sz w:val="32"/>
          <w:szCs w:val="32"/>
        </w:rPr>
        <w:t>。。</w:t>
      </w:r>
    </w:p>
    <w:p>
      <w:pPr>
        <w:spacing w:line="360" w:lineRule="auto"/>
        <w:ind w:firstLine="627" w:firstLineChars="196"/>
        <w:rPr>
          <w:rFonts w:ascii="仿宋_GB2312" w:eastAsia="仿宋_GB2312"/>
          <w:sz w:val="32"/>
          <w:szCs w:val="32"/>
        </w:rPr>
      </w:pPr>
      <w:r>
        <w:rPr>
          <w:rFonts w:hint="eastAsia" w:ascii="仿宋_GB2312" w:eastAsia="仿宋_GB2312"/>
          <w:sz w:val="32"/>
          <w:szCs w:val="32"/>
          <w:lang w:val="en-US" w:eastAsia="zh-CN"/>
        </w:rPr>
        <w:t>3.资金来源及使用情况。</w:t>
      </w:r>
      <w:r>
        <w:rPr>
          <w:rFonts w:ascii="仿宋_GB2312" w:eastAsia="仿宋_GB2312"/>
          <w:sz w:val="32"/>
          <w:szCs w:val="32"/>
        </w:rPr>
        <w:t>20</w:t>
      </w:r>
      <w:r>
        <w:rPr>
          <w:rFonts w:hint="eastAsia" w:ascii="仿宋_GB2312" w:eastAsia="仿宋_GB2312"/>
          <w:sz w:val="32"/>
          <w:szCs w:val="32"/>
          <w:lang w:val="en-US" w:eastAsia="zh-CN"/>
        </w:rPr>
        <w:t>21</w:t>
      </w:r>
      <w:r>
        <w:rPr>
          <w:rFonts w:hint="eastAsia" w:ascii="仿宋_GB2312" w:eastAsia="仿宋_GB2312"/>
          <w:sz w:val="32"/>
          <w:szCs w:val="32"/>
        </w:rPr>
        <w:t>收到财政拨付“智慧市场监管项目资金”共计</w:t>
      </w:r>
      <w:r>
        <w:rPr>
          <w:rFonts w:hint="eastAsia" w:ascii="仿宋_GB2312" w:eastAsia="仿宋_GB2312"/>
          <w:sz w:val="32"/>
          <w:szCs w:val="32"/>
          <w:lang w:val="en-US" w:eastAsia="zh-CN"/>
        </w:rPr>
        <w:t>148.9</w:t>
      </w:r>
      <w:r>
        <w:rPr>
          <w:rFonts w:hint="eastAsia" w:ascii="仿宋_GB2312" w:eastAsia="仿宋_GB2312"/>
          <w:sz w:val="32"/>
          <w:szCs w:val="32"/>
        </w:rPr>
        <w:t>万元，年终决算收入</w:t>
      </w:r>
      <w:r>
        <w:rPr>
          <w:rFonts w:hint="eastAsia" w:ascii="仿宋_GB2312" w:eastAsia="仿宋_GB2312"/>
          <w:sz w:val="32"/>
          <w:szCs w:val="32"/>
          <w:lang w:val="en-US" w:eastAsia="zh-CN"/>
        </w:rPr>
        <w:t>148.9</w:t>
      </w:r>
      <w:r>
        <w:rPr>
          <w:rFonts w:hint="eastAsia" w:ascii="仿宋_GB2312" w:eastAsia="仿宋_GB2312"/>
          <w:sz w:val="32"/>
          <w:szCs w:val="32"/>
        </w:rPr>
        <w:t>万元，已全部使用完毕，</w:t>
      </w:r>
    </w:p>
    <w:p>
      <w:pPr>
        <w:numPr>
          <w:ilvl w:val="0"/>
          <w:numId w:val="0"/>
        </w:numPr>
        <w:ind w:firstLine="640" w:firstLineChars="200"/>
        <w:jc w:val="left"/>
        <w:rPr>
          <w:rFonts w:hint="eastAsia" w:ascii="仿宋_GB2312" w:eastAsia="仿宋_GB2312"/>
          <w:sz w:val="32"/>
          <w:szCs w:val="32"/>
          <w:lang w:eastAsia="zh-CN"/>
        </w:rPr>
      </w:pPr>
      <w:r>
        <w:rPr>
          <w:rFonts w:hint="eastAsia" w:ascii="仿宋_GB2312" w:eastAsia="仿宋_GB2312"/>
          <w:sz w:val="32"/>
          <w:szCs w:val="32"/>
          <w:lang w:val="en-US" w:eastAsia="zh-CN"/>
        </w:rPr>
        <w:t>4.</w:t>
      </w:r>
      <w:r>
        <w:rPr>
          <w:rFonts w:hint="eastAsia" w:ascii="仿宋_GB2312" w:eastAsia="仿宋_GB2312"/>
          <w:sz w:val="32"/>
          <w:szCs w:val="32"/>
          <w:lang w:eastAsia="zh-CN"/>
        </w:rPr>
        <w:t>项目的组织及管理</w:t>
      </w:r>
    </w:p>
    <w:p>
      <w:pPr>
        <w:numPr>
          <w:ilvl w:val="0"/>
          <w:numId w:val="0"/>
        </w:numPr>
        <w:ind w:firstLine="640" w:firstLineChars="200"/>
        <w:jc w:val="left"/>
        <w:rPr>
          <w:rFonts w:hint="eastAsia" w:ascii="楷体_GB2312" w:eastAsia="仿宋_GB2312"/>
          <w:color w:val="FF0000"/>
          <w:sz w:val="32"/>
          <w:szCs w:val="32"/>
          <w:lang w:val="en-US" w:eastAsia="zh-CN"/>
        </w:rPr>
      </w:pPr>
      <w:r>
        <w:rPr>
          <w:rFonts w:hint="eastAsia" w:ascii="仿宋_GB2312" w:hAnsi="Arial" w:eastAsia="仿宋_GB2312" w:cs="仿宋_GB2312"/>
          <w:kern w:val="0"/>
          <w:sz w:val="32"/>
          <w:szCs w:val="32"/>
        </w:rPr>
        <w:t>各业务监管模块在初步搭建完成后于</w:t>
      </w:r>
      <w:r>
        <w:rPr>
          <w:rFonts w:ascii="仿宋_GB2312" w:hAnsi="Arial" w:eastAsia="仿宋_GB2312" w:cs="仿宋_GB2312"/>
          <w:kern w:val="0"/>
          <w:sz w:val="32"/>
          <w:szCs w:val="32"/>
        </w:rPr>
        <w:t>2020</w:t>
      </w:r>
      <w:r>
        <w:rPr>
          <w:rFonts w:hint="eastAsia" w:ascii="仿宋_GB2312" w:hAnsi="Arial" w:eastAsia="仿宋_GB2312" w:cs="仿宋_GB2312"/>
          <w:kern w:val="0"/>
          <w:sz w:val="32"/>
          <w:szCs w:val="32"/>
        </w:rPr>
        <w:t>年</w:t>
      </w:r>
      <w:r>
        <w:rPr>
          <w:rFonts w:ascii="仿宋_GB2312" w:hAnsi="Arial" w:eastAsia="仿宋_GB2312" w:cs="仿宋_GB2312"/>
          <w:kern w:val="0"/>
          <w:sz w:val="32"/>
          <w:szCs w:val="32"/>
        </w:rPr>
        <w:t>3</w:t>
      </w:r>
      <w:r>
        <w:rPr>
          <w:rFonts w:hint="eastAsia" w:ascii="仿宋_GB2312" w:hAnsi="Arial" w:eastAsia="仿宋_GB2312" w:cs="仿宋_GB2312"/>
          <w:kern w:val="0"/>
          <w:sz w:val="32"/>
          <w:szCs w:val="32"/>
        </w:rPr>
        <w:t>月</w:t>
      </w:r>
      <w:r>
        <w:rPr>
          <w:rFonts w:ascii="仿宋_GB2312" w:hAnsi="Arial" w:eastAsia="仿宋_GB2312" w:cs="仿宋_GB2312"/>
          <w:kern w:val="0"/>
          <w:sz w:val="32"/>
          <w:szCs w:val="32"/>
        </w:rPr>
        <w:t>19</w:t>
      </w:r>
      <w:r>
        <w:rPr>
          <w:rFonts w:hint="eastAsia" w:ascii="仿宋_GB2312" w:hAnsi="Arial" w:eastAsia="仿宋_GB2312" w:cs="仿宋_GB2312"/>
          <w:kern w:val="0"/>
          <w:sz w:val="32"/>
          <w:szCs w:val="32"/>
        </w:rPr>
        <w:t>日召开第一次监管工作业务需求会，联盟等主城区五个市场监管所及局机关各业务科室参加培训会，并结合实际工作情况提出了意见建议。</w:t>
      </w:r>
      <w:r>
        <w:rPr>
          <w:rFonts w:hint="eastAsia" w:ascii="仿宋_GB2312" w:eastAsia="仿宋_GB2312"/>
          <w:sz w:val="32"/>
          <w:szCs w:val="32"/>
        </w:rPr>
        <w:t>各业务监管模块</w:t>
      </w:r>
      <w:r>
        <w:rPr>
          <w:rFonts w:hint="eastAsia" w:ascii="仿宋_GB2312" w:eastAsia="仿宋_GB2312"/>
          <w:sz w:val="32"/>
          <w:szCs w:val="32"/>
          <w:lang w:eastAsia="zh-CN"/>
        </w:rPr>
        <w:t>已于</w:t>
      </w:r>
      <w:r>
        <w:rPr>
          <w:rFonts w:hint="eastAsia" w:ascii="仿宋_GB2312" w:eastAsia="仿宋_GB2312"/>
          <w:sz w:val="32"/>
          <w:szCs w:val="32"/>
        </w:rPr>
        <w:t>2020年</w:t>
      </w:r>
      <w:r>
        <w:rPr>
          <w:rFonts w:hint="eastAsia" w:ascii="仿宋_GB2312" w:eastAsia="仿宋_GB2312"/>
          <w:sz w:val="32"/>
          <w:szCs w:val="32"/>
          <w:lang w:val="en-US" w:eastAsia="zh-CN"/>
        </w:rPr>
        <w:t>6月建设完成，2021年新增“食品快检”、“工作任务”两个功能。</w:t>
      </w:r>
    </w:p>
    <w:p>
      <w:pPr>
        <w:numPr>
          <w:ilvl w:val="0"/>
          <w:numId w:val="4"/>
        </w:numPr>
        <w:ind w:left="-10" w:leftChars="0" w:firstLine="640" w:firstLineChars="0"/>
        <w:jc w:val="left"/>
        <w:rPr>
          <w:rFonts w:hint="eastAsia" w:ascii="仿宋_GB2312" w:eastAsia="仿宋_GB2312"/>
          <w:sz w:val="32"/>
          <w:szCs w:val="32"/>
          <w:lang w:eastAsia="zh-CN"/>
        </w:rPr>
      </w:pPr>
      <w:r>
        <w:rPr>
          <w:rFonts w:hint="eastAsia" w:ascii="仿宋_GB2312" w:eastAsia="仿宋_GB2312"/>
          <w:sz w:val="32"/>
          <w:szCs w:val="32"/>
          <w:lang w:eastAsia="zh-CN"/>
        </w:rPr>
        <w:t>绩效目标</w:t>
      </w:r>
    </w:p>
    <w:p>
      <w:pPr>
        <w:keepNext w:val="0"/>
        <w:keepLines w:val="0"/>
        <w:pageBreakBefore w:val="0"/>
        <w:widowControl w:val="0"/>
        <w:numPr>
          <w:ilvl w:val="0"/>
          <w:numId w:val="5"/>
        </w:numPr>
        <w:kinsoku/>
        <w:wordWrap/>
        <w:overflowPunct/>
        <w:topLinePunct/>
        <w:autoSpaceDE/>
        <w:autoSpaceDN/>
        <w:bidi w:val="0"/>
        <w:adjustRightInd w:val="0"/>
        <w:snapToGrid w:val="0"/>
        <w:spacing w:line="240" w:lineRule="auto"/>
        <w:ind w:leftChars="0" w:firstLine="640" w:firstLineChars="200"/>
        <w:jc w:val="left"/>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 总目标。建立起涉及社会公众关注健康、安全、民生的大质量数据库，并利用科技手段分析日常工作监管方面存在的薄弱环节，实施精准监管，着力提升工作效能，努实现市场监管工作“现场看得见、网上查得到、数据管得实、要素管得住、决策有支撑”的智慧监管新模式，全面提升市场监管水平。</w:t>
      </w:r>
    </w:p>
    <w:p>
      <w:pPr>
        <w:keepNext w:val="0"/>
        <w:keepLines w:val="0"/>
        <w:pageBreakBefore w:val="0"/>
        <w:widowControl w:val="0"/>
        <w:numPr>
          <w:numId w:val="0"/>
        </w:numPr>
        <w:kinsoku/>
        <w:wordWrap/>
        <w:overflowPunct/>
        <w:topLinePunct w:val="0"/>
        <w:autoSpaceDE/>
        <w:autoSpaceDN/>
        <w:bidi w:val="0"/>
        <w:adjustRightInd/>
        <w:snapToGrid/>
        <w:spacing w:line="240" w:lineRule="auto"/>
        <w:ind w:leftChars="0" w:firstLine="640" w:firstLineChars="200"/>
        <w:textAlignment w:val="auto"/>
        <w:rPr>
          <w:rFonts w:hint="eastAsia" w:ascii="仿宋_GB2312" w:hAnsi="仿宋_GB2312" w:eastAsia="仿宋_GB2312" w:cs="仿宋_GB2312"/>
          <w:color w:val="000000"/>
          <w:kern w:val="0"/>
          <w:sz w:val="32"/>
          <w:szCs w:val="32"/>
          <w:lang w:eastAsia="zh-CN"/>
        </w:rPr>
      </w:pPr>
      <w:r>
        <w:rPr>
          <w:rFonts w:hint="eastAsia" w:ascii="仿宋_GB2312" w:eastAsia="仿宋_GB2312"/>
          <w:sz w:val="32"/>
          <w:szCs w:val="32"/>
          <w:lang w:val="en-US" w:eastAsia="zh-CN"/>
        </w:rPr>
        <w:t>2.年度目标。</w:t>
      </w:r>
      <w:r>
        <w:rPr>
          <w:rFonts w:hint="eastAsia" w:ascii="仿宋_GB2312" w:hAnsi="仿宋_GB2312" w:eastAsia="仿宋_GB2312" w:cs="仿宋_GB2312"/>
          <w:sz w:val="32"/>
          <w:szCs w:val="32"/>
          <w:lang w:val="en-US" w:eastAsia="zh-CN"/>
        </w:rPr>
        <w:t>完成</w:t>
      </w:r>
      <w:r>
        <w:rPr>
          <w:rFonts w:hint="eastAsia" w:ascii="仿宋_GB2312" w:hAnsi="仿宋_GB2312" w:eastAsia="仿宋_GB2312" w:cs="仿宋_GB2312"/>
          <w:color w:val="000000"/>
          <w:kern w:val="0"/>
          <w:sz w:val="32"/>
          <w:szCs w:val="32"/>
          <w:lang w:eastAsia="zh-CN"/>
        </w:rPr>
        <w:t>整个系统搭建，</w:t>
      </w:r>
      <w:r>
        <w:rPr>
          <w:rFonts w:hint="eastAsia" w:ascii="仿宋_GB2312" w:hAnsi="仿宋_GB2312" w:eastAsia="仿宋_GB2312" w:cs="仿宋_GB2312"/>
          <w:color w:val="000000"/>
          <w:kern w:val="0"/>
          <w:sz w:val="32"/>
          <w:szCs w:val="32"/>
        </w:rPr>
        <w:t>对市场主体从事生产经营活动履行监督管理职责，是否更好地规范市场主体经营活动，是否为政府客观科学决策提供依据</w:t>
      </w:r>
      <w:r>
        <w:rPr>
          <w:rFonts w:hint="eastAsia" w:ascii="仿宋_GB2312" w:hAnsi="仿宋_GB2312" w:eastAsia="仿宋_GB2312" w:cs="仿宋_GB2312"/>
          <w:color w:val="000000"/>
          <w:kern w:val="0"/>
          <w:sz w:val="32"/>
          <w:szCs w:val="32"/>
          <w:lang w:eastAsia="zh-CN"/>
        </w:rPr>
        <w:t>。</w:t>
      </w:r>
    </w:p>
    <w:p>
      <w:pPr>
        <w:topLinePunct/>
        <w:spacing w:line="440" w:lineRule="exact"/>
        <w:ind w:firstLine="800" w:firstLineChars="250"/>
        <w:rPr>
          <w:rFonts w:ascii="黑体" w:hAnsi="黑体" w:eastAsia="黑体"/>
          <w:sz w:val="32"/>
          <w:szCs w:val="32"/>
        </w:rPr>
      </w:pPr>
      <w:r>
        <w:rPr>
          <w:rFonts w:hint="eastAsia" w:ascii="黑体" w:hAnsi="黑体" w:eastAsia="黑体"/>
          <w:sz w:val="32"/>
          <w:szCs w:val="32"/>
        </w:rPr>
        <w:t>二、绩效评价工作情况</w:t>
      </w:r>
    </w:p>
    <w:p>
      <w:pPr>
        <w:keepNext w:val="0"/>
        <w:keepLines w:val="0"/>
        <w:pageBreakBefore w:val="0"/>
        <w:widowControl w:val="0"/>
        <w:kinsoku/>
        <w:wordWrap/>
        <w:overflowPunct/>
        <w:topLinePunct/>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绩效评价目的。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（二）绩效评价工作方案制定过程。</w:t>
      </w:r>
    </w:p>
    <w:p>
      <w:pPr>
        <w:topLinePunct/>
        <w:spacing w:line="44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1.前期调研。</w:t>
      </w:r>
      <w:r>
        <w:rPr>
          <w:rFonts w:hint="eastAsia" w:ascii="仿宋_GB2312" w:hAnsi="仿宋_GB2312" w:eastAsia="仿宋_GB2312" w:cs="仿宋_GB2312"/>
          <w:sz w:val="32"/>
          <w:szCs w:val="32"/>
          <w:lang w:eastAsia="zh-CN"/>
        </w:rPr>
        <w:t>依据</w:t>
      </w:r>
      <w:r>
        <w:rPr>
          <w:rFonts w:hint="eastAsia" w:ascii="仿宋_GB2312" w:hAnsi="仿宋_GB2312" w:eastAsia="仿宋_GB2312" w:cs="仿宋_GB2312"/>
          <w:sz w:val="32"/>
          <w:szCs w:val="32"/>
        </w:rPr>
        <w:t>盘龙区市场监督管理局关于实施智慧监管项目着力提升服务监管效能的报告</w:t>
      </w:r>
      <w:r>
        <w:rPr>
          <w:rFonts w:hint="eastAsia" w:ascii="仿宋_GB2312" w:hAnsi="仿宋_GB2312" w:eastAsia="仿宋_GB2312" w:cs="仿宋_GB2312"/>
          <w:sz w:val="32"/>
          <w:szCs w:val="32"/>
          <w:lang w:eastAsia="zh-CN"/>
        </w:rPr>
        <w:t>。</w:t>
      </w:r>
    </w:p>
    <w:p>
      <w:pPr>
        <w:topLinePunct/>
        <w:spacing w:line="44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2.研究文件。</w:t>
      </w:r>
      <w:r>
        <w:rPr>
          <w:rFonts w:hint="eastAsia" w:ascii="仿宋_GB2312" w:hAnsi="仿宋_GB2312" w:eastAsia="仿宋_GB2312" w:cs="仿宋_GB2312"/>
          <w:sz w:val="32"/>
          <w:szCs w:val="32"/>
          <w:lang w:eastAsia="zh-CN"/>
        </w:rPr>
        <w:t>依据昆明市盘龙区市场监督管理局项目可行性研究报告。</w:t>
      </w:r>
    </w:p>
    <w:p>
      <w:pPr>
        <w:topLinePunct/>
        <w:spacing w:line="44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3.绩效评价指标体系及工作方案的设计。</w:t>
      </w:r>
      <w:r>
        <w:rPr>
          <w:rFonts w:hint="eastAsia" w:ascii="仿宋_GB2312" w:hAnsi="仿宋_GB2312" w:eastAsia="仿宋_GB2312" w:cs="仿宋_GB2312"/>
          <w:sz w:val="32"/>
          <w:szCs w:val="32"/>
          <w:lang w:eastAsia="zh-CN"/>
        </w:rPr>
        <w:t>依据项目可行性研究报告及项目评审报告设计绩效评价指标体系。</w:t>
      </w:r>
    </w:p>
    <w:p>
      <w:pPr>
        <w:topLinePunct/>
        <w:spacing w:line="44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（三）绩效评价原则、评价方法</w:t>
      </w:r>
    </w:p>
    <w:p>
      <w:pPr>
        <w:topLinePunct/>
        <w:spacing w:line="44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1.绩效评价原则。包括科学规范、公开公正、绩效相关等原则。</w:t>
      </w:r>
    </w:p>
    <w:p>
      <w:pPr>
        <w:topLinePunct/>
        <w:spacing w:line="44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2.绩效评价方法。包括指标评价、数据采集和社会调查中所采用的方法。</w:t>
      </w:r>
    </w:p>
    <w:p>
      <w:pPr>
        <w:topLinePunct/>
        <w:spacing w:line="44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（四）绩效评价实施过程</w:t>
      </w:r>
    </w:p>
    <w:p>
      <w:pPr>
        <w:topLinePunct/>
        <w:spacing w:line="56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1.数据填报和采集。</w:t>
      </w:r>
      <w:r>
        <w:rPr>
          <w:rFonts w:hint="eastAsia" w:ascii="仿宋_GB2312" w:eastAsia="仿宋_GB2312"/>
          <w:sz w:val="32"/>
          <w:szCs w:val="32"/>
        </w:rPr>
        <w:t>根据</w:t>
      </w:r>
      <w:r>
        <w:rPr>
          <w:rFonts w:hint="eastAsia" w:ascii="仿宋_GB2312" w:eastAsia="仿宋_GB2312"/>
          <w:sz w:val="32"/>
          <w:szCs w:val="32"/>
          <w:lang w:val="en-US" w:eastAsia="zh-CN"/>
        </w:rPr>
        <w:t>2021</w:t>
      </w:r>
      <w:r>
        <w:rPr>
          <w:rFonts w:hint="eastAsia" w:ascii="仿宋_GB2312" w:eastAsia="仿宋_GB2312"/>
          <w:sz w:val="32"/>
          <w:szCs w:val="32"/>
        </w:rPr>
        <w:t>年项目支出明细表进行数据填报和采集。</w:t>
      </w:r>
    </w:p>
    <w:p>
      <w:pPr>
        <w:topLinePunct/>
        <w:spacing w:line="560" w:lineRule="exact"/>
        <w:ind w:firstLine="800" w:firstLineChars="250"/>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.数据分析和撰写报告。依据项目的实际完成情况进行数据分析并撰写绩效报告</w:t>
      </w:r>
      <w:r>
        <w:rPr>
          <w:rFonts w:hint="eastAsia" w:ascii="仿宋_GB2312" w:hAnsi="仿宋_GB2312" w:eastAsia="仿宋_GB2312" w:cs="仿宋_GB2312"/>
          <w:sz w:val="32"/>
          <w:szCs w:val="32"/>
          <w:lang w:eastAsia="zh-CN"/>
        </w:rPr>
        <w:t>。</w:t>
      </w:r>
    </w:p>
    <w:p>
      <w:pPr>
        <w:topLinePunct/>
        <w:spacing w:line="44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三、评价结论和绩效分析</w:t>
      </w:r>
    </w:p>
    <w:p>
      <w:pPr>
        <w:topLinePunct/>
        <w:spacing w:line="440" w:lineRule="exact"/>
        <w:ind w:firstLine="640" w:firstLineChars="200"/>
        <w:rPr>
          <w:rFonts w:ascii="楷体" w:hAnsi="楷体" w:eastAsia="楷体"/>
          <w:sz w:val="32"/>
          <w:szCs w:val="32"/>
        </w:rPr>
      </w:pPr>
      <w:r>
        <w:rPr>
          <w:rFonts w:hint="eastAsia" w:ascii="楷体" w:hAnsi="楷体" w:eastAsia="楷体"/>
          <w:sz w:val="32"/>
          <w:szCs w:val="32"/>
        </w:rPr>
        <w:t>（一）评价结论。</w:t>
      </w:r>
    </w:p>
    <w:p>
      <w:pPr>
        <w:topLinePunct/>
        <w:spacing w:line="440" w:lineRule="exact"/>
        <w:ind w:firstLine="640" w:firstLineChars="200"/>
        <w:rPr>
          <w:rFonts w:hint="eastAsia" w:ascii="仿宋_GB2312" w:hAnsi="仿宋" w:eastAsia="仿宋_GB2312"/>
          <w:sz w:val="32"/>
          <w:szCs w:val="32"/>
          <w:lang w:eastAsia="zh-CN"/>
        </w:rPr>
      </w:pPr>
      <w:r>
        <w:rPr>
          <w:rFonts w:hint="eastAsia" w:ascii="仿宋_GB2312" w:hAnsi="仿宋" w:eastAsia="仿宋_GB2312"/>
          <w:sz w:val="32"/>
          <w:szCs w:val="32"/>
        </w:rPr>
        <w:t>1.评价结果。</w:t>
      </w:r>
      <w:r>
        <w:rPr>
          <w:rFonts w:ascii="仿宋_GB2312" w:eastAsia="仿宋_GB2312"/>
          <w:sz w:val="32"/>
          <w:szCs w:val="32"/>
        </w:rPr>
        <w:t>20</w:t>
      </w:r>
      <w:r>
        <w:rPr>
          <w:rFonts w:hint="eastAsia" w:ascii="仿宋_GB2312" w:eastAsia="仿宋_GB2312"/>
          <w:sz w:val="32"/>
          <w:szCs w:val="32"/>
          <w:lang w:val="en-US" w:eastAsia="zh-CN"/>
        </w:rPr>
        <w:t>21</w:t>
      </w:r>
      <w:r>
        <w:rPr>
          <w:rFonts w:hint="eastAsia" w:ascii="仿宋_GB2312" w:eastAsia="仿宋_GB2312"/>
          <w:sz w:val="32"/>
          <w:szCs w:val="32"/>
        </w:rPr>
        <w:t>年度，“智慧市场监管项目”经费做到了专款专用，项目支出绩效评价自评分为</w:t>
      </w:r>
      <w:r>
        <w:rPr>
          <w:rFonts w:ascii="仿宋_GB2312" w:eastAsia="仿宋_GB2312"/>
          <w:sz w:val="32"/>
          <w:szCs w:val="32"/>
        </w:rPr>
        <w:t>100</w:t>
      </w:r>
      <w:r>
        <w:rPr>
          <w:rFonts w:hint="eastAsia" w:ascii="仿宋_GB2312" w:eastAsia="仿宋_GB2312"/>
          <w:sz w:val="32"/>
          <w:szCs w:val="32"/>
        </w:rPr>
        <w:t>分</w:t>
      </w:r>
      <w:r>
        <w:rPr>
          <w:rFonts w:hint="eastAsia" w:ascii="仿宋_GB2312" w:eastAsia="仿宋_GB2312"/>
          <w:sz w:val="32"/>
          <w:szCs w:val="32"/>
          <w:lang w:eastAsia="zh-CN"/>
        </w:rPr>
        <w:t>，评价结果为优。</w:t>
      </w:r>
    </w:p>
    <w:p>
      <w:pPr>
        <w:topLinePunct/>
        <w:spacing w:line="44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2.主要绩效。</w:t>
      </w:r>
    </w:p>
    <w:p>
      <w:pPr>
        <w:topLinePunct/>
        <w:spacing w:line="440" w:lineRule="exact"/>
        <w:ind w:firstLine="640" w:firstLineChars="200"/>
        <w:rPr>
          <w:rFonts w:hint="eastAsia" w:ascii="仿宋_GB2312" w:hAnsi="仿宋" w:eastAsia="仿宋_GB2312"/>
          <w:sz w:val="32"/>
          <w:szCs w:val="32"/>
        </w:rPr>
      </w:pPr>
      <w:r>
        <w:rPr>
          <w:rFonts w:hint="eastAsia" w:ascii="仿宋_GB2312" w:hAnsi="仿宋_GB2312" w:eastAsia="仿宋_GB2312" w:cs="仿宋_GB2312"/>
          <w:sz w:val="32"/>
          <w:szCs w:val="32"/>
          <w:lang w:val="en-US" w:eastAsia="zh-CN"/>
        </w:rPr>
        <w:t>完成</w:t>
      </w:r>
      <w:r>
        <w:rPr>
          <w:rFonts w:hint="eastAsia" w:ascii="仿宋_GB2312" w:hAnsi="仿宋_GB2312" w:eastAsia="仿宋_GB2312" w:cs="仿宋_GB2312"/>
          <w:color w:val="000000"/>
          <w:kern w:val="0"/>
          <w:sz w:val="32"/>
          <w:szCs w:val="32"/>
          <w:lang w:eastAsia="zh-CN"/>
        </w:rPr>
        <w:t>整个系统搭建，</w:t>
      </w:r>
      <w:r>
        <w:rPr>
          <w:rFonts w:hint="eastAsia" w:ascii="仿宋_GB2312" w:hAnsi="仿宋_GB2312" w:eastAsia="仿宋_GB2312" w:cs="仿宋_GB2312"/>
          <w:color w:val="000000"/>
          <w:kern w:val="0"/>
          <w:sz w:val="32"/>
          <w:szCs w:val="32"/>
        </w:rPr>
        <w:t>对市场主体从事生产经营活动履行监督管理职责，是否更好地规范市场主体经营活动，是否为政府客观科学决策提供依据</w:t>
      </w:r>
      <w:r>
        <w:rPr>
          <w:rFonts w:hint="eastAsia" w:ascii="仿宋_GB2312" w:hAnsi="仿宋_GB2312" w:eastAsia="仿宋_GB2312" w:cs="仿宋_GB2312"/>
          <w:color w:val="000000"/>
          <w:kern w:val="0"/>
          <w:sz w:val="32"/>
          <w:szCs w:val="32"/>
          <w:lang w:eastAsia="zh-CN"/>
        </w:rPr>
        <w:t>。</w:t>
      </w:r>
    </w:p>
    <w:p>
      <w:pPr>
        <w:numPr>
          <w:ilvl w:val="0"/>
          <w:numId w:val="4"/>
        </w:numPr>
        <w:topLinePunct/>
        <w:spacing w:line="440" w:lineRule="exact"/>
        <w:ind w:left="-10" w:leftChars="0" w:firstLine="640" w:firstLineChars="0"/>
        <w:rPr>
          <w:rFonts w:hint="eastAsia" w:ascii="楷体" w:hAnsi="楷体" w:eastAsia="楷体"/>
          <w:color w:val="auto"/>
          <w:sz w:val="32"/>
          <w:szCs w:val="32"/>
        </w:rPr>
      </w:pPr>
      <w:r>
        <w:rPr>
          <w:rFonts w:hint="eastAsia" w:ascii="楷体" w:hAnsi="楷体" w:eastAsia="楷体"/>
          <w:color w:val="auto"/>
          <w:sz w:val="32"/>
          <w:szCs w:val="32"/>
        </w:rPr>
        <w:t>具体绩效分析。</w:t>
      </w:r>
      <w:r>
        <w:rPr>
          <w:rFonts w:hint="eastAsia" w:ascii="楷体" w:hAnsi="楷体" w:eastAsia="楷体"/>
          <w:color w:val="auto"/>
          <w:sz w:val="32"/>
          <w:szCs w:val="32"/>
        </w:rPr>
        <w:br w:type="textWrapping"/>
      </w:r>
      <w:r>
        <w:rPr>
          <w:rFonts w:hint="eastAsia" w:ascii="仿宋_GB2312" w:hAnsi="仿宋_GB2312" w:eastAsia="仿宋_GB2312" w:cs="仿宋_GB2312"/>
          <w:color w:val="auto"/>
          <w:sz w:val="32"/>
          <w:szCs w:val="32"/>
          <w:lang w:val="en-US" w:eastAsia="zh-CN"/>
        </w:rPr>
        <w:t xml:space="preserve">    项目决策20分，项目立项8分，项目目标12分。</w:t>
      </w:r>
    </w:p>
    <w:p>
      <w:pPr>
        <w:numPr>
          <w:ilvl w:val="0"/>
          <w:numId w:val="0"/>
        </w:numPr>
        <w:topLinePunct/>
        <w:spacing w:line="4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项目的立项前期有项目实施的可行性研究报告及项目的评审报告，同时经</w:t>
      </w:r>
      <w:r>
        <w:rPr>
          <w:rFonts w:hint="eastAsia" w:ascii="仿宋_GB2312" w:eastAsia="仿宋_GB2312"/>
          <w:sz w:val="32"/>
          <w:szCs w:val="32"/>
        </w:rPr>
        <w:t>2019年区政府第十六届48次常务会议研究通过</w:t>
      </w:r>
      <w:r>
        <w:rPr>
          <w:rFonts w:hint="eastAsia" w:ascii="仿宋_GB2312" w:eastAsia="仿宋_GB2312"/>
          <w:sz w:val="32"/>
          <w:szCs w:val="32"/>
          <w:lang w:eastAsia="zh-CN"/>
        </w:rPr>
        <w:t>。项目的立项依据充分，符合部门中长期规划，项目绩效目标明确，设定合理。</w:t>
      </w:r>
    </w:p>
    <w:p>
      <w:pPr>
        <w:numPr>
          <w:ilvl w:val="0"/>
          <w:numId w:val="0"/>
        </w:numPr>
        <w:topLinePunct/>
        <w:spacing w:line="440" w:lineRule="exact"/>
        <w:rPr>
          <w:rFonts w:hint="default" w:ascii="仿宋_GB2312" w:eastAsia="仿宋_GB2312"/>
          <w:sz w:val="32"/>
          <w:szCs w:val="32"/>
          <w:lang w:val="en-US" w:eastAsia="zh-CN"/>
        </w:rPr>
      </w:pPr>
      <w:r>
        <w:rPr>
          <w:rFonts w:hint="eastAsia" w:ascii="仿宋_GB2312" w:eastAsia="仿宋_GB2312"/>
          <w:sz w:val="32"/>
          <w:szCs w:val="32"/>
          <w:lang w:val="en-US" w:eastAsia="zh-CN"/>
        </w:rPr>
        <w:t xml:space="preserve">   项目管理20分，投入管理4分，财务管理6分，项目实施6分。</w:t>
      </w:r>
    </w:p>
    <w:p>
      <w:pPr>
        <w:spacing w:line="360" w:lineRule="auto"/>
        <w:ind w:firstLine="627" w:firstLineChars="196"/>
        <w:rPr>
          <w:rFonts w:hint="eastAsia" w:ascii="仿宋_GB2312" w:eastAsia="仿宋_GB2312"/>
          <w:sz w:val="32"/>
          <w:szCs w:val="32"/>
          <w:lang w:eastAsia="zh-CN"/>
        </w:rPr>
      </w:pPr>
      <w:r>
        <w:rPr>
          <w:rFonts w:hint="eastAsia" w:ascii="仿宋_GB2312" w:eastAsia="仿宋_GB2312"/>
          <w:sz w:val="32"/>
          <w:szCs w:val="32"/>
          <w:lang w:eastAsia="zh-CN"/>
        </w:rPr>
        <w:t>项目的预算编制合理，严格按照政府采购程序办理。</w:t>
      </w:r>
      <w:r>
        <w:rPr>
          <w:rFonts w:hint="eastAsia" w:ascii="仿宋_GB2312" w:eastAsia="仿宋_GB2312"/>
          <w:sz w:val="32"/>
          <w:szCs w:val="32"/>
        </w:rPr>
        <w:t>20</w:t>
      </w:r>
      <w:r>
        <w:rPr>
          <w:rFonts w:hint="eastAsia" w:ascii="仿宋_GB2312" w:eastAsia="仿宋_GB2312"/>
          <w:sz w:val="32"/>
          <w:szCs w:val="32"/>
          <w:lang w:val="en-US" w:eastAsia="zh-CN"/>
        </w:rPr>
        <w:t>19</w:t>
      </w:r>
      <w:r>
        <w:rPr>
          <w:rFonts w:hint="eastAsia" w:ascii="仿宋_GB2312" w:eastAsia="仿宋_GB2312"/>
          <w:sz w:val="32"/>
          <w:szCs w:val="32"/>
        </w:rPr>
        <w:t>年7月25日完成政府采购招投标工作，项目服务期三年（2019年9月9日至2022年8月9日），服务金额446.7万元（1</w:t>
      </w:r>
      <w:r>
        <w:rPr>
          <w:rFonts w:hint="eastAsia" w:ascii="仿宋_GB2312" w:eastAsia="仿宋_GB2312"/>
          <w:sz w:val="32"/>
          <w:szCs w:val="32"/>
          <w:lang w:val="en-US" w:eastAsia="zh-CN"/>
        </w:rPr>
        <w:t>4</w:t>
      </w:r>
      <w:r>
        <w:rPr>
          <w:rFonts w:hint="eastAsia" w:ascii="仿宋_GB2312" w:eastAsia="仿宋_GB2312"/>
          <w:sz w:val="32"/>
          <w:szCs w:val="32"/>
        </w:rPr>
        <w:t>8.9万元/每年）。20</w:t>
      </w:r>
      <w:r>
        <w:rPr>
          <w:rFonts w:hint="eastAsia" w:ascii="仿宋_GB2312" w:eastAsia="仿宋_GB2312"/>
          <w:sz w:val="32"/>
          <w:szCs w:val="32"/>
          <w:lang w:val="en-US" w:eastAsia="zh-CN"/>
        </w:rPr>
        <w:t>19</w:t>
      </w:r>
      <w:r>
        <w:rPr>
          <w:rFonts w:hint="eastAsia" w:ascii="仿宋_GB2312" w:eastAsia="仿宋_GB2312"/>
          <w:sz w:val="32"/>
          <w:szCs w:val="32"/>
        </w:rPr>
        <w:t>年9月12日我局与项目中标方签订服务合同，项目自2019年9月29日正式进入实施</w:t>
      </w:r>
      <w:r>
        <w:rPr>
          <w:rFonts w:hint="eastAsia" w:ascii="仿宋_GB2312" w:eastAsia="仿宋_GB2312"/>
          <w:sz w:val="32"/>
          <w:szCs w:val="32"/>
          <w:lang w:eastAsia="zh-CN"/>
        </w:rPr>
        <w:t>，系统</w:t>
      </w:r>
      <w:r>
        <w:rPr>
          <w:rFonts w:hint="eastAsia" w:ascii="仿宋_GB2312" w:eastAsia="仿宋_GB2312"/>
          <w:sz w:val="32"/>
          <w:szCs w:val="32"/>
        </w:rPr>
        <w:t>各业务监管模块</w:t>
      </w:r>
      <w:r>
        <w:rPr>
          <w:rFonts w:hint="eastAsia" w:ascii="仿宋_GB2312" w:eastAsia="仿宋_GB2312"/>
          <w:sz w:val="32"/>
          <w:szCs w:val="32"/>
          <w:lang w:eastAsia="zh-CN"/>
        </w:rPr>
        <w:t>已于</w:t>
      </w:r>
      <w:r>
        <w:rPr>
          <w:rFonts w:hint="eastAsia" w:ascii="仿宋_GB2312" w:eastAsia="仿宋_GB2312"/>
          <w:sz w:val="32"/>
          <w:szCs w:val="32"/>
        </w:rPr>
        <w:t>2020年</w:t>
      </w:r>
      <w:r>
        <w:rPr>
          <w:rFonts w:hint="eastAsia" w:ascii="仿宋_GB2312" w:eastAsia="仿宋_GB2312"/>
          <w:sz w:val="32"/>
          <w:szCs w:val="32"/>
          <w:lang w:val="en-US" w:eastAsia="zh-CN"/>
        </w:rPr>
        <w:t>6月建设完成，现根据实际工作需要不断进行功能新增及完善</w:t>
      </w:r>
      <w:r>
        <w:rPr>
          <w:rFonts w:hint="eastAsia" w:ascii="仿宋_GB2312" w:eastAsia="仿宋_GB2312"/>
          <w:sz w:val="32"/>
          <w:szCs w:val="32"/>
        </w:rPr>
        <w:t>。</w:t>
      </w:r>
      <w:r>
        <w:rPr>
          <w:rFonts w:hint="eastAsia" w:ascii="仿宋_GB2312" w:eastAsia="仿宋_GB2312"/>
          <w:sz w:val="32"/>
          <w:szCs w:val="32"/>
          <w:lang w:eastAsia="zh-CN"/>
        </w:rPr>
        <w:t>预算编制科学合理，按照政府采购金额，分三年编制预算，每年预算</w:t>
      </w:r>
      <w:r>
        <w:rPr>
          <w:rFonts w:hint="eastAsia" w:ascii="仿宋_GB2312" w:eastAsia="仿宋_GB2312"/>
          <w:sz w:val="32"/>
          <w:szCs w:val="32"/>
          <w:lang w:val="en-US" w:eastAsia="zh-CN"/>
        </w:rPr>
        <w:t>148.9万元。</w:t>
      </w:r>
      <w:r>
        <w:rPr>
          <w:rFonts w:ascii="仿宋_GB2312" w:eastAsia="仿宋_GB2312"/>
          <w:sz w:val="32"/>
          <w:szCs w:val="32"/>
        </w:rPr>
        <w:t>20</w:t>
      </w:r>
      <w:r>
        <w:rPr>
          <w:rFonts w:hint="eastAsia" w:ascii="仿宋_GB2312" w:eastAsia="仿宋_GB2312"/>
          <w:sz w:val="32"/>
          <w:szCs w:val="32"/>
          <w:lang w:val="en-US" w:eastAsia="zh-CN"/>
        </w:rPr>
        <w:t>21</w:t>
      </w:r>
      <w:r>
        <w:rPr>
          <w:rFonts w:hint="eastAsia" w:ascii="仿宋_GB2312" w:eastAsia="仿宋_GB2312"/>
          <w:sz w:val="32"/>
          <w:szCs w:val="32"/>
        </w:rPr>
        <w:t>收到财政拨付“智慧市场监管项目资金”共计</w:t>
      </w:r>
      <w:r>
        <w:rPr>
          <w:rFonts w:hint="eastAsia" w:ascii="仿宋_GB2312" w:eastAsia="仿宋_GB2312"/>
          <w:sz w:val="32"/>
          <w:szCs w:val="32"/>
          <w:lang w:val="en-US" w:eastAsia="zh-CN"/>
        </w:rPr>
        <w:t>148.9</w:t>
      </w:r>
      <w:r>
        <w:rPr>
          <w:rFonts w:hint="eastAsia" w:ascii="仿宋_GB2312" w:eastAsia="仿宋_GB2312"/>
          <w:sz w:val="32"/>
          <w:szCs w:val="32"/>
        </w:rPr>
        <w:t>万元，年终决算收入</w:t>
      </w:r>
      <w:r>
        <w:rPr>
          <w:rFonts w:hint="eastAsia" w:ascii="仿宋_GB2312" w:eastAsia="仿宋_GB2312"/>
          <w:sz w:val="32"/>
          <w:szCs w:val="32"/>
          <w:lang w:val="en-US" w:eastAsia="zh-CN"/>
        </w:rPr>
        <w:t>148.9</w:t>
      </w:r>
      <w:r>
        <w:rPr>
          <w:rFonts w:hint="eastAsia" w:ascii="仿宋_GB2312" w:eastAsia="仿宋_GB2312"/>
          <w:sz w:val="32"/>
          <w:szCs w:val="32"/>
        </w:rPr>
        <w:t>万元，已全部使用完毕</w:t>
      </w:r>
      <w:r>
        <w:rPr>
          <w:rFonts w:hint="eastAsia" w:ascii="仿宋_GB2312" w:eastAsia="仿宋_GB2312"/>
          <w:sz w:val="32"/>
          <w:szCs w:val="32"/>
          <w:lang w:eastAsia="zh-CN"/>
        </w:rPr>
        <w:t>。</w:t>
      </w:r>
    </w:p>
    <w:p>
      <w:pPr>
        <w:spacing w:line="360" w:lineRule="auto"/>
        <w:ind w:firstLine="627" w:firstLineChars="196"/>
        <w:rPr>
          <w:rFonts w:hint="eastAsia" w:ascii="仿宋_GB2312" w:eastAsia="仿宋_GB2312"/>
          <w:sz w:val="32"/>
          <w:szCs w:val="32"/>
          <w:lang w:val="en-US" w:eastAsia="zh-CN"/>
        </w:rPr>
      </w:pPr>
      <w:r>
        <w:rPr>
          <w:rFonts w:hint="eastAsia" w:ascii="仿宋_GB2312" w:eastAsia="仿宋_GB2312"/>
          <w:sz w:val="32"/>
          <w:szCs w:val="32"/>
          <w:lang w:eastAsia="zh-CN"/>
        </w:rPr>
        <w:t>项目绩效</w:t>
      </w:r>
      <w:r>
        <w:rPr>
          <w:rFonts w:hint="eastAsia" w:ascii="仿宋_GB2312" w:eastAsia="仿宋_GB2312"/>
          <w:sz w:val="32"/>
          <w:szCs w:val="32"/>
          <w:lang w:val="en-US" w:eastAsia="zh-CN"/>
        </w:rPr>
        <w:t>60分，其中项目产出30分，项目效益30分。</w:t>
      </w:r>
    </w:p>
    <w:p>
      <w:pPr>
        <w:spacing w:line="360" w:lineRule="auto"/>
        <w:ind w:firstLine="627" w:firstLineChars="196"/>
        <w:rPr>
          <w:rFonts w:hint="eastAsia" w:ascii="仿宋_GB2312" w:hAnsi="仿宋_GB2312" w:eastAsia="仿宋_GB2312" w:cs="仿宋_GB2312"/>
          <w:sz w:val="32"/>
          <w:szCs w:val="32"/>
          <w:lang w:val="en-US" w:eastAsia="zh-CN"/>
        </w:rPr>
      </w:pPr>
      <w:r>
        <w:rPr>
          <w:rFonts w:hint="eastAsia" w:ascii="仿宋_GB2312" w:eastAsia="仿宋_GB2312"/>
          <w:sz w:val="32"/>
          <w:szCs w:val="32"/>
          <w:lang w:eastAsia="zh-CN"/>
        </w:rPr>
        <w:t>系统</w:t>
      </w:r>
      <w:r>
        <w:rPr>
          <w:rFonts w:hint="eastAsia" w:ascii="仿宋_GB2312" w:eastAsia="仿宋_GB2312"/>
          <w:sz w:val="32"/>
          <w:szCs w:val="32"/>
        </w:rPr>
        <w:t>各</w:t>
      </w:r>
      <w:r>
        <w:rPr>
          <w:rFonts w:hint="eastAsia" w:ascii="仿宋_GB2312" w:eastAsia="仿宋_GB2312"/>
          <w:sz w:val="32"/>
          <w:szCs w:val="32"/>
          <w:lang w:eastAsia="zh-CN"/>
        </w:rPr>
        <w:t>基本</w:t>
      </w:r>
      <w:r>
        <w:rPr>
          <w:rFonts w:hint="eastAsia" w:ascii="仿宋_GB2312" w:eastAsia="仿宋_GB2312"/>
          <w:sz w:val="32"/>
          <w:szCs w:val="32"/>
        </w:rPr>
        <w:t>业务监管模块</w:t>
      </w:r>
      <w:r>
        <w:rPr>
          <w:rFonts w:hint="eastAsia" w:ascii="仿宋_GB2312" w:eastAsia="仿宋_GB2312"/>
          <w:sz w:val="32"/>
          <w:szCs w:val="32"/>
          <w:lang w:eastAsia="zh-CN"/>
        </w:rPr>
        <w:t>已于</w:t>
      </w:r>
      <w:r>
        <w:rPr>
          <w:rFonts w:hint="eastAsia" w:ascii="仿宋_GB2312" w:eastAsia="仿宋_GB2312"/>
          <w:sz w:val="32"/>
          <w:szCs w:val="32"/>
        </w:rPr>
        <w:t>2020年</w:t>
      </w:r>
      <w:r>
        <w:rPr>
          <w:rFonts w:hint="eastAsia" w:ascii="仿宋_GB2312" w:eastAsia="仿宋_GB2312"/>
          <w:sz w:val="32"/>
          <w:szCs w:val="32"/>
          <w:lang w:val="en-US" w:eastAsia="zh-CN"/>
        </w:rPr>
        <w:t>6月建设完成，根据实际工作需要，在不断进行原有功能完善的基础上，根据实际工作需要，2021年新增“食品快检”、“工作任务”两个功能。其中“食品快检”主要用于对每天农贸市场的农产品检测情况进行公示，以便监管人员更好的进行管理；“工作任务”主要用于对一些专项工作或临时性任务进行安排部署，以便监管人员能及时、精准的完成各项监管任务。</w:t>
      </w:r>
      <w:r>
        <w:rPr>
          <w:rFonts w:hint="eastAsia" w:ascii="仿宋_GB2312" w:hAnsi="仿宋_GB2312" w:eastAsia="仿宋_GB2312" w:cs="仿宋_GB2312"/>
          <w:sz w:val="32"/>
          <w:szCs w:val="32"/>
          <w:lang w:val="en-US" w:eastAsia="zh-CN"/>
        </w:rPr>
        <w:t>自2021年8月25日开始，每天安排12315轮值人员通过视频调度查找农贸市场存在的问题，并通知辖区监管所及时完成整改。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eastAsia="仿宋_GB2312"/>
          <w:sz w:val="32"/>
          <w:szCs w:val="32"/>
          <w:lang w:val="en-US" w:eastAsia="zh-CN"/>
        </w:rPr>
      </w:pPr>
      <w:r>
        <w:rPr>
          <w:rFonts w:hint="eastAsia" w:ascii="仿宋_GB2312" w:hAnsi="仿宋_GB2312" w:eastAsia="仿宋_GB2312" w:cs="仿宋_GB2312"/>
          <w:sz w:val="32"/>
          <w:szCs w:val="32"/>
          <w:lang w:eastAsia="zh-CN"/>
        </w:rPr>
        <w:t>截止</w:t>
      </w:r>
      <w:r>
        <w:rPr>
          <w:rFonts w:hint="eastAsia" w:ascii="仿宋_GB2312" w:hAnsi="仿宋_GB2312" w:eastAsia="仿宋_GB2312" w:cs="仿宋_GB2312"/>
          <w:sz w:val="32"/>
          <w:szCs w:val="32"/>
          <w:lang w:val="en-US" w:eastAsia="zh-CN"/>
        </w:rPr>
        <w:t>2021年12月31日全区共有企业54248户、个体55862户，已全部导入“智慧市场监管系统服务平台”。2021年</w:t>
      </w:r>
      <w:r>
        <w:rPr>
          <w:rFonts w:hint="eastAsia" w:ascii="仿宋_GB2312" w:eastAsia="仿宋_GB2312"/>
          <w:sz w:val="32"/>
          <w:szCs w:val="32"/>
          <w:lang w:val="en-US" w:eastAsia="zh-CN"/>
        </w:rPr>
        <w:t>我局共出动监管人员15119人次，对6335户重点企业实施监管工作，落实了“宽进严管”工作要求，强化了事中事后监管，规范了市场交易秩序，净化了市场主体发展环境，优化了营商环境，为政府客观科学决策提供了依据</w:t>
      </w:r>
      <w:r>
        <w:rPr>
          <w:rFonts w:hint="eastAsia" w:ascii="仿宋_GB2312" w:eastAsia="仿宋_GB2312"/>
          <w:sz w:val="32"/>
          <w:szCs w:val="32"/>
          <w:lang w:eastAsia="zh-CN"/>
        </w:rPr>
        <w:t>。</w:t>
      </w:r>
    </w:p>
    <w:p>
      <w:pPr>
        <w:numPr>
          <w:ilvl w:val="0"/>
          <w:numId w:val="6"/>
        </w:numPr>
        <w:topLinePunct/>
        <w:spacing w:line="440" w:lineRule="exact"/>
        <w:ind w:leftChars="200" w:firstLine="320" w:firstLineChars="100"/>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成本效益分析</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leftChars="0" w:firstLine="640" w:firstLineChars="200"/>
        <w:textAlignment w:val="auto"/>
        <w:rPr>
          <w:rFonts w:hint="default" w:ascii="楷体" w:hAnsi="楷体" w:eastAsia="楷体"/>
          <w:sz w:val="32"/>
          <w:szCs w:val="32"/>
          <w:lang w:val="en-US"/>
        </w:rPr>
      </w:pPr>
      <w:r>
        <w:rPr>
          <w:rFonts w:hint="eastAsia" w:ascii="仿宋_GB2312" w:eastAsia="仿宋_GB2312"/>
          <w:sz w:val="32"/>
          <w:szCs w:val="32"/>
        </w:rPr>
        <w:t>项目服务期三年（2019年9月9日至202</w:t>
      </w:r>
      <w:r>
        <w:rPr>
          <w:rFonts w:hint="eastAsia" w:ascii="仿宋_GB2312" w:eastAsia="仿宋_GB2312"/>
          <w:sz w:val="32"/>
          <w:szCs w:val="32"/>
          <w:lang w:val="en-US" w:eastAsia="zh-CN"/>
        </w:rPr>
        <w:t>2</w:t>
      </w:r>
      <w:r>
        <w:rPr>
          <w:rFonts w:hint="eastAsia" w:ascii="仿宋_GB2312" w:eastAsia="仿宋_GB2312"/>
          <w:sz w:val="32"/>
          <w:szCs w:val="32"/>
        </w:rPr>
        <w:t>年8月9日），服务金额446.7万元（1</w:t>
      </w:r>
      <w:r>
        <w:rPr>
          <w:rFonts w:hint="eastAsia" w:ascii="仿宋_GB2312" w:eastAsia="仿宋_GB2312"/>
          <w:sz w:val="32"/>
          <w:szCs w:val="32"/>
          <w:lang w:val="en-US" w:eastAsia="zh-CN"/>
        </w:rPr>
        <w:t>4</w:t>
      </w:r>
      <w:r>
        <w:rPr>
          <w:rFonts w:hint="eastAsia" w:ascii="仿宋_GB2312" w:eastAsia="仿宋_GB2312"/>
          <w:sz w:val="32"/>
          <w:szCs w:val="32"/>
        </w:rPr>
        <w:t>8.9万元/每年）。20</w:t>
      </w:r>
      <w:r>
        <w:rPr>
          <w:rFonts w:hint="eastAsia" w:ascii="仿宋_GB2312" w:eastAsia="仿宋_GB2312"/>
          <w:sz w:val="32"/>
          <w:szCs w:val="32"/>
          <w:lang w:val="en-US" w:eastAsia="zh-CN"/>
        </w:rPr>
        <w:t>19</w:t>
      </w:r>
      <w:r>
        <w:rPr>
          <w:rFonts w:hint="eastAsia" w:ascii="仿宋_GB2312" w:eastAsia="仿宋_GB2312"/>
          <w:sz w:val="32"/>
          <w:szCs w:val="32"/>
        </w:rPr>
        <w:t>年9月12日我局与项目中标方签订服务合同，项目自2019年9月29日正式进入实施阶段。</w:t>
      </w:r>
      <w:r>
        <w:rPr>
          <w:rFonts w:hint="eastAsia" w:ascii="仿宋_GB2312" w:eastAsia="仿宋_GB2312"/>
          <w:sz w:val="32"/>
          <w:szCs w:val="32"/>
          <w:lang w:eastAsia="zh-CN"/>
        </w:rPr>
        <w:t>我局分三年编制预算，每年预算</w:t>
      </w:r>
      <w:r>
        <w:rPr>
          <w:rFonts w:hint="eastAsia" w:ascii="仿宋_GB2312" w:eastAsia="仿宋_GB2312"/>
          <w:sz w:val="32"/>
          <w:szCs w:val="32"/>
          <w:lang w:val="en-US" w:eastAsia="zh-CN"/>
        </w:rPr>
        <w:t>148.9万元，2021年根据合同支付费用148.9万元，预算执行率为100%。截止至2021年，项目三年服务期已满，智慧监管平台已搭建完成并投入使用，</w:t>
      </w:r>
      <w:r>
        <w:rPr>
          <w:rFonts w:hint="eastAsia" w:ascii="仿宋_GB2312" w:hAnsi="仿宋_GB2312" w:eastAsia="仿宋_GB2312" w:cs="仿宋_GB2312"/>
          <w:sz w:val="32"/>
          <w:szCs w:val="32"/>
          <w:lang w:val="en-US" w:eastAsia="zh-CN"/>
        </w:rPr>
        <w:t>2021年</w:t>
      </w:r>
      <w:r>
        <w:rPr>
          <w:rFonts w:hint="eastAsia" w:ascii="仿宋_GB2312" w:eastAsia="仿宋_GB2312"/>
          <w:sz w:val="32"/>
          <w:szCs w:val="32"/>
          <w:lang w:val="en-US" w:eastAsia="zh-CN"/>
        </w:rPr>
        <w:t>我局共出动监管人员15119人次，对6335户重点企业实施监管工作，落实了“宽进严管”工作要求，强化了事中事后监管，规范了市场交易秩序，净化了市场主体发展环境，优化了营商环境，为政府客观科学决策提供了依据</w:t>
      </w:r>
      <w:r>
        <w:rPr>
          <w:rFonts w:hint="eastAsia" w:ascii="仿宋_GB2312" w:eastAsia="仿宋_GB2312"/>
          <w:sz w:val="32"/>
          <w:szCs w:val="32"/>
          <w:lang w:eastAsia="zh-CN"/>
        </w:rPr>
        <w:t>。</w:t>
      </w:r>
    </w:p>
    <w:p>
      <w:pPr>
        <w:topLinePunct/>
        <w:spacing w:line="360" w:lineRule="auto"/>
        <w:ind w:firstLine="800" w:firstLineChars="250"/>
        <w:rPr>
          <w:rFonts w:ascii="黑体" w:eastAsia="黑体"/>
          <w:sz w:val="32"/>
          <w:szCs w:val="32"/>
        </w:rPr>
      </w:pPr>
      <w:r>
        <w:rPr>
          <w:rFonts w:hint="eastAsia" w:ascii="黑体" w:eastAsia="黑体"/>
          <w:sz w:val="32"/>
          <w:szCs w:val="32"/>
          <w:lang w:eastAsia="zh-CN"/>
        </w:rPr>
        <w:t>五</w:t>
      </w:r>
      <w:r>
        <w:rPr>
          <w:rFonts w:hint="eastAsia" w:ascii="黑体" w:eastAsia="黑体"/>
          <w:sz w:val="32"/>
          <w:szCs w:val="32"/>
        </w:rPr>
        <w:t>、经验、问题和建议</w:t>
      </w:r>
    </w:p>
    <w:p>
      <w:pPr>
        <w:ind w:firstLine="640" w:firstLineChars="200"/>
        <w:rPr>
          <w:rFonts w:ascii="楷体_GB2312" w:eastAsia="楷体_GB2312"/>
          <w:sz w:val="32"/>
          <w:szCs w:val="32"/>
        </w:rPr>
      </w:pPr>
      <w:r>
        <w:rPr>
          <w:rFonts w:hint="eastAsia" w:ascii="楷体_GB2312" w:eastAsia="楷体_GB2312"/>
          <w:sz w:val="32"/>
          <w:szCs w:val="32"/>
        </w:rPr>
        <w:t>（一）主要经验及做法</w:t>
      </w:r>
    </w:p>
    <w:p>
      <w:pPr>
        <w:autoSpaceDE w:val="0"/>
        <w:autoSpaceDN w:val="0"/>
        <w:adjustRightInd w:val="0"/>
        <w:ind w:firstLine="640" w:firstLineChars="200"/>
        <w:jc w:val="left"/>
        <w:rPr>
          <w:rFonts w:hint="eastAsia" w:ascii="仿宋_GB2312" w:eastAsia="仿宋_GB2312"/>
          <w:sz w:val="32"/>
          <w:szCs w:val="32"/>
        </w:rPr>
      </w:pPr>
      <w:r>
        <w:rPr>
          <w:rFonts w:hint="eastAsia" w:ascii="仿宋_GB2312" w:eastAsia="仿宋_GB2312"/>
          <w:sz w:val="32"/>
          <w:szCs w:val="32"/>
        </w:rPr>
        <w:t>“智慧市场监管系统”由视频监控及日常监管两部分组成，系统以服务+监管+互联网的新型综合监管体系为目标，紧紧围绕营商环境、现场执法、安全源头可查、问题可控、全程监控的目标，对全区市场经营主体进行实时监管。</w:t>
      </w:r>
    </w:p>
    <w:p>
      <w:pPr>
        <w:numPr>
          <w:ilvl w:val="0"/>
          <w:numId w:val="0"/>
        </w:numPr>
        <w:autoSpaceDE w:val="0"/>
        <w:autoSpaceDN w:val="0"/>
        <w:adjustRightInd w:val="0"/>
        <w:jc w:val="left"/>
        <w:rPr>
          <w:rFonts w:hint="eastAsia" w:ascii="仿宋_GB2312" w:eastAsia="仿宋_GB2312"/>
          <w:sz w:val="32"/>
          <w:szCs w:val="32"/>
        </w:rPr>
      </w:pPr>
      <w:r>
        <w:rPr>
          <w:rFonts w:hint="eastAsia" w:ascii="仿宋_GB2312" w:eastAsia="仿宋_GB2312"/>
          <w:sz w:val="32"/>
          <w:szCs w:val="32"/>
          <w:lang w:eastAsia="zh-CN"/>
        </w:rPr>
        <w:t>　　１、</w:t>
      </w:r>
      <w:r>
        <w:rPr>
          <w:rFonts w:hint="eastAsia" w:ascii="仿宋_GB2312" w:eastAsia="仿宋_GB2312"/>
          <w:sz w:val="32"/>
          <w:szCs w:val="32"/>
        </w:rPr>
        <w:t>视频监控通过智能识别对农贸市场</w:t>
      </w:r>
      <w:r>
        <w:rPr>
          <w:rFonts w:hint="eastAsia" w:ascii="仿宋_GB2312" w:eastAsia="仿宋_GB2312"/>
          <w:sz w:val="32"/>
          <w:szCs w:val="32"/>
          <w:lang w:eastAsia="zh-CN"/>
        </w:rPr>
        <w:t>、供餐单位、农村客堂及机关、</w:t>
      </w:r>
      <w:r>
        <w:rPr>
          <w:rFonts w:hint="eastAsia" w:ascii="仿宋_GB2312" w:eastAsia="仿宋_GB2312"/>
          <w:sz w:val="32"/>
          <w:szCs w:val="32"/>
        </w:rPr>
        <w:t>学校、幼儿园</w:t>
      </w:r>
      <w:r>
        <w:rPr>
          <w:rFonts w:hint="eastAsia" w:ascii="仿宋_GB2312" w:eastAsia="仿宋_GB2312"/>
          <w:sz w:val="32"/>
          <w:szCs w:val="32"/>
          <w:lang w:eastAsia="zh-CN"/>
        </w:rPr>
        <w:t>等</w:t>
      </w:r>
      <w:r>
        <w:rPr>
          <w:rFonts w:hint="eastAsia" w:ascii="仿宋_GB2312" w:eastAsia="仿宋_GB2312"/>
          <w:sz w:val="32"/>
          <w:szCs w:val="32"/>
        </w:rPr>
        <w:t>食堂进行远程监管，自动识别违规行为，自动派发整改单；</w:t>
      </w:r>
    </w:p>
    <w:p>
      <w:pPr>
        <w:numPr>
          <w:ilvl w:val="0"/>
          <w:numId w:val="0"/>
        </w:numPr>
        <w:autoSpaceDE w:val="0"/>
        <w:autoSpaceDN w:val="0"/>
        <w:adjustRightInd w:val="0"/>
        <w:jc w:val="left"/>
        <w:rPr>
          <w:rFonts w:hint="eastAsia" w:ascii="仿宋_GB2312" w:eastAsia="仿宋_GB2312"/>
          <w:sz w:val="32"/>
          <w:szCs w:val="32"/>
          <w:lang w:eastAsia="zh-CN"/>
        </w:rPr>
      </w:pPr>
      <w:r>
        <w:rPr>
          <w:rFonts w:hint="eastAsia" w:ascii="仿宋_GB2312" w:eastAsia="仿宋_GB2312"/>
          <w:sz w:val="32"/>
          <w:szCs w:val="32"/>
          <w:lang w:eastAsia="zh-CN"/>
        </w:rPr>
        <w:t>　　２、</w:t>
      </w:r>
      <w:r>
        <w:rPr>
          <w:rFonts w:hint="eastAsia" w:ascii="仿宋_GB2312" w:eastAsia="仿宋_GB2312"/>
          <w:sz w:val="32"/>
          <w:szCs w:val="32"/>
        </w:rPr>
        <w:t>日常监管主要用于市场监管工作人员外出巡查时对食品（含餐饮）、药品、化妆品、医疗器械、特种设备</w:t>
      </w:r>
      <w:r>
        <w:rPr>
          <w:rFonts w:hint="eastAsia" w:ascii="仿宋_GB2312" w:eastAsia="仿宋_GB2312"/>
          <w:sz w:val="32"/>
          <w:szCs w:val="32"/>
          <w:lang w:eastAsia="zh-CN"/>
        </w:rPr>
        <w:t>、</w:t>
      </w:r>
      <w:r>
        <w:rPr>
          <w:rFonts w:hint="eastAsia" w:ascii="仿宋_GB2312" w:eastAsia="仿宋_GB2312"/>
          <w:sz w:val="32"/>
          <w:szCs w:val="32"/>
        </w:rPr>
        <w:t>农贸市场等市场经营主题进行监管、溯源及预警</w:t>
      </w:r>
      <w:r>
        <w:rPr>
          <w:rFonts w:hint="eastAsia" w:ascii="仿宋_GB2312" w:eastAsia="仿宋_GB2312"/>
          <w:sz w:val="32"/>
          <w:szCs w:val="32"/>
          <w:lang w:eastAsia="zh-CN"/>
        </w:rPr>
        <w:t>；</w:t>
      </w:r>
    </w:p>
    <w:p>
      <w:pPr>
        <w:numPr>
          <w:ilvl w:val="0"/>
          <w:numId w:val="0"/>
        </w:numPr>
        <w:autoSpaceDE w:val="0"/>
        <w:autoSpaceDN w:val="0"/>
        <w:adjustRightInd w:val="0"/>
        <w:jc w:val="left"/>
        <w:rPr>
          <w:rFonts w:hint="eastAsia" w:ascii="仿宋_GB2312" w:eastAsia="仿宋_GB2312"/>
          <w:sz w:val="32"/>
          <w:szCs w:val="32"/>
          <w:lang w:eastAsia="zh-CN"/>
        </w:rPr>
      </w:pPr>
      <w:r>
        <w:rPr>
          <w:rFonts w:hint="eastAsia" w:ascii="仿宋_GB2312" w:eastAsia="仿宋_GB2312"/>
          <w:sz w:val="32"/>
          <w:szCs w:val="32"/>
          <w:lang w:val="en-US" w:eastAsia="zh-CN"/>
        </w:rPr>
        <w:t>　　3、</w:t>
      </w:r>
      <w:r>
        <w:rPr>
          <w:rFonts w:hint="eastAsia" w:ascii="仿宋_GB2312" w:eastAsia="仿宋_GB2312"/>
          <w:sz w:val="32"/>
          <w:szCs w:val="32"/>
          <w:lang w:eastAsia="zh-CN"/>
        </w:rPr>
        <w:t>系统</w:t>
      </w:r>
      <w:r>
        <w:rPr>
          <w:rFonts w:hint="eastAsia" w:ascii="仿宋_GB2312" w:eastAsia="仿宋_GB2312"/>
          <w:sz w:val="32"/>
          <w:szCs w:val="32"/>
        </w:rPr>
        <w:t>各业务监管模块</w:t>
      </w:r>
      <w:r>
        <w:rPr>
          <w:rFonts w:hint="eastAsia" w:ascii="仿宋_GB2312" w:eastAsia="仿宋_GB2312"/>
          <w:sz w:val="32"/>
          <w:szCs w:val="32"/>
          <w:lang w:eastAsia="zh-CN"/>
        </w:rPr>
        <w:t>已于</w:t>
      </w:r>
      <w:r>
        <w:rPr>
          <w:rFonts w:hint="eastAsia" w:ascii="仿宋_GB2312" w:eastAsia="仿宋_GB2312"/>
          <w:sz w:val="32"/>
          <w:szCs w:val="32"/>
        </w:rPr>
        <w:t>2020年</w:t>
      </w:r>
      <w:r>
        <w:rPr>
          <w:rFonts w:hint="eastAsia" w:ascii="仿宋_GB2312" w:eastAsia="仿宋_GB2312"/>
          <w:sz w:val="32"/>
          <w:szCs w:val="32"/>
          <w:lang w:val="en-US" w:eastAsia="zh-CN"/>
        </w:rPr>
        <w:t>6月建设完成，2021年新增“食品快检”、“工作任务”两个功能。</w:t>
      </w:r>
    </w:p>
    <w:p>
      <w:pPr>
        <w:adjustRightInd w:val="0"/>
        <w:snapToGrid w:val="0"/>
        <w:spacing w:beforeLines="50" w:afterLines="50"/>
        <w:ind w:firstLine="640" w:firstLineChars="200"/>
        <w:rPr>
          <w:rFonts w:ascii="黑体" w:hAnsi="黑体" w:eastAsia="黑体"/>
          <w:sz w:val="32"/>
          <w:szCs w:val="32"/>
        </w:rPr>
      </w:pPr>
      <w:r>
        <w:rPr>
          <w:rFonts w:hint="eastAsia" w:ascii="楷体_GB2312" w:eastAsia="楷体_GB2312"/>
          <w:sz w:val="32"/>
          <w:szCs w:val="32"/>
        </w:rPr>
        <w:t>（二）存在的问题</w:t>
      </w:r>
    </w:p>
    <w:p>
      <w:pPr>
        <w:adjustRightInd w:val="0"/>
        <w:snapToGrid w:val="0"/>
        <w:spacing w:beforeLines="50" w:afterLines="50"/>
        <w:ind w:firstLine="640" w:firstLineChars="200"/>
        <w:rPr>
          <w:rFonts w:ascii="仿宋_GB2312" w:hAnsi="黑体" w:eastAsia="仿宋_GB2312"/>
          <w:sz w:val="32"/>
          <w:szCs w:val="32"/>
        </w:rPr>
      </w:pPr>
      <w:r>
        <w:rPr>
          <w:rFonts w:hint="eastAsia" w:ascii="仿宋_GB2312" w:hAnsi="黑体" w:eastAsia="仿宋_GB2312"/>
          <w:sz w:val="32"/>
          <w:szCs w:val="32"/>
          <w:lang w:eastAsia="zh-CN"/>
        </w:rPr>
        <w:t>部分配餐单位电信</w:t>
      </w:r>
      <w:r>
        <w:rPr>
          <w:rFonts w:hint="eastAsia" w:ascii="仿宋_GB2312" w:hAnsi="黑体" w:eastAsia="仿宋_GB2312"/>
          <w:sz w:val="32"/>
          <w:szCs w:val="32"/>
        </w:rPr>
        <w:t>运营商</w:t>
      </w:r>
      <w:r>
        <w:rPr>
          <w:rFonts w:hint="eastAsia" w:ascii="仿宋_GB2312" w:hAnsi="黑体" w:eastAsia="仿宋_GB2312"/>
          <w:sz w:val="32"/>
          <w:szCs w:val="32"/>
          <w:lang w:eastAsia="zh-CN"/>
        </w:rPr>
        <w:t>未能做到网络线路</w:t>
      </w:r>
      <w:r>
        <w:rPr>
          <w:rFonts w:hint="eastAsia" w:ascii="仿宋_GB2312" w:hAnsi="黑体" w:eastAsia="仿宋_GB2312"/>
          <w:sz w:val="32"/>
          <w:szCs w:val="32"/>
        </w:rPr>
        <w:t>点位覆盖。</w:t>
      </w:r>
    </w:p>
    <w:p>
      <w:pPr>
        <w:adjustRightInd w:val="0"/>
        <w:snapToGrid w:val="0"/>
        <w:spacing w:beforeLines="50" w:afterLines="50"/>
        <w:ind w:firstLine="640" w:firstLineChars="200"/>
        <w:rPr>
          <w:rFonts w:hint="eastAsia" w:ascii="楷体_GB2312" w:eastAsia="楷体_GB2312"/>
          <w:sz w:val="32"/>
          <w:szCs w:val="32"/>
        </w:rPr>
      </w:pPr>
      <w:r>
        <w:rPr>
          <w:rFonts w:hint="eastAsia" w:ascii="楷体_GB2312" w:eastAsia="楷体_GB2312"/>
          <w:sz w:val="32"/>
          <w:szCs w:val="32"/>
        </w:rPr>
        <w:t>（三）改进措施及建议。</w:t>
      </w:r>
    </w:p>
    <w:p>
      <w:pPr>
        <w:adjustRightInd w:val="0"/>
        <w:snapToGrid w:val="0"/>
        <w:spacing w:beforeLines="50" w:afterLines="50"/>
        <w:ind w:firstLine="640" w:firstLineChars="200"/>
        <w:rPr>
          <w:rFonts w:hint="eastAsia" w:ascii="仿宋_GB2312" w:hAnsi="黑体" w:eastAsia="仿宋_GB2312"/>
          <w:sz w:val="32"/>
          <w:szCs w:val="32"/>
          <w:lang w:eastAsia="zh-CN"/>
        </w:rPr>
      </w:pPr>
      <w:r>
        <w:rPr>
          <w:rFonts w:hint="eastAsia" w:ascii="仿宋_GB2312" w:hAnsi="黑体" w:eastAsia="仿宋_GB2312"/>
          <w:sz w:val="32"/>
          <w:szCs w:val="32"/>
          <w:lang w:eastAsia="zh-CN"/>
        </w:rPr>
        <w:t>拟协电信</w:t>
      </w:r>
      <w:r>
        <w:rPr>
          <w:rFonts w:hint="eastAsia" w:ascii="仿宋_GB2312" w:hAnsi="黑体" w:eastAsia="仿宋_GB2312"/>
          <w:sz w:val="32"/>
          <w:szCs w:val="32"/>
        </w:rPr>
        <w:t>运营商进行</w:t>
      </w:r>
      <w:r>
        <w:rPr>
          <w:rFonts w:hint="eastAsia" w:ascii="仿宋_GB2312" w:hAnsi="黑体" w:eastAsia="仿宋_GB2312"/>
          <w:sz w:val="32"/>
          <w:szCs w:val="32"/>
          <w:lang w:eastAsia="zh-CN"/>
        </w:rPr>
        <w:t>配餐单位网络线路</w:t>
      </w:r>
      <w:r>
        <w:rPr>
          <w:rFonts w:hint="eastAsia" w:ascii="仿宋_GB2312" w:hAnsi="黑体" w:eastAsia="仿宋_GB2312"/>
          <w:sz w:val="32"/>
          <w:szCs w:val="32"/>
        </w:rPr>
        <w:t>点位覆盖。</w:t>
      </w:r>
    </w:p>
    <w:p>
      <w:pPr>
        <w:adjustRightInd w:val="0"/>
        <w:snapToGrid w:val="0"/>
        <w:spacing w:beforeLines="50" w:afterLines="50"/>
        <w:ind w:firstLine="640" w:firstLineChars="200"/>
        <w:rPr>
          <w:rFonts w:hint="default" w:ascii="仿宋_GB2312" w:hAnsi="黑体" w:eastAsia="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 PAGE   \* MERGEFORMAT </w:instrText>
    </w:r>
    <w:r>
      <w:fldChar w:fldCharType="separate"/>
    </w:r>
    <w:r>
      <w:rPr>
        <w:lang w:val="zh-CN"/>
      </w:rPr>
      <w:t>25</w:t>
    </w:r>
    <w:r>
      <w:rPr>
        <w:lang w:val="zh-CN"/>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F73BFF"/>
    <w:multiLevelType w:val="singleLevel"/>
    <w:tmpl w:val="92F73BFF"/>
    <w:lvl w:ilvl="0" w:tentative="0">
      <w:start w:val="1"/>
      <w:numFmt w:val="decimal"/>
      <w:suff w:val="space"/>
      <w:lvlText w:val="%1."/>
      <w:lvlJc w:val="left"/>
    </w:lvl>
  </w:abstractNum>
  <w:abstractNum w:abstractNumId="1">
    <w:nsid w:val="A1948EBE"/>
    <w:multiLevelType w:val="singleLevel"/>
    <w:tmpl w:val="A1948EBE"/>
    <w:lvl w:ilvl="0" w:tentative="0">
      <w:start w:val="1"/>
      <w:numFmt w:val="chineseCounting"/>
      <w:suff w:val="nothing"/>
      <w:lvlText w:val="%1、"/>
      <w:lvlJc w:val="left"/>
      <w:rPr>
        <w:rFonts w:hint="eastAsia"/>
      </w:rPr>
    </w:lvl>
  </w:abstractNum>
  <w:abstractNum w:abstractNumId="2">
    <w:nsid w:val="0428ACF7"/>
    <w:multiLevelType w:val="singleLevel"/>
    <w:tmpl w:val="0428ACF7"/>
    <w:lvl w:ilvl="0" w:tentative="0">
      <w:start w:val="4"/>
      <w:numFmt w:val="chineseCounting"/>
      <w:suff w:val="nothing"/>
      <w:lvlText w:val="%1、"/>
      <w:lvlJc w:val="left"/>
      <w:rPr>
        <w:rFonts w:hint="eastAsia"/>
      </w:rPr>
    </w:lvl>
  </w:abstractNum>
  <w:abstractNum w:abstractNumId="3">
    <w:nsid w:val="05D46D9F"/>
    <w:multiLevelType w:val="singleLevel"/>
    <w:tmpl w:val="05D46D9F"/>
    <w:lvl w:ilvl="0" w:tentative="0">
      <w:start w:val="1"/>
      <w:numFmt w:val="decimal"/>
      <w:suff w:val="nothing"/>
      <w:lvlText w:val="%1、"/>
      <w:lvlJc w:val="left"/>
    </w:lvl>
  </w:abstractNum>
  <w:abstractNum w:abstractNumId="4">
    <w:nsid w:val="38558431"/>
    <w:multiLevelType w:val="singleLevel"/>
    <w:tmpl w:val="38558431"/>
    <w:lvl w:ilvl="0" w:tentative="0">
      <w:start w:val="1"/>
      <w:numFmt w:val="chineseCounting"/>
      <w:suff w:val="nothing"/>
      <w:lvlText w:val="(%1）"/>
      <w:lvlJc w:val="left"/>
      <w:rPr>
        <w:rFonts w:hint="eastAsia"/>
      </w:rPr>
    </w:lvl>
  </w:abstractNum>
  <w:abstractNum w:abstractNumId="5">
    <w:nsid w:val="4074FB4C"/>
    <w:multiLevelType w:val="singleLevel"/>
    <w:tmpl w:val="4074FB4C"/>
    <w:lvl w:ilvl="0" w:tentative="0">
      <w:start w:val="2"/>
      <w:numFmt w:val="chineseCounting"/>
      <w:suff w:val="nothing"/>
      <w:lvlText w:val="（%1）"/>
      <w:lvlJc w:val="left"/>
      <w:pPr>
        <w:ind w:left="-10"/>
      </w:pPr>
      <w:rPr>
        <w:rFonts w:hint="eastAsia"/>
      </w:rPr>
    </w:lvl>
  </w:abstractNum>
  <w:num w:numId="1">
    <w:abstractNumId w:val="3"/>
  </w:num>
  <w:num w:numId="2">
    <w:abstractNumId w:val="1"/>
  </w:num>
  <w:num w:numId="3">
    <w:abstractNumId w:val="4"/>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69D"/>
    <w:rsid w:val="0001343D"/>
    <w:rsid w:val="00014246"/>
    <w:rsid w:val="000214BD"/>
    <w:rsid w:val="00027C52"/>
    <w:rsid w:val="000316F1"/>
    <w:rsid w:val="00031CA1"/>
    <w:rsid w:val="0003450E"/>
    <w:rsid w:val="00035DC5"/>
    <w:rsid w:val="000379C1"/>
    <w:rsid w:val="00037A06"/>
    <w:rsid w:val="00043EEA"/>
    <w:rsid w:val="00050022"/>
    <w:rsid w:val="00051297"/>
    <w:rsid w:val="0005259D"/>
    <w:rsid w:val="00060AA2"/>
    <w:rsid w:val="000746FC"/>
    <w:rsid w:val="00084906"/>
    <w:rsid w:val="000A36B5"/>
    <w:rsid w:val="000A7CB2"/>
    <w:rsid w:val="000C7067"/>
    <w:rsid w:val="000D7A3C"/>
    <w:rsid w:val="000F0EA5"/>
    <w:rsid w:val="000F3069"/>
    <w:rsid w:val="000F6710"/>
    <w:rsid w:val="0010072A"/>
    <w:rsid w:val="00102A68"/>
    <w:rsid w:val="001043B3"/>
    <w:rsid w:val="00105D1F"/>
    <w:rsid w:val="00136283"/>
    <w:rsid w:val="001463D6"/>
    <w:rsid w:val="001464AC"/>
    <w:rsid w:val="001468EE"/>
    <w:rsid w:val="00150111"/>
    <w:rsid w:val="001553D4"/>
    <w:rsid w:val="00155414"/>
    <w:rsid w:val="001572FB"/>
    <w:rsid w:val="00162609"/>
    <w:rsid w:val="00173427"/>
    <w:rsid w:val="0017420C"/>
    <w:rsid w:val="00180137"/>
    <w:rsid w:val="001A0071"/>
    <w:rsid w:val="001A1B87"/>
    <w:rsid w:val="001A4724"/>
    <w:rsid w:val="001A5F95"/>
    <w:rsid w:val="001A634D"/>
    <w:rsid w:val="001D220A"/>
    <w:rsid w:val="001F278D"/>
    <w:rsid w:val="00201AA7"/>
    <w:rsid w:val="00213150"/>
    <w:rsid w:val="00213737"/>
    <w:rsid w:val="00215BC0"/>
    <w:rsid w:val="00216112"/>
    <w:rsid w:val="002248A9"/>
    <w:rsid w:val="00230692"/>
    <w:rsid w:val="00237C24"/>
    <w:rsid w:val="00240DAE"/>
    <w:rsid w:val="00241C74"/>
    <w:rsid w:val="002433CC"/>
    <w:rsid w:val="00250AF0"/>
    <w:rsid w:val="00250F69"/>
    <w:rsid w:val="00262A58"/>
    <w:rsid w:val="002638F2"/>
    <w:rsid w:val="002652D2"/>
    <w:rsid w:val="002660E1"/>
    <w:rsid w:val="00271818"/>
    <w:rsid w:val="00282B0E"/>
    <w:rsid w:val="002900AA"/>
    <w:rsid w:val="00290CFF"/>
    <w:rsid w:val="0029102F"/>
    <w:rsid w:val="002977A0"/>
    <w:rsid w:val="002A510D"/>
    <w:rsid w:val="002B5A33"/>
    <w:rsid w:val="002B65A8"/>
    <w:rsid w:val="002D3E51"/>
    <w:rsid w:val="002D6E56"/>
    <w:rsid w:val="002E41C6"/>
    <w:rsid w:val="002F3749"/>
    <w:rsid w:val="002F555D"/>
    <w:rsid w:val="00302F0A"/>
    <w:rsid w:val="00303929"/>
    <w:rsid w:val="00306C3F"/>
    <w:rsid w:val="0031100B"/>
    <w:rsid w:val="003110E2"/>
    <w:rsid w:val="003128ED"/>
    <w:rsid w:val="00315A86"/>
    <w:rsid w:val="00334C49"/>
    <w:rsid w:val="0033532D"/>
    <w:rsid w:val="00337AB3"/>
    <w:rsid w:val="00341634"/>
    <w:rsid w:val="00346B39"/>
    <w:rsid w:val="00373B86"/>
    <w:rsid w:val="003741A5"/>
    <w:rsid w:val="00374589"/>
    <w:rsid w:val="00374D47"/>
    <w:rsid w:val="0037520C"/>
    <w:rsid w:val="00375481"/>
    <w:rsid w:val="00377945"/>
    <w:rsid w:val="00383FA9"/>
    <w:rsid w:val="003A2425"/>
    <w:rsid w:val="003A4DD1"/>
    <w:rsid w:val="003F1A28"/>
    <w:rsid w:val="004005B7"/>
    <w:rsid w:val="004007B1"/>
    <w:rsid w:val="004103B0"/>
    <w:rsid w:val="0041480D"/>
    <w:rsid w:val="004153FC"/>
    <w:rsid w:val="00424A2A"/>
    <w:rsid w:val="00427A5F"/>
    <w:rsid w:val="004347B1"/>
    <w:rsid w:val="00434C5A"/>
    <w:rsid w:val="004415C3"/>
    <w:rsid w:val="004430BA"/>
    <w:rsid w:val="00443A6B"/>
    <w:rsid w:val="004519CB"/>
    <w:rsid w:val="00464A78"/>
    <w:rsid w:val="00471F1E"/>
    <w:rsid w:val="00480FAB"/>
    <w:rsid w:val="00482E4A"/>
    <w:rsid w:val="004868EE"/>
    <w:rsid w:val="004A49FF"/>
    <w:rsid w:val="004A4BC2"/>
    <w:rsid w:val="004A5A19"/>
    <w:rsid w:val="004B253D"/>
    <w:rsid w:val="004B330E"/>
    <w:rsid w:val="004E6B98"/>
    <w:rsid w:val="004F257C"/>
    <w:rsid w:val="00501015"/>
    <w:rsid w:val="00520926"/>
    <w:rsid w:val="00523756"/>
    <w:rsid w:val="00523CF6"/>
    <w:rsid w:val="005269E7"/>
    <w:rsid w:val="00541C7D"/>
    <w:rsid w:val="005472A8"/>
    <w:rsid w:val="00557C25"/>
    <w:rsid w:val="00561BBE"/>
    <w:rsid w:val="0058519C"/>
    <w:rsid w:val="00591579"/>
    <w:rsid w:val="00596B37"/>
    <w:rsid w:val="005A14F9"/>
    <w:rsid w:val="005B3DEF"/>
    <w:rsid w:val="005B4820"/>
    <w:rsid w:val="005B6B3B"/>
    <w:rsid w:val="005C36EB"/>
    <w:rsid w:val="005D01A2"/>
    <w:rsid w:val="005D0830"/>
    <w:rsid w:val="005D643E"/>
    <w:rsid w:val="005D7972"/>
    <w:rsid w:val="00607B14"/>
    <w:rsid w:val="006129E8"/>
    <w:rsid w:val="006202F8"/>
    <w:rsid w:val="006227AF"/>
    <w:rsid w:val="00626FFC"/>
    <w:rsid w:val="00630520"/>
    <w:rsid w:val="006332C5"/>
    <w:rsid w:val="00640FDD"/>
    <w:rsid w:val="0064297C"/>
    <w:rsid w:val="00652E36"/>
    <w:rsid w:val="00654B32"/>
    <w:rsid w:val="00657764"/>
    <w:rsid w:val="006614BB"/>
    <w:rsid w:val="00667DB2"/>
    <w:rsid w:val="00671495"/>
    <w:rsid w:val="0069097C"/>
    <w:rsid w:val="006A1DF0"/>
    <w:rsid w:val="006B0032"/>
    <w:rsid w:val="006B25CC"/>
    <w:rsid w:val="006B6D2D"/>
    <w:rsid w:val="007019E5"/>
    <w:rsid w:val="00707D59"/>
    <w:rsid w:val="00711624"/>
    <w:rsid w:val="00711946"/>
    <w:rsid w:val="00730787"/>
    <w:rsid w:val="00730AF1"/>
    <w:rsid w:val="00731141"/>
    <w:rsid w:val="0074034D"/>
    <w:rsid w:val="0074111C"/>
    <w:rsid w:val="00746E6A"/>
    <w:rsid w:val="00752D4C"/>
    <w:rsid w:val="00761EF2"/>
    <w:rsid w:val="007716B3"/>
    <w:rsid w:val="00776B76"/>
    <w:rsid w:val="007774B4"/>
    <w:rsid w:val="007838C0"/>
    <w:rsid w:val="00786392"/>
    <w:rsid w:val="00790870"/>
    <w:rsid w:val="007950F8"/>
    <w:rsid w:val="00795CDB"/>
    <w:rsid w:val="007A1CBC"/>
    <w:rsid w:val="007B3601"/>
    <w:rsid w:val="007B7CB8"/>
    <w:rsid w:val="007D3972"/>
    <w:rsid w:val="007D5E3E"/>
    <w:rsid w:val="007E3748"/>
    <w:rsid w:val="007F26CE"/>
    <w:rsid w:val="007F3F2D"/>
    <w:rsid w:val="007F5194"/>
    <w:rsid w:val="00802108"/>
    <w:rsid w:val="00820205"/>
    <w:rsid w:val="00823E36"/>
    <w:rsid w:val="00844D8F"/>
    <w:rsid w:val="00852562"/>
    <w:rsid w:val="008556CC"/>
    <w:rsid w:val="00862ED9"/>
    <w:rsid w:val="008659C2"/>
    <w:rsid w:val="0087221B"/>
    <w:rsid w:val="008803A4"/>
    <w:rsid w:val="00891806"/>
    <w:rsid w:val="00895304"/>
    <w:rsid w:val="008A2760"/>
    <w:rsid w:val="008A316B"/>
    <w:rsid w:val="008A6E49"/>
    <w:rsid w:val="008B26AA"/>
    <w:rsid w:val="008B4A17"/>
    <w:rsid w:val="008B5CB7"/>
    <w:rsid w:val="008C0CAB"/>
    <w:rsid w:val="008D7879"/>
    <w:rsid w:val="008E2498"/>
    <w:rsid w:val="008E74FB"/>
    <w:rsid w:val="008F23D2"/>
    <w:rsid w:val="008F4DF6"/>
    <w:rsid w:val="00900F05"/>
    <w:rsid w:val="00923CA1"/>
    <w:rsid w:val="009315AE"/>
    <w:rsid w:val="00957DA6"/>
    <w:rsid w:val="009636B6"/>
    <w:rsid w:val="00975B1C"/>
    <w:rsid w:val="00976AFD"/>
    <w:rsid w:val="00976B57"/>
    <w:rsid w:val="00980816"/>
    <w:rsid w:val="00980849"/>
    <w:rsid w:val="00983E00"/>
    <w:rsid w:val="00997AF2"/>
    <w:rsid w:val="009A5A51"/>
    <w:rsid w:val="009A69E1"/>
    <w:rsid w:val="009B629E"/>
    <w:rsid w:val="009C16B9"/>
    <w:rsid w:val="009D0210"/>
    <w:rsid w:val="009D0735"/>
    <w:rsid w:val="009E7790"/>
    <w:rsid w:val="009E7B3B"/>
    <w:rsid w:val="00A01DAC"/>
    <w:rsid w:val="00A028CC"/>
    <w:rsid w:val="00A1003B"/>
    <w:rsid w:val="00A1080B"/>
    <w:rsid w:val="00A113DF"/>
    <w:rsid w:val="00A17985"/>
    <w:rsid w:val="00A22E06"/>
    <w:rsid w:val="00A26E0C"/>
    <w:rsid w:val="00A27823"/>
    <w:rsid w:val="00A34D1F"/>
    <w:rsid w:val="00A420DE"/>
    <w:rsid w:val="00A4449D"/>
    <w:rsid w:val="00A465A7"/>
    <w:rsid w:val="00A527D7"/>
    <w:rsid w:val="00A566CA"/>
    <w:rsid w:val="00A62FDC"/>
    <w:rsid w:val="00A65F0E"/>
    <w:rsid w:val="00A759AE"/>
    <w:rsid w:val="00A76F94"/>
    <w:rsid w:val="00A80015"/>
    <w:rsid w:val="00A83339"/>
    <w:rsid w:val="00A93AAC"/>
    <w:rsid w:val="00A9583B"/>
    <w:rsid w:val="00A961EB"/>
    <w:rsid w:val="00A966C9"/>
    <w:rsid w:val="00AA76A0"/>
    <w:rsid w:val="00AB156D"/>
    <w:rsid w:val="00AB1E4D"/>
    <w:rsid w:val="00AB20EF"/>
    <w:rsid w:val="00AB4307"/>
    <w:rsid w:val="00AB5EA3"/>
    <w:rsid w:val="00AB769D"/>
    <w:rsid w:val="00AC1CE5"/>
    <w:rsid w:val="00AD09EB"/>
    <w:rsid w:val="00AF3C00"/>
    <w:rsid w:val="00AF51BA"/>
    <w:rsid w:val="00B0227C"/>
    <w:rsid w:val="00B05444"/>
    <w:rsid w:val="00B057FD"/>
    <w:rsid w:val="00B060D2"/>
    <w:rsid w:val="00B14765"/>
    <w:rsid w:val="00B14B2A"/>
    <w:rsid w:val="00B26D6E"/>
    <w:rsid w:val="00B37C4D"/>
    <w:rsid w:val="00B40168"/>
    <w:rsid w:val="00B75F48"/>
    <w:rsid w:val="00B824DE"/>
    <w:rsid w:val="00B85276"/>
    <w:rsid w:val="00B93ADF"/>
    <w:rsid w:val="00BB0C7C"/>
    <w:rsid w:val="00BB3F57"/>
    <w:rsid w:val="00BB7167"/>
    <w:rsid w:val="00BC44CA"/>
    <w:rsid w:val="00BC58A6"/>
    <w:rsid w:val="00BD2A60"/>
    <w:rsid w:val="00BD3EC0"/>
    <w:rsid w:val="00BD78BC"/>
    <w:rsid w:val="00BF12CC"/>
    <w:rsid w:val="00BF6333"/>
    <w:rsid w:val="00C027C6"/>
    <w:rsid w:val="00C058D6"/>
    <w:rsid w:val="00C12759"/>
    <w:rsid w:val="00C13862"/>
    <w:rsid w:val="00C13A81"/>
    <w:rsid w:val="00C15B37"/>
    <w:rsid w:val="00C20FD6"/>
    <w:rsid w:val="00C24BBC"/>
    <w:rsid w:val="00C25BA2"/>
    <w:rsid w:val="00C2605D"/>
    <w:rsid w:val="00C338C8"/>
    <w:rsid w:val="00C40851"/>
    <w:rsid w:val="00C44777"/>
    <w:rsid w:val="00C50BD5"/>
    <w:rsid w:val="00C51D44"/>
    <w:rsid w:val="00C62B16"/>
    <w:rsid w:val="00C73F41"/>
    <w:rsid w:val="00C82E56"/>
    <w:rsid w:val="00C85B38"/>
    <w:rsid w:val="00C96F7D"/>
    <w:rsid w:val="00CA3261"/>
    <w:rsid w:val="00CA43F2"/>
    <w:rsid w:val="00CA5D5C"/>
    <w:rsid w:val="00CB2D1F"/>
    <w:rsid w:val="00CC173C"/>
    <w:rsid w:val="00CD1276"/>
    <w:rsid w:val="00CF18C1"/>
    <w:rsid w:val="00CF5EB8"/>
    <w:rsid w:val="00CF6801"/>
    <w:rsid w:val="00CF7798"/>
    <w:rsid w:val="00D03E97"/>
    <w:rsid w:val="00D04078"/>
    <w:rsid w:val="00D150F3"/>
    <w:rsid w:val="00D35117"/>
    <w:rsid w:val="00D40092"/>
    <w:rsid w:val="00D41D26"/>
    <w:rsid w:val="00D47192"/>
    <w:rsid w:val="00D55904"/>
    <w:rsid w:val="00D61A17"/>
    <w:rsid w:val="00D63347"/>
    <w:rsid w:val="00D7634B"/>
    <w:rsid w:val="00D76A4D"/>
    <w:rsid w:val="00D811A3"/>
    <w:rsid w:val="00D92D71"/>
    <w:rsid w:val="00DA17BB"/>
    <w:rsid w:val="00DA20BE"/>
    <w:rsid w:val="00DA6C5F"/>
    <w:rsid w:val="00DB0528"/>
    <w:rsid w:val="00DB69A5"/>
    <w:rsid w:val="00DC3D72"/>
    <w:rsid w:val="00DD6682"/>
    <w:rsid w:val="00DD76B0"/>
    <w:rsid w:val="00DE02EF"/>
    <w:rsid w:val="00DF0A11"/>
    <w:rsid w:val="00E01213"/>
    <w:rsid w:val="00E04BAC"/>
    <w:rsid w:val="00E06CDF"/>
    <w:rsid w:val="00E106EB"/>
    <w:rsid w:val="00E126E6"/>
    <w:rsid w:val="00E13F40"/>
    <w:rsid w:val="00E2095B"/>
    <w:rsid w:val="00E30BDE"/>
    <w:rsid w:val="00E33BCB"/>
    <w:rsid w:val="00E437EC"/>
    <w:rsid w:val="00E521B3"/>
    <w:rsid w:val="00E63997"/>
    <w:rsid w:val="00E71D34"/>
    <w:rsid w:val="00E72F2E"/>
    <w:rsid w:val="00E73098"/>
    <w:rsid w:val="00E751C3"/>
    <w:rsid w:val="00E874EF"/>
    <w:rsid w:val="00EA462D"/>
    <w:rsid w:val="00EA7482"/>
    <w:rsid w:val="00EB1599"/>
    <w:rsid w:val="00EB629E"/>
    <w:rsid w:val="00EB6F71"/>
    <w:rsid w:val="00EC7C9D"/>
    <w:rsid w:val="00ED2E05"/>
    <w:rsid w:val="00ED363B"/>
    <w:rsid w:val="00ED42FA"/>
    <w:rsid w:val="00ED5FA2"/>
    <w:rsid w:val="00EF0247"/>
    <w:rsid w:val="00EF12A2"/>
    <w:rsid w:val="00EF6468"/>
    <w:rsid w:val="00F02CDC"/>
    <w:rsid w:val="00F144C0"/>
    <w:rsid w:val="00F44FE2"/>
    <w:rsid w:val="00F57E6A"/>
    <w:rsid w:val="00F63713"/>
    <w:rsid w:val="00F640C2"/>
    <w:rsid w:val="00F65590"/>
    <w:rsid w:val="00F76AD4"/>
    <w:rsid w:val="00F76D73"/>
    <w:rsid w:val="00F828AF"/>
    <w:rsid w:val="00F83F68"/>
    <w:rsid w:val="00F907D0"/>
    <w:rsid w:val="00F931CE"/>
    <w:rsid w:val="00FA77CE"/>
    <w:rsid w:val="00FB7E69"/>
    <w:rsid w:val="00FC5058"/>
    <w:rsid w:val="00FC7318"/>
    <w:rsid w:val="00FF5CB4"/>
    <w:rsid w:val="02284F74"/>
    <w:rsid w:val="07933F19"/>
    <w:rsid w:val="0C8A0F84"/>
    <w:rsid w:val="0D2F6E7F"/>
    <w:rsid w:val="0EA64AF0"/>
    <w:rsid w:val="0F4F59F6"/>
    <w:rsid w:val="125309C3"/>
    <w:rsid w:val="14075B7D"/>
    <w:rsid w:val="16976CA8"/>
    <w:rsid w:val="226E1A03"/>
    <w:rsid w:val="22843BCA"/>
    <w:rsid w:val="26EA16C5"/>
    <w:rsid w:val="272F4CA9"/>
    <w:rsid w:val="2972401B"/>
    <w:rsid w:val="2BCC7897"/>
    <w:rsid w:val="2F0A5834"/>
    <w:rsid w:val="3300360A"/>
    <w:rsid w:val="336308F9"/>
    <w:rsid w:val="33F80CA5"/>
    <w:rsid w:val="34803585"/>
    <w:rsid w:val="38756B5B"/>
    <w:rsid w:val="3AC029D9"/>
    <w:rsid w:val="3B0B1E8C"/>
    <w:rsid w:val="3BAA34C3"/>
    <w:rsid w:val="43E62ADD"/>
    <w:rsid w:val="4741529D"/>
    <w:rsid w:val="47E96390"/>
    <w:rsid w:val="494A2F6B"/>
    <w:rsid w:val="4C0102F7"/>
    <w:rsid w:val="4F3D24D7"/>
    <w:rsid w:val="51386EE9"/>
    <w:rsid w:val="55241839"/>
    <w:rsid w:val="57F00AC1"/>
    <w:rsid w:val="5C623FCC"/>
    <w:rsid w:val="652F3DBC"/>
    <w:rsid w:val="659B65B5"/>
    <w:rsid w:val="68671E95"/>
    <w:rsid w:val="68813B1D"/>
    <w:rsid w:val="68BC3BA8"/>
    <w:rsid w:val="6B027DE1"/>
    <w:rsid w:val="6D0D0A94"/>
    <w:rsid w:val="73927E29"/>
    <w:rsid w:val="77ED1C5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8"/>
    <w:qFormat/>
    <w:uiPriority w:val="9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link w:val="9"/>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pPr>
      <w:spacing w:before="0" w:beforeAutospacing="0" w:after="0" w:afterAutospacing="0"/>
      <w:ind w:left="0" w:right="0"/>
      <w:jc w:val="both"/>
    </w:pPr>
    <w:rPr>
      <w:kern w:val="0"/>
      <w:sz w:val="24"/>
      <w:lang w:val="en-US" w:eastAsia="zh-CN" w:bidi="ar"/>
    </w:rPr>
  </w:style>
  <w:style w:type="character" w:customStyle="1" w:styleId="8">
    <w:name w:val="标题 1 Char"/>
    <w:basedOn w:val="7"/>
    <w:link w:val="2"/>
    <w:qFormat/>
    <w:locked/>
    <w:uiPriority w:val="99"/>
    <w:rPr>
      <w:rFonts w:ascii="Calibri" w:hAnsi="Calibri" w:eastAsia="宋体" w:cs="Times New Roman"/>
      <w:b/>
      <w:bCs/>
      <w:kern w:val="44"/>
      <w:sz w:val="44"/>
      <w:szCs w:val="44"/>
    </w:rPr>
  </w:style>
  <w:style w:type="character" w:customStyle="1" w:styleId="9">
    <w:name w:val="页眉 Char"/>
    <w:basedOn w:val="7"/>
    <w:link w:val="4"/>
    <w:qFormat/>
    <w:locked/>
    <w:uiPriority w:val="99"/>
    <w:rPr>
      <w:rFonts w:cs="Times New Roman"/>
      <w:sz w:val="18"/>
      <w:szCs w:val="18"/>
    </w:rPr>
  </w:style>
  <w:style w:type="character" w:customStyle="1" w:styleId="10">
    <w:name w:val="页脚 Char"/>
    <w:basedOn w:val="7"/>
    <w:link w:val="3"/>
    <w:qFormat/>
    <w:locked/>
    <w:uiPriority w:val="99"/>
    <w:rPr>
      <w:rFonts w:cs="Times New Roman"/>
      <w:sz w:val="18"/>
      <w:szCs w:val="18"/>
    </w:rPr>
  </w:style>
  <w:style w:type="paragraph" w:customStyle="1" w:styleId="11">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2">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1755</Words>
  <Characters>10009</Characters>
  <Lines>83</Lines>
  <Paragraphs>23</Paragraphs>
  <TotalTime>7</TotalTime>
  <ScaleCrop>false</ScaleCrop>
  <LinksUpToDate>false</LinksUpToDate>
  <CharactersWithSpaces>11741</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2019-03-20T07:40:00Z</dcterms:created>
  <dc:creator>USER</dc:creator>
  <cp:lastModifiedBy>NTKO</cp:lastModifiedBy>
  <dcterms:modified xsi:type="dcterms:W3CDTF">2022-09-27T12:34:34Z</dcterms:modified>
  <cp:revision>511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