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ind w:left="0" w:leftChars="0" w:firstLine="0" w:firstLineChars="0"/>
        <w:jc w:val="center"/>
        <w:rPr>
          <w:rFonts w:hint="eastAsia" w:ascii="黑体" w:hAnsi="黑体" w:eastAsia="黑体"/>
          <w:bCs/>
          <w:sz w:val="52"/>
          <w:szCs w:val="52"/>
        </w:rPr>
      </w:pPr>
      <w:r>
        <w:rPr>
          <w:rFonts w:hint="eastAsia" w:ascii="黑体" w:hAnsi="黑体" w:eastAsia="黑体" w:cs="黑体"/>
          <w:bCs/>
          <w:sz w:val="52"/>
          <w:szCs w:val="52"/>
        </w:rPr>
        <w:t>盘龙区残疾人联合会</w:t>
      </w:r>
      <w:r>
        <w:rPr>
          <w:rFonts w:hint="eastAsia" w:ascii="黑体" w:hAnsi="黑体" w:eastAsia="黑体"/>
          <w:bCs/>
          <w:sz w:val="52"/>
          <w:szCs w:val="52"/>
        </w:rPr>
        <w:t>2021年</w:t>
      </w:r>
    </w:p>
    <w:p>
      <w:pPr>
        <w:ind w:left="0" w:leftChars="0" w:firstLine="0" w:firstLineChars="0"/>
        <w:jc w:val="center"/>
        <w:rPr>
          <w:rFonts w:ascii="黑体" w:hAnsi="黑体" w:eastAsia="黑体"/>
          <w:bCs/>
          <w:sz w:val="52"/>
          <w:szCs w:val="52"/>
        </w:rPr>
      </w:pP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eastAsia="黑体"/>
          <w:b/>
          <w:bCs/>
          <w:sz w:val="44"/>
          <w:szCs w:val="44"/>
        </w:rPr>
      </w:pP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w:pict>
          <v:shape id="_x0000_s1026" o:spid="_x0000_s1026" o:spt="32" type="#_x0000_t32" style="position:absolute;left:0pt;margin-left:133.5pt;margin-top:16.65pt;height:0pt;width:272.25pt;z-index:251659264;mso-width-relative:page;mso-height-relative:page;" filled="f"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BaX63YAQIAAPoDAAAOAAAAZHJzL2Uyb0RvYy54bWytU82O&#10;0zAQviPxDpbvNG1hYYma7qFluSCoBDzA1HESS/6Tx9u0L8ELIHECTiynvfM0y/IYjJ1uWZZLDyRS&#10;Mv6Zb+b7/Hl2tjWabWRA5WzFJ6MxZ9IKVyvbVvz9u/NHp5xhBFuDdlZWfCeRn80fPpj1vpRT1zld&#10;y8AIxGLZ+4p3MfqyKFB00gCOnJeWFhsXDEQahraoA/SEbnQxHY+fFr0LtQ9OSESaXQ6LfI8YjgF0&#10;TaOEXDpxYaSNA2qQGiJRwk555PPcbdNIEd80DcrIdMWJacxfKkLxOn2L+QzKNoDvlNi3AMe0cI+T&#10;AWWp6AFqCRHYRVD/QBklgkPXxJFwphiIZEWIxWR8T5u3HXiZuZDU6A+i4/+DFa83q8BUTU7gzIKh&#10;A7/5ePXzw5eb75fXn69+/fiU4m9f2SRJ1XssKWNhV2E/Qr8Kife2CSb9iRHbZnl3B3nlNjJBk4+f&#10;nDyjlzNxu1b8SfQB40vpDEtBxTEGUG0XF85aOkQXJlle2LzCSKUp8TYhVdWW9RV/fjJN4ECmbMgM&#10;FBpPxNC2ORedVvW50jplYGjXCx3YBpIx8pMIEu5f21KRJWA37MtLg2U6CfULW7O48ySZpZvCUwtG&#10;1pxpSRcrRQQIZQSlj9lJpbVNCTLbds8zKT5onKK1q3dZ+iKNyBK54719k+fujim+e2Xn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GMnml1wAAAAkBAAAPAAAAAAAAAAEAIAAAACIAAABkcnMvZG93&#10;bnJldi54bWxQSwECFAAUAAAACACHTuJAWl+t2AECAAD6AwAADgAAAAAAAAABACAAAAAmAQAAZHJz&#10;L2Uyb0RvYy54bWxQSwUGAAAAAAYABgBZAQAAmQUAAAAA&#10;">
            <v:path arrowok="t"/>
            <v:fill on="f" focussize="0,0"/>
            <v:stroke/>
            <v:imagedata o:title=""/>
            <o:lock v:ext="edit"/>
          </v:shape>
        </w:pict>
      </w:r>
      <w:r>
        <w:rPr>
          <w:rFonts w:hint="eastAsia" w:ascii="Times New Roman" w:hAnsi="Times New Roman" w:eastAsia="黑体" w:cs="黑体"/>
          <w:b/>
          <w:bCs/>
          <w:sz w:val="32"/>
          <w:szCs w:val="32"/>
        </w:rPr>
        <w:t>项目名称：昆明市盘龙区残疾人联合会部门整体支出</w:t>
      </w:r>
    </w:p>
    <w:p>
      <w:pPr>
        <w:adjustRightInd w:val="0"/>
        <w:snapToGrid w:val="0"/>
        <w:ind w:firstLine="643"/>
        <w:rPr>
          <w:rFonts w:ascii="Times New Roman" w:hAnsi="Times New Roman" w:eastAsia="黑体" w:cs="黑体"/>
          <w:b/>
          <w:bCs/>
          <w:sz w:val="32"/>
          <w:szCs w:val="32"/>
        </w:rPr>
      </w:pPr>
      <w:r>
        <w:rPr>
          <w:rFonts w:ascii="Times New Roman" w:hAnsi="Times New Roman" w:eastAsia="黑体" w:cs="黑体"/>
          <w:b/>
          <w:bCs/>
          <w:sz w:val="32"/>
          <w:szCs w:val="32"/>
        </w:rPr>
        <w:pict>
          <v:shape id="_x0000_s2051" o:spid="_x0000_s2051" o:spt="32" type="#_x0000_t32" style="position:absolute;left:0pt;margin-left:133.5pt;margin-top:17.15pt;height:0pt;width:272.25pt;z-index:251660288;mso-width-relative:page;mso-height-relative:page;" filled="f"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w4kw+AECAAD6AwAADgAAAGRycy9lMm9Eb2MueG1srVPN&#10;jtMwEL4j8Q6W7zRtYWGJmu6hZbkgqAQ8wNRxEkv+k8fbtC/BCyBxAk4sp73zNMvyGIydblmWSw8k&#10;UjLj8Xwz3+fx7GxrNNvIgMrZik9GY86kFa5Wtq34+3fnj045wwi2Bu2srPhOIj+bP3ww630pp65z&#10;upaBEYjFsvcV72L0ZVGg6KQBHDkvLQUbFwxEckNb1AF6Qje6mI7HT4vehdoHJyQirS6HIN8jhmMA&#10;XdMoIZdOXBhp44AapIZIlLBTHvk8d9s0UsQ3TYMyMl1xYhrzl4qQvU7fYj6Dsg3gOyX2LcAxLdzj&#10;ZEBZKnqAWkIEdhHUP1BGieDQNXEknCkGIlkRYjEZ39PmbQdeZi4kNfqD6Pj/YMXrzSowVVd8ypkF&#10;Qwd+8/Hq54cvN98vrz9f/frxKdnfvrJpkqr3WFLGwq7C3kO/Con3tgkm/YkR22Z5dwd55TYyQYuP&#10;n5w8o5czcRsr/iT6gPGldIYlo+IYA6i2iwtnLR2iC5MsL2xeYaTSlHibkKpqy/qKPz+ZJnCgoWxo&#10;GMg0noihbXMuOq3qc6V1ysDQrhc6sA2kwchPIki4f21LRZaA3bAvh4aR6STUL2zN4s6TZJZuCk8t&#10;GFlzpiVdrGQRIJQRlD5mJ5XWNiXIPLZ7nknxQeNkrV29y9IXyaORyB3vxzfN3F2f7LtXd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v0PcNgAAAAJAQAADwAAAAAAAAABACAAAAAiAAAAZHJzL2Rv&#10;d25yZXYueG1sUEsBAhQAFAAAAAgAh07iQMOJMPgBAgAA+gMAAA4AAAAAAAAAAQAgAAAAJwEAAGRy&#10;cy9lMm9Eb2MueG1sUEsFBgAAAAAGAAYAWQEAAJoFAAAAAA==&#10;">
            <v:path arrowok="t"/>
            <v:fill on="f" focussize="0,0"/>
            <v:stroke/>
            <v:imagedata o:title=""/>
            <o:lock v:ext="edit"/>
          </v:shape>
        </w:pict>
      </w:r>
      <w:r>
        <w:rPr>
          <w:rFonts w:hint="eastAsia" w:ascii="Times New Roman" w:hAnsi="Times New Roman" w:eastAsia="黑体" w:cs="黑体"/>
          <w:b/>
          <w:bCs/>
          <w:sz w:val="32"/>
          <w:szCs w:val="32"/>
        </w:rPr>
        <w:t>部门名称：昆明市盘龙区残疾人联合会</w:t>
      </w:r>
    </w:p>
    <w:p>
      <w:pPr>
        <w:adjustRightInd w:val="0"/>
        <w:snapToGrid w:val="0"/>
        <w:ind w:firstLine="643"/>
        <w:rPr>
          <w:rFonts w:ascii="Times New Roman" w:hAnsi="Times New Roman" w:eastAsia="黑体"/>
          <w:b/>
          <w:bCs/>
          <w:sz w:val="32"/>
          <w:szCs w:val="32"/>
        </w:rPr>
      </w:pPr>
      <w:r>
        <w:rPr>
          <w:rFonts w:ascii="Times New Roman" w:hAnsi="Times New Roman" w:eastAsia="黑体" w:cs="黑体"/>
          <w:b/>
          <w:bCs/>
          <w:sz w:val="32"/>
          <w:szCs w:val="32"/>
        </w:rPr>
        <w:pict>
          <v:shape id="_x0000_s2050" o:spid="_x0000_s2050" o:spt="32" type="#_x0000_t32" style="position:absolute;left:0pt;margin-left:133.5pt;margin-top:19.95pt;height:0pt;width:272.25pt;z-index:251661312;mso-width-relative:page;mso-height-relative:page;" filled="f"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CLOWtRAQIAAPoDAAAOAAAAZHJzL2Uyb0RvYy54bWytU82O&#10;0zAQviPxDpbvNP1h+Yma7qFluSCoBDzA1HESS/6Tx9u0L8ELIHECTsBp7zwNLI/B2OmWZbn0QCIl&#10;Mx7PN/N9Hs/Pd0azrQyonK34ZDTmTFrhamXbir99c/HgCWcYwdagnZUV30vk54v79+a9L+XUdU7X&#10;MjACsVj2vuJdjL4sChSdNIAj56WlYOOCgUhuaIs6QE/oRhfT8fhR0btQ++CERKTV1RDkB8RwCqBr&#10;GiXkyolLI20cUIPUEIkSdsojX+Rum0aK+KppUEamK05MY/5SEbI36Vss5lC2AXynxKEFOKWFO5wM&#10;KEtFj1AriMAug/oHyigRHLomjoQzxUAkK0IsJuM72rzuwMvMhaRGfxQd/x+seLldB6bqis84s2Do&#10;wK/fX/189+n629cfH69+ff+Q7C+f2SxJ1XssKWNp1+HgoV+HxHvXBJP+xIjtsrz7o7xyF5mgxdnD&#10;s8f0ciZuYsWfRB8wPpfOsGRUHGMA1XZx6aylQ3RhkuWF7QuMVJoSbxJSVW1ZX/GnZ9MEDjSUDQ0D&#10;mcYTMbRtzkWnVX2htE4ZGNrNUge2hTQY+UkECfevbanICrAb9uXQMDKdhPqZrVnce5LM0k3hqQUj&#10;a860pIuVLAKEMoLSp+yk0tqmBJnH9sAzKT5onKyNq/dZ+iJ5NBK548P4ppm77ZN9+8o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IEn4I1wAAAAkBAAAPAAAAAAAAAAEAIAAAACIAAABkcnMvZG93&#10;bnJldi54bWxQSwECFAAUAAAACACHTuJAizlrUQECAAD6AwAADgAAAAAAAAABACAAAAAmAQAAZHJz&#10;L2Uyb0RvYy54bWxQSwUGAAAAAAYABgBZAQAAmQUAAAAA&#10;">
            <v:path arrowok="t"/>
            <v:fill on="f" focussize="0,0"/>
            <v:stroke/>
            <v:imagedata o:title=""/>
            <o:lock v:ext="edit"/>
          </v:shape>
        </w:pict>
      </w:r>
      <w:r>
        <w:rPr>
          <w:rFonts w:hint="eastAsia" w:ascii="Times New Roman" w:hAnsi="Times New Roman" w:eastAsia="黑体" w:cs="黑体"/>
          <w:b/>
          <w:bCs/>
          <w:sz w:val="32"/>
          <w:szCs w:val="32"/>
        </w:rPr>
        <w:t>评价机构：昆明市盘龙区残疾人联合会</w:t>
      </w:r>
    </w:p>
    <w:p>
      <w:pPr>
        <w:ind w:left="1740" w:leftChars="580" w:firstLine="643"/>
        <w:rPr>
          <w:rFonts w:ascii="Times New Roman" w:hAnsi="Times New Roman" w:eastAsia="黑体"/>
          <w:b/>
          <w:bCs/>
          <w:sz w:val="32"/>
          <w:szCs w:val="32"/>
        </w:rPr>
      </w:pPr>
    </w:p>
    <w:p>
      <w:pPr>
        <w:ind w:firstLine="643"/>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rPr>
        <w:t>22</w:t>
      </w:r>
      <w:r>
        <w:rPr>
          <w:rFonts w:hint="eastAsia" w:ascii="Times New Roman" w:hAnsi="Times New Roman" w:eastAsia="黑体" w:cs="黑体"/>
          <w:b/>
          <w:bCs/>
          <w:sz w:val="32"/>
          <w:szCs w:val="32"/>
        </w:rPr>
        <w:t>年</w:t>
      </w:r>
      <w:r>
        <w:rPr>
          <w:rFonts w:hint="eastAsia" w:ascii="Times New Roman" w:hAnsi="Times New Roman" w:eastAsia="黑体"/>
          <w:b/>
          <w:bCs/>
          <w:sz w:val="32"/>
          <w:szCs w:val="32"/>
        </w:rPr>
        <w:t>04</w:t>
      </w:r>
      <w:r>
        <w:rPr>
          <w:rFonts w:hint="eastAsia" w:ascii="Times New Roman" w:hAnsi="Times New Roman" w:eastAsia="黑体" w:cs="黑体"/>
          <w:b/>
          <w:bCs/>
          <w:sz w:val="32"/>
          <w:szCs w:val="32"/>
        </w:rPr>
        <w:t>月</w:t>
      </w: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b/>
          <w:bCs/>
          <w:sz w:val="28"/>
          <w:szCs w:val="28"/>
        </w:rPr>
      </w:pPr>
    </w:p>
    <w:p>
      <w:pPr>
        <w:widowControl/>
        <w:ind w:firstLine="562"/>
        <w:jc w:val="left"/>
        <w:rPr>
          <w:rFonts w:ascii="Times New Roman" w:hAnsi="Times New Roman"/>
          <w:b/>
          <w:bCs/>
          <w:sz w:val="28"/>
          <w:szCs w:val="28"/>
        </w:rPr>
        <w:sectPr>
          <w:footerReference r:id="rId5" w:type="first"/>
          <w:headerReference r:id="rId3" w:type="default"/>
          <w:footerReference r:id="rId4" w:type="default"/>
          <w:pgSz w:w="11906" w:h="16838"/>
          <w:pgMar w:top="1701" w:right="1587" w:bottom="1587" w:left="1587" w:header="851" w:footer="992" w:gutter="0"/>
          <w:pgNumType w:fmt="numberInDash"/>
          <w:cols w:space="425" w:num="1"/>
          <w:titlePg/>
          <w:docGrid w:type="lines" w:linePitch="312" w:charSpace="0"/>
        </w:sectPr>
      </w:pPr>
    </w:p>
    <w:p>
      <w:pPr>
        <w:pStyle w:val="10"/>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9"/>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黎如珊</w:t>
            </w:r>
          </w:p>
        </w:tc>
        <w:tc>
          <w:tcPr>
            <w:tcW w:w="1620" w:type="dxa"/>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理事长</w:t>
            </w:r>
          </w:p>
        </w:tc>
        <w:tc>
          <w:tcPr>
            <w:tcW w:w="1621" w:type="dxa"/>
          </w:tcPr>
          <w:p>
            <w:pPr>
              <w:pStyle w:val="10"/>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办公室</w:t>
            </w:r>
          </w:p>
        </w:tc>
        <w:tc>
          <w:tcPr>
            <w:tcW w:w="1621" w:type="dxa"/>
          </w:tcPr>
          <w:p>
            <w:pPr>
              <w:pStyle w:val="10"/>
              <w:widowControl w:val="0"/>
              <w:spacing w:after="0" w:line="240" w:lineRule="auto"/>
              <w:jc w:val="both"/>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贺新生</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副理事长</w:t>
            </w:r>
          </w:p>
        </w:tc>
        <w:tc>
          <w:tcPr>
            <w:tcW w:w="1621" w:type="dxa"/>
          </w:tcPr>
          <w:p>
            <w:pPr>
              <w:ind w:firstLine="0" w:firstLineChars="0"/>
              <w:jc w:val="center"/>
              <w:rPr>
                <w:rFonts w:asciiTheme="majorEastAsia" w:hAnsiTheme="majorEastAsia" w:eastAsiaTheme="majorEastAsia" w:cstheme="majorEastAsia"/>
                <w:sz w:val="28"/>
                <w:szCs w:val="28"/>
                <w:lang w:val="zh-TW" w:eastAsia="zh-TW"/>
              </w:rPr>
            </w:pPr>
            <w:r>
              <w:rPr>
                <w:rFonts w:hint="eastAsia" w:asciiTheme="majorEastAsia" w:hAnsiTheme="majorEastAsia" w:eastAsiaTheme="majorEastAsia" w:cstheme="majorEastAsia"/>
                <w:sz w:val="28"/>
                <w:szCs w:val="28"/>
                <w:lang w:val="zh-TW"/>
              </w:rPr>
              <w:t>办公室</w:t>
            </w:r>
          </w:p>
        </w:tc>
        <w:tc>
          <w:tcPr>
            <w:tcW w:w="1621" w:type="dxa"/>
          </w:tcPr>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成员</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王秋艳</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p>
        </w:tc>
        <w:tc>
          <w:tcPr>
            <w:tcW w:w="1621" w:type="dxa"/>
          </w:tcPr>
          <w:p>
            <w:pPr>
              <w:ind w:firstLine="0" w:firstLineChars="0"/>
              <w:jc w:val="center"/>
              <w:rPr>
                <w:rFonts w:asciiTheme="majorEastAsia" w:hAnsiTheme="majorEastAsia" w:eastAsiaTheme="majorEastAsia" w:cstheme="majorEastAsia"/>
                <w:sz w:val="28"/>
                <w:szCs w:val="28"/>
                <w:lang w:val="zh-TW"/>
              </w:rPr>
            </w:pPr>
            <w:r>
              <w:rPr>
                <w:rFonts w:hint="eastAsia" w:asciiTheme="majorEastAsia" w:hAnsiTheme="majorEastAsia" w:eastAsiaTheme="majorEastAsia" w:cstheme="majorEastAsia"/>
                <w:sz w:val="28"/>
                <w:szCs w:val="28"/>
                <w:lang w:val="zh-TW"/>
              </w:rPr>
              <w:t>办公室</w:t>
            </w:r>
          </w:p>
        </w:tc>
        <w:tc>
          <w:tcPr>
            <w:tcW w:w="1621" w:type="dxa"/>
          </w:tcPr>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rPr>
              <w:t>王海燕</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科长</w:t>
            </w:r>
          </w:p>
        </w:tc>
        <w:tc>
          <w:tcPr>
            <w:tcW w:w="1621" w:type="dxa"/>
          </w:tcPr>
          <w:p>
            <w:pPr>
              <w:ind w:firstLine="0" w:firstLineChars="0"/>
              <w:jc w:val="center"/>
              <w:rPr>
                <w:rFonts w:asciiTheme="majorEastAsia" w:hAnsiTheme="majorEastAsia" w:eastAsiaTheme="majorEastAsia" w:cstheme="majorEastAsia"/>
                <w:sz w:val="28"/>
                <w:szCs w:val="28"/>
                <w:lang w:val="zh-TW" w:eastAsia="zh-TW"/>
              </w:rPr>
            </w:pPr>
            <w:r>
              <w:rPr>
                <w:rFonts w:hint="eastAsia" w:asciiTheme="majorEastAsia" w:hAnsiTheme="majorEastAsia" w:eastAsiaTheme="majorEastAsia" w:cstheme="majorEastAsia"/>
                <w:sz w:val="28"/>
                <w:szCs w:val="28"/>
                <w:lang w:val="zh-TW"/>
              </w:rPr>
              <w:t>组联教就科</w:t>
            </w:r>
          </w:p>
        </w:tc>
        <w:tc>
          <w:tcPr>
            <w:tcW w:w="1621" w:type="dxa"/>
          </w:tcPr>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赵荣玲</w:t>
            </w:r>
          </w:p>
        </w:tc>
        <w:tc>
          <w:tcPr>
            <w:tcW w:w="1620" w:type="dxa"/>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财务人员</w:t>
            </w:r>
          </w:p>
        </w:tc>
        <w:tc>
          <w:tcPr>
            <w:tcW w:w="1621" w:type="dxa"/>
          </w:tcPr>
          <w:p>
            <w:pPr>
              <w:pStyle w:val="10"/>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办公室</w:t>
            </w:r>
          </w:p>
        </w:tc>
        <w:tc>
          <w:tcPr>
            <w:tcW w:w="1621" w:type="dxa"/>
          </w:tcPr>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10"/>
              <w:widowControl w:val="0"/>
              <w:spacing w:after="0" w:line="360" w:lineRule="auto"/>
              <w:jc w:val="both"/>
              <w:rPr>
                <w:rFonts w:asciiTheme="majorEastAsia" w:hAnsiTheme="majorEastAsia" w:eastAsiaTheme="majorEastAsia" w:cstheme="majorEastAsia"/>
                <w:kern w:val="2"/>
                <w:sz w:val="28"/>
                <w:szCs w:val="28"/>
                <w:lang w:val="zh-TW" w:eastAsia="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0"/>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spacing w:after="0" w:line="360" w:lineRule="auto"/>
              <w:jc w:val="both"/>
              <w:rPr>
                <w:rFonts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pgNumType w:fmt="numberInDash"/>
          <w:cols w:space="425" w:num="1"/>
          <w:docGrid w:type="lines" w:linePitch="312" w:charSpace="0"/>
        </w:sectPr>
      </w:pPr>
    </w:p>
    <w:p>
      <w:pPr>
        <w:pStyle w:val="11"/>
        <w:ind w:firstLine="560"/>
        <w:jc w:val="center"/>
        <w:rPr>
          <w:rFonts w:hint="eastAsia" w:ascii="黑体" w:hAnsi="黑体" w:eastAsia="黑体" w:cs="黑体"/>
          <w:b w:val="0"/>
          <w:color w:val="auto"/>
          <w:sz w:val="32"/>
          <w:szCs w:val="32"/>
        </w:rPr>
      </w:pPr>
      <w:r>
        <w:rPr>
          <w:rFonts w:hint="eastAsia" w:ascii="黑体" w:hAnsi="黑体" w:eastAsia="黑体" w:cs="黑体"/>
          <w:b w:val="0"/>
          <w:color w:val="auto"/>
          <w:sz w:val="32"/>
          <w:szCs w:val="32"/>
          <w:lang w:val="zh-CN"/>
        </w:rPr>
        <w:t>目录</w:t>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一、摘要</w:t>
      </w:r>
      <w:r>
        <w:rPr>
          <w:rFonts w:hint="eastAsia" w:ascii="黑体" w:hAnsi="黑体" w:eastAsia="黑体" w:cs="黑体"/>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二、部门概况</w:t>
      </w:r>
      <w:r>
        <w:rPr>
          <w:rFonts w:hint="eastAsia" w:ascii="黑体" w:hAnsi="黑体" w:eastAsia="黑体" w:cs="黑体"/>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（一）部门机构设置、编制</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（二）部门职能</w:t>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（三）部门工作完成情况</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（四）部门管理制度 </w:t>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（五）部门资金来源及使用情况</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（六）政府采购情况 </w:t>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（七）固定资产情况</w:t>
      </w:r>
      <w:r>
        <w:rPr>
          <w:rFonts w:hint="eastAsia" w:ascii="仿宋_GB2312" w:hAnsi="仿宋_GB2312" w:eastAsia="仿宋_GB2312" w:cs="仿宋_GB2312"/>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三、绩效目标</w:t>
      </w:r>
      <w:r>
        <w:rPr>
          <w:rFonts w:hint="eastAsia" w:ascii="黑体" w:hAnsi="黑体" w:eastAsia="黑体" w:cs="黑体"/>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四、评价思路和过程</w:t>
      </w:r>
      <w:r>
        <w:rPr>
          <w:rFonts w:hint="eastAsia" w:ascii="黑体" w:hAnsi="黑体" w:eastAsia="黑体" w:cs="黑体"/>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（一）评价思路</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（二）评价目的</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（三）评价依据</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（四）评价对象及评价时段</w:t>
      </w:r>
      <w:r>
        <w:rPr>
          <w:rFonts w:hint="eastAsia" w:ascii="仿宋_GB2312" w:hAnsi="仿宋_GB2312" w:eastAsia="仿宋_GB2312" w:cs="仿宋_GB2312"/>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五、评价结论和绩效分析</w:t>
      </w:r>
      <w:r>
        <w:rPr>
          <w:rFonts w:hint="eastAsia" w:ascii="黑体" w:hAnsi="黑体" w:eastAsia="黑体" w:cs="黑体"/>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（一）评价结论</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（二）具体绩效分析</w:t>
      </w:r>
      <w:r>
        <w:rPr>
          <w:rFonts w:hint="eastAsia" w:ascii="仿宋_GB2312" w:hAnsi="仿宋_GB2312" w:eastAsia="仿宋_GB2312" w:cs="仿宋_GB2312"/>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六、主要经验做法</w:t>
      </w:r>
      <w:r>
        <w:rPr>
          <w:rFonts w:hint="eastAsia" w:ascii="黑体" w:hAnsi="黑体" w:eastAsia="黑体" w:cs="黑体"/>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七、存在的问题</w:t>
      </w:r>
      <w:r>
        <w:rPr>
          <w:rFonts w:hint="eastAsia" w:ascii="黑体" w:hAnsi="黑体" w:eastAsia="黑体" w:cs="黑体"/>
          <w:sz w:val="32"/>
          <w:szCs w:val="32"/>
        </w:rPr>
        <w:tab/>
      </w:r>
    </w:p>
    <w:p>
      <w:pPr>
        <w:spacing w:line="400" w:lineRule="exact"/>
        <w:ind w:firstLine="560"/>
        <w:jc w:val="left"/>
        <w:rPr>
          <w:rFonts w:hint="eastAsia" w:ascii="黑体" w:hAnsi="黑体" w:eastAsia="黑体" w:cs="黑体"/>
          <w:sz w:val="32"/>
          <w:szCs w:val="32"/>
        </w:rPr>
      </w:pPr>
      <w:r>
        <w:rPr>
          <w:rFonts w:hint="eastAsia" w:ascii="黑体" w:hAnsi="黑体" w:eastAsia="黑体" w:cs="黑体"/>
          <w:sz w:val="32"/>
          <w:szCs w:val="32"/>
        </w:rPr>
        <w:t>八、改进措施及建议</w:t>
      </w:r>
      <w:r>
        <w:rPr>
          <w:rFonts w:hint="eastAsia" w:ascii="黑体" w:hAnsi="黑体" w:eastAsia="黑体" w:cs="黑体"/>
          <w:sz w:val="32"/>
          <w:szCs w:val="32"/>
        </w:rPr>
        <w:tab/>
      </w:r>
    </w:p>
    <w:p>
      <w:pPr>
        <w:spacing w:line="400" w:lineRule="exact"/>
        <w:ind w:firstLine="560"/>
        <w:jc w:val="left"/>
        <w:rPr>
          <w:rFonts w:hint="eastAsia" w:ascii="仿宋_GB2312" w:hAnsi="仿宋_GB2312" w:eastAsia="仿宋_GB2312" w:cs="仿宋_GB2312"/>
          <w:sz w:val="32"/>
          <w:szCs w:val="32"/>
        </w:rPr>
      </w:pP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 成本费用分析报告</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附件2部门职能分解</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附件3评价指标体系 </w:t>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附件4 2021年工作总结</w:t>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附件5工作底稿</w:t>
      </w:r>
      <w:r>
        <w:rPr>
          <w:rFonts w:hint="eastAsia" w:ascii="仿宋_GB2312" w:hAnsi="仿宋_GB2312" w:eastAsia="仿宋_GB2312" w:cs="仿宋_GB2312"/>
          <w:sz w:val="32"/>
          <w:szCs w:val="32"/>
        </w:rPr>
        <w:tab/>
      </w:r>
    </w:p>
    <w:p>
      <w:pPr>
        <w:spacing w:line="400" w:lineRule="exact"/>
        <w:ind w:firstLine="56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附件6 盘龙区残联2021年部门预算、决算明细表（单位：元）</w:t>
      </w:r>
    </w:p>
    <w:p>
      <w:pPr>
        <w:spacing w:line="600" w:lineRule="exact"/>
        <w:ind w:firstLine="600"/>
        <w:jc w:val="left"/>
        <w:rPr>
          <w:rFonts w:ascii="黑体" w:hAnsi="黑体" w:eastAsia="黑体"/>
          <w:szCs w:val="32"/>
        </w:rPr>
      </w:pPr>
    </w:p>
    <w:p>
      <w:pPr>
        <w:pStyle w:val="2"/>
        <w:keepNext w:val="0"/>
        <w:keepLines w:val="0"/>
        <w:pageBreakBefore w:val="0"/>
        <w:widowControl w:val="0"/>
        <w:kinsoku/>
        <w:wordWrap/>
        <w:overflowPunct/>
        <w:topLinePunct w:val="0"/>
        <w:autoSpaceDE w:val="0"/>
        <w:autoSpaceDN w:val="0"/>
        <w:bidi w:val="0"/>
        <w:adjustRightInd/>
        <w:snapToGrid/>
        <w:spacing w:line="56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rPr>
        <w:t>盘龙区残疾人联合会</w:t>
      </w:r>
    </w:p>
    <w:p>
      <w:pPr>
        <w:pStyle w:val="2"/>
        <w:keepNext w:val="0"/>
        <w:keepLines w:val="0"/>
        <w:pageBreakBefore w:val="0"/>
        <w:widowControl w:val="0"/>
        <w:kinsoku/>
        <w:wordWrap/>
        <w:overflowPunct/>
        <w:topLinePunct w:val="0"/>
        <w:autoSpaceDE w:val="0"/>
        <w:autoSpaceDN w:val="0"/>
        <w:bidi w:val="0"/>
        <w:adjustRightInd/>
        <w:snapToGrid/>
        <w:spacing w:line="56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2021年度部门整体支出绩效评价报告</w:t>
      </w:r>
    </w:p>
    <w:bookmarkEnd w:id="0"/>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一、部门概况</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（一）部门机构设置、编制</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昆明市盘龙区残疾人联合会是经国家法律确认，经盘龙区人民政府批准的由残疾人及其亲友和残疾人工作者组成的人民团体，是全区各类残疾人的统一组织，是党和政府联系广大残疾人的桥梁和纽带。</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盘龙区残联内设3个职能科室，即办公室、康复宣文科、组联教就科，下属二个事业单位，即盘龙区残疾人康复指导和就业服务站（全额拨款事业单位）、盘龙区残疾人综合服务中心（财政差额拨款80%）。其中，盘龙区残疾人综合服务中心于2018年4月起机构</w:t>
      </w:r>
      <w:r>
        <w:rPr>
          <w:sz w:val="32"/>
          <w:szCs w:val="32"/>
        </w:rPr>
        <w:t>单列</w:t>
      </w:r>
      <w:r>
        <w:rPr>
          <w:rFonts w:hint="eastAsia"/>
          <w:sz w:val="32"/>
          <w:szCs w:val="32"/>
        </w:rPr>
        <w:t>，实行独立核算。</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盘龙区残联机关及下属单位共核定行政及事业编制21名，2021年年末有在职人员18人（包括行政编制7人，全额事业编制7人，差额事业编制4人），退休人员8人，其中差额事业编制4人属独立核算的残疾人综合服务中心职工。</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（二）部门职能。</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1.代表残疾人共同利益，维护残疾人合法权益；</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2.团结教育残疾人，为残疾人务；</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3.履行法律赋予的职责，承担政府委托的任务，管理和发展残疾人事业。</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（三）部门工作完成情况</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1.残疾人康复工作</w:t>
      </w:r>
    </w:p>
    <w:p>
      <w:pPr>
        <w:keepNext w:val="0"/>
        <w:keepLines w:val="0"/>
        <w:pageBreakBefore w:val="0"/>
        <w:widowControl w:val="0"/>
        <w:kinsoku/>
        <w:wordWrap/>
        <w:overflowPunct/>
        <w:autoSpaceDE w:val="0"/>
        <w:autoSpaceDN w:val="0"/>
        <w:bidi w:val="0"/>
        <w:adjustRightInd/>
        <w:snapToGrid/>
        <w:spacing w:line="560" w:lineRule="exact"/>
        <w:ind w:firstLine="0" w:firstLineChars="0"/>
        <w:jc w:val="both"/>
        <w:textAlignment w:val="auto"/>
        <w:rPr>
          <w:rFonts w:ascii="仿宋_GB2312" w:hAnsi="宋体" w:cs="宋体"/>
          <w:color w:val="222222"/>
          <w:kern w:val="0"/>
          <w:sz w:val="32"/>
          <w:szCs w:val="32"/>
        </w:rPr>
      </w:pPr>
      <w:r>
        <w:rPr>
          <w:rFonts w:hint="eastAsia" w:ascii="仿宋_GB2312" w:hAnsi="宋体" w:cs="宋体"/>
          <w:color w:val="222222"/>
          <w:kern w:val="0"/>
          <w:sz w:val="32"/>
          <w:szCs w:val="32"/>
        </w:rPr>
        <w:t>全年为</w:t>
      </w:r>
      <w:r>
        <w:rPr>
          <w:rFonts w:hint="eastAsia" w:ascii="仿宋_GB2312" w:hAnsi="仿宋_GB2312" w:cs="仿宋_GB2312"/>
          <w:bCs/>
          <w:sz w:val="32"/>
          <w:szCs w:val="32"/>
        </w:rPr>
        <w:t>577人</w:t>
      </w:r>
      <w:r>
        <w:rPr>
          <w:rFonts w:hint="eastAsia" w:ascii="仿宋_GB2312" w:hAnsi="宋体" w:cs="宋体"/>
          <w:color w:val="222222"/>
          <w:kern w:val="0"/>
          <w:sz w:val="32"/>
          <w:szCs w:val="32"/>
        </w:rPr>
        <w:t>名辖区残疾人提供精准康复服务，精准康复服务率100%，辅具适配率100%。开展精障康复服务全年为精神残疾人提供免费服药407人；开展辅助器具适配服务，为88名残疾人配发辅助器具，其中14名听障残疾人适配助听器，4名肢体残疾人适配假肢，帮助改善及补偿残障功能；组织开展社区康复服务，开展残疾人娱乐康复活动13期；开展儿童康复救助服务，为辖区131名残疾儿童提供儿童康复救助服务；开展残疾人家庭医生签约服务，2021年签约家庭医生并履约服务残疾人</w:t>
      </w:r>
      <w:r>
        <w:rPr>
          <w:rFonts w:hint="eastAsia" w:ascii="仿宋_GB2312" w:hAnsi="仿宋_GB2312" w:cs="仿宋_GB2312"/>
          <w:sz w:val="32"/>
          <w:szCs w:val="32"/>
        </w:rPr>
        <w:t>7277</w:t>
      </w:r>
      <w:r>
        <w:rPr>
          <w:rFonts w:hint="eastAsia" w:ascii="仿宋_GB2312" w:hAnsi="宋体" w:cs="宋体"/>
          <w:color w:val="222222"/>
          <w:kern w:val="0"/>
          <w:sz w:val="32"/>
          <w:szCs w:val="32"/>
        </w:rPr>
        <w:t>人。</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2.残疾人教育就业和扶贫工作</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rFonts w:ascii="仿宋_GB2312" w:hAnsi="仿宋_GB2312" w:cs="仿宋_GB2312"/>
          <w:sz w:val="32"/>
          <w:szCs w:val="32"/>
        </w:rPr>
      </w:pPr>
      <w:r>
        <w:rPr>
          <w:rFonts w:hint="eastAsia" w:ascii="仿宋_GB2312" w:hAnsi="仿宋_GB2312" w:cs="仿宋_GB2312"/>
          <w:sz w:val="32"/>
          <w:szCs w:val="32"/>
        </w:rPr>
        <w:t>2021年核定三四级残疾人城乡居民基本医疗保险核定人数3037人，完成缴费3017人；参保率99.34%；核定城镇重度残疾人城乡居民基本医疗保险967人，完成缴费958人，未完成缴费9人，参保率99.07%；核定农村重度残疾人城乡居民基本医疗保险554人，完成缴费554人，参保率100%。为205名残疾人提供能够满足其意愿、需求的个别化支持的居家照料、日间照料和集中托养服务。为符合条件的16名义务教育阶段和高中、大专阶段的残疾学生和贫困残疾人家庭子女提供帮助。积极开发就业岗位40余个，170家用人单位安置残疾人就业392.49人，同时，辖区内12名残疾人通过自主创业实现就业。对辖区150名残疾人进行了免费的短视频运营、竹编、护理等职业技能培训。受理了1015名残疾人证办理申请，其中新办证519人，残疾证变更117人，挂式97人，残损换新18人，到期换证3人，迁移15人，注销246人，完成辖区内3名残疾人到期换证工作，积极出台政策，联合区医院针对无法出门的6名重度肢体残疾人提供免费上门鉴定残疾情况服务。完成我区4家盲人按摩机构申报规范化建设和量化分级评定验收工作。组织16人参加2021年度云南省盲人医疗按摩人员国家级暨省级线上继续教育培训。向辖区内17家规范化盲人保健按摩机构发放稳岗补贴3.6万元。为2名残疾人发放创业补助资金2万元，并帮扶辖区10名自主创业残疾人申报创业扶持。为辖区内26名残疾人发放驾驶技能培训补助6.1万元。积极探索精神和心智障碍人群支持性就业和辅助性就业模式。有1名患有唐氏综合症的残疾人在社区从事清洁服务工作，4名智力残疾人稳定就业于云南京环盘宸有限公司，2名精神残疾人就业于云南省杨丽萍文化传播有限公司，3名心青年在力行心青年就业实训基地实现辅助性就业。</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3.残疾人生活和护理补贴工作</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ascii="仿宋_GB2312" w:hAnsi="仿宋_GB2312" w:cs="仿宋_GB2312"/>
          <w:sz w:val="32"/>
          <w:szCs w:val="32"/>
        </w:rPr>
        <w:t>继续做好残疾人两项补贴申报审核工作。辖区内</w:t>
      </w:r>
      <w:r>
        <w:rPr>
          <w:rFonts w:hint="eastAsia" w:ascii="仿宋_GB2312" w:hAnsi="宋体" w:cs="Arial"/>
          <w:bCs/>
          <w:spacing w:val="18"/>
          <w:sz w:val="32"/>
          <w:szCs w:val="32"/>
        </w:rPr>
        <w:t>1899名</w:t>
      </w:r>
      <w:r>
        <w:rPr>
          <w:rFonts w:hint="eastAsia" w:ascii="仿宋_GB2312" w:hAnsi="仿宋_GB2312" w:cs="仿宋_GB2312"/>
          <w:sz w:val="32"/>
          <w:szCs w:val="32"/>
        </w:rPr>
        <w:t>贫困残疾人享受困难残疾人生活补贴，</w:t>
      </w:r>
      <w:r>
        <w:rPr>
          <w:rFonts w:hint="eastAsia" w:ascii="仿宋_GB2312" w:hAnsi="宋体" w:cs="Arial"/>
          <w:bCs/>
          <w:spacing w:val="18"/>
          <w:sz w:val="32"/>
          <w:szCs w:val="32"/>
        </w:rPr>
        <w:t>4287</w:t>
      </w:r>
      <w:r>
        <w:rPr>
          <w:rFonts w:hint="eastAsia" w:ascii="仿宋_GB2312" w:hAnsi="仿宋_GB2312" w:cs="仿宋_GB2312"/>
          <w:sz w:val="32"/>
          <w:szCs w:val="32"/>
        </w:rPr>
        <w:t>名重度残疾人享受重度残疾人护理补贴。</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4.其他残疾人事业支出工作</w:t>
      </w:r>
    </w:p>
    <w:p>
      <w:pPr>
        <w:pStyle w:val="2"/>
        <w:keepNext w:val="0"/>
        <w:keepLines w:val="0"/>
        <w:pageBreakBefore w:val="0"/>
        <w:widowControl w:val="0"/>
        <w:kinsoku/>
        <w:wordWrap/>
        <w:overflowPunct/>
        <w:autoSpaceDE w:val="0"/>
        <w:autoSpaceDN w:val="0"/>
        <w:bidi w:val="0"/>
        <w:adjustRightInd/>
        <w:snapToGrid/>
        <w:spacing w:before="0" w:after="0" w:line="560" w:lineRule="exact"/>
        <w:ind w:firstLine="600"/>
        <w:jc w:val="both"/>
        <w:textAlignment w:val="auto"/>
        <w:rPr>
          <w:rFonts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开展残疾人事业宣传活动、“阳光助残 携手筑梦”主题志愿服务活动8次、残疾人文化“五个一”活动、残疾人文体活动、6次协会活动，配置了45名社区残协专职委员，服务全区持证残疾人，向4个涉农街道43名村级联络员按月发放村级联络员工作补贴，为辖区内105个社区拨付社区社区工作经费，完成全区12484名残疾人信息采集调查，组织开展专职委员业务素质培训3期。</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 xml:space="preserve">5.日常办公维持工作 </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维持残疾人联合会及残疾人综合服务中心日常工作正常开展，保障区残联及下属事业单位18名工作人员工资社保正常有序发放、办公用品得到及时补给、符合条件并有需求的工作人员得到应有的业务培训等，为残疾人工作的顺利开展提供充分的后勤保障，全力做好“创文”工作和党风廉政建设工作。</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（四）部门管理制度</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《盘龙区残联内部管理制度》、《盘龙区残疾人联合会“三重一大”集体决策制度》、《盘龙残联理事长办公会议事规则》、《盘龙区残联财务管理制度（试行）》等。</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（五）部门资金来源及使用情况</w:t>
      </w:r>
    </w:p>
    <w:p>
      <w:pPr>
        <w:keepNext w:val="0"/>
        <w:keepLines w:val="0"/>
        <w:pageBreakBefore w:val="0"/>
        <w:widowControl w:val="0"/>
        <w:tabs>
          <w:tab w:val="left" w:pos="3600"/>
        </w:tabs>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1.部门资金来源:2021年盘龙区残联资金收入共计1730.51万元，来源主要有区级预算收入、纳入预算管理的非税收入、和上级（中央、省、市级）转移支付资金。</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盘龙区残联2021年区级预算收入为1356.57万元，年初预算为1663.29万元，年度追减经费306.72万元。其中基本支出预算收入415.08万元，年初预算411.41万元，追加经费3.67万元；项目支出项目支出预算收入941.49万元，年出预算1251.88万元，追减经费310.39万元。</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（2）盘龙区残联2021年上级转移支付资金收入343.09万元，其中中央补助100.54万元，省级补助104万元，市级补助138.55万元。</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（3）盘龙区残联2021年其他收入30.85万元。</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部门资金使用情况。2021年区残联经费共计支出1730.12万元，其中，区级预算支出1356.57万元，上级拨款支出343.09万元；基本支出支出415.08万元，项目支出支出1315.08万元（残疾人康复项目支出260.01万元，残疾人就业和扶贫项目支出181.07万元，残疾人生活和护理补贴项目支出622.37万元，其他残疾人事业支出项目支出251.59万元）。</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（六）政府采购情况。</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rFonts w:ascii="楷体" w:hAnsi="楷体" w:eastAsia="楷体"/>
          <w:sz w:val="32"/>
          <w:szCs w:val="32"/>
        </w:rPr>
      </w:pPr>
      <w:r>
        <w:rPr>
          <w:rFonts w:hint="eastAsia"/>
          <w:sz w:val="32"/>
          <w:szCs w:val="32"/>
        </w:rPr>
        <w:t>盘龙区残联2021年共涉及4项政府购买服务项目，分别是2021年无障碍体验服务、残疾人托养服务、残疾人体质监测、儿童康复服务，全年涉及购买服务经费242.98万元。</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（七）固定资产情况。</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截至2021年12月31日，昆明市盘龙区残疾人联合会固定资产原值663.10万元，固定资产累计折旧470.07万元，固定资产净值为193.03万元；无形资产27.90万元，无形资产累计摊销7.36万元，无形资产净值为20.54万元。2021年当年新增固定资产7.42万元，无新增无形资产。</w:t>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二、绩效目标</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（一）部门总目标。</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1.社区残疾人康复、残疾人康复普及型康复用品配发、精神病防治康复、社区精准康复服务工作等经费支出。</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2.残疾人自主创业扶持、职业技能培训、按比例安置残疾人就业工作、“春雨行动”扶残助学、贫困残疾人家庭危房改造及贫困救助和托养服务、重大节日走访慰问、社会保障工作等经费支出。</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3.基层残疾人组织建设工作、残疾人基本服务状况和需求调查工作、扶残助残社会氛围营造宣传工作、区残疾人综合服务设施支持性服务经费等经费支出。</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rFonts w:ascii="仿宋_GB2312" w:hAnsi="仿宋_GB2312" w:cs="仿宋_GB2312"/>
          <w:sz w:val="32"/>
          <w:szCs w:val="32"/>
        </w:rPr>
      </w:pPr>
      <w:r>
        <w:rPr>
          <w:rFonts w:hint="eastAsia"/>
          <w:sz w:val="32"/>
          <w:szCs w:val="32"/>
        </w:rPr>
        <w:t>4.发放全区困难残疾人生活补贴和重度残疾人护理补贴。</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（二）部门项目具体计划目标。</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1.残疾人康复工作：组织</w:t>
      </w:r>
      <w:r>
        <w:rPr>
          <w:rFonts w:hint="eastAsia" w:ascii="仿宋_GB2312" w:hAnsi="仿宋_GB2312" w:cs="仿宋_GB2312"/>
          <w:sz w:val="32"/>
          <w:szCs w:val="32"/>
        </w:rPr>
        <w:t>残疾人提供体质监测服务，为有健身需求的残疾人到健身机构参与体育健身活动；为全区有康复需求的残疾儿童已按规定程序进入昆明市定点康复机构进行康复救助治疗</w:t>
      </w:r>
      <w:r>
        <w:rPr>
          <w:rFonts w:hint="eastAsia"/>
          <w:sz w:val="32"/>
          <w:szCs w:val="32"/>
        </w:rPr>
        <w:t>，为辖区残疾人提供针对性的康复服务；区贫困精神病人实现免费服药补助全覆盖，组织开展区“精防”康复对象工疗、娱疗活动；为贫困区残疾人配发普及型康复用品用具。为贫困残疾人配发生活用具；开展家庭医生签约服务。</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rFonts w:ascii="楷体" w:hAnsi="楷体" w:eastAsia="楷体"/>
          <w:sz w:val="32"/>
          <w:szCs w:val="32"/>
        </w:rPr>
      </w:pPr>
      <w:r>
        <w:rPr>
          <w:rFonts w:hint="eastAsia"/>
          <w:sz w:val="32"/>
          <w:szCs w:val="32"/>
        </w:rPr>
        <w:t>4.残疾人生活和护理补贴：发放全区困难残疾人生活补贴和重度残疾人护理补贴，切实改善困难残疾人的生活状况和重度残疾人的护理状况，加快推进困难残疾人的小康进程。</w:t>
      </w:r>
      <w:r>
        <w:rPr>
          <w:rFonts w:hint="eastAsia"/>
          <w:sz w:val="32"/>
          <w:szCs w:val="32"/>
        </w:rPr>
        <w:tab/>
      </w:r>
      <w:r>
        <w:rPr>
          <w:rFonts w:hint="eastAsia" w:ascii="楷体" w:hAnsi="楷体" w:eastAsia="楷体"/>
          <w:sz w:val="32"/>
          <w:szCs w:val="32"/>
        </w:rPr>
        <w:tab/>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三、评价思路和过程</w:t>
      </w:r>
    </w:p>
    <w:p>
      <w:pPr>
        <w:keepNext w:val="0"/>
        <w:keepLines w:val="0"/>
        <w:pageBreakBefore w:val="0"/>
        <w:widowControl w:val="0"/>
        <w:kinsoku/>
        <w:wordWrap/>
        <w:overflowPunct/>
        <w:topLinePunct/>
        <w:autoSpaceDE w:val="0"/>
        <w:autoSpaceDN w:val="0"/>
        <w:bidi w:val="0"/>
        <w:adjustRightInd/>
        <w:snapToGrid/>
        <w:spacing w:line="560" w:lineRule="exact"/>
        <w:ind w:firstLine="803" w:firstLineChars="250"/>
        <w:jc w:val="both"/>
        <w:textAlignment w:val="auto"/>
        <w:rPr>
          <w:rStyle w:val="12"/>
          <w:sz w:val="32"/>
          <w:szCs w:val="32"/>
        </w:rPr>
      </w:pPr>
      <w:r>
        <w:rPr>
          <w:rStyle w:val="12"/>
          <w:rFonts w:hint="eastAsia"/>
          <w:sz w:val="32"/>
          <w:szCs w:val="32"/>
        </w:rPr>
        <w:t>（一）评价思路</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rFonts w:ascii="仿宋_GB2312" w:hAnsi="楷体"/>
          <w:sz w:val="32"/>
          <w:szCs w:val="32"/>
        </w:rPr>
      </w:pPr>
      <w:r>
        <w:rPr>
          <w:rFonts w:hint="eastAsia"/>
          <w:sz w:val="32"/>
          <w:szCs w:val="32"/>
        </w:rPr>
        <w:t>确认当年度部门整体支出的绩效目标→梳理部门内部管理制度及存量资源→分析确定当年度部门整体支出的评价重点→构建绩效评价指标体系。</w:t>
      </w:r>
    </w:p>
    <w:p>
      <w:pPr>
        <w:pStyle w:val="4"/>
        <w:keepNext w:val="0"/>
        <w:keepLines w:val="0"/>
        <w:pageBreakBefore w:val="0"/>
        <w:widowControl w:val="0"/>
        <w:numPr>
          <w:ilvl w:val="0"/>
          <w:numId w:val="1"/>
        </w:numPr>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评价目的</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通过收集单位基本情况、2021年预算制定与预算明细、2021年年度工作计划及组织架构等信息，分析本单位资源配置的合理性及中长期规划目标完成与履职情况，总结经验做法，找出预算绩效管理中的薄弱环节，提出改进建议，提高财政资金的使用效益。</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（三）评价依据</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盘龙区残疾人联合会2021年整体绩效评价主要依据是参照：《昆明市盘龙区财政局关于下达2021年部门预算的批复》（盘财〔2021〕1号）、《昆明市盘龙区财政局关于开展2021年度区级预算支出绩效自评工作的通知》（盘财绩〔2022〕2号）、《盘龙区区级部门预算绩效自评管理暂行办法》（盘财〔2018〕71号）、2021年度盘龙区残疾人联合会预算执行情况表、2021年1-12月预算绩效跟踪表、中央、省、市、区党委政府对于部门或该项目的相关要求等，对2021年度预算支出情况进行分析评价。</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（四）评价对象及评价时段</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盘龙区残联对2021年度区级预算安排的基本支出、项目支出（包括残疾人康复经费、残疾人就业和扶贫经费、残疾人生活和护理补贴经费及其他残疾人事业支出经费共四个项目）和中央、省、市及安排的专项资金全面的进行评价。评价分为季度评价和年度评价，每个季度对整体支出绩效和项目支出绩效跟踪，及时将跟踪结果反馈区级财政部门，年度终了，对整个会计年度的支出情况做全面绩效分析。</w:t>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四、评价结论和绩效分析</w:t>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（一）评价结论</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1.评价结果</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2021年残疾人基本支出和项目支出资金使用严格按照《预算法》、《会计法》执行，符合中央、省、市文件要求，财政资金的投入，进一步完善了为残疾人服务体系，使残疾人得到康复范围拓宽，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增加残疾人幸福感和社会参与感，促进残疾人全面发展。本单位整体绩效指标评价体系总分100分，自评得分99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2.主要绩效</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1.残疾人康复工作：组织</w:t>
      </w:r>
      <w:r>
        <w:rPr>
          <w:rFonts w:hint="eastAsia" w:ascii="仿宋_GB2312" w:hAnsi="仿宋_GB2312" w:cs="仿宋_GB2312"/>
          <w:sz w:val="32"/>
          <w:szCs w:val="32"/>
        </w:rPr>
        <w:t>残疾人提供体质监测服务，为有健身需求的残疾人到健身机构参与体育健身活动；为全区有康复需求的残疾儿童已按规定程序进入昆明市定点康复机构进行康复救助治疗</w:t>
      </w:r>
      <w:r>
        <w:rPr>
          <w:rFonts w:hint="eastAsia"/>
          <w:sz w:val="32"/>
          <w:szCs w:val="32"/>
        </w:rPr>
        <w:t>，为辖区残疾人提供针对性的康复服务；区贫困精神病人实现免费服药补助全覆盖，组织开展区“精防”康复对象工疗、娱疗活动；为贫困区残疾人配发普及型康复用品用具。为贫困残疾人配发生活用具；开展家庭医生签约服务。</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4.残疾人生活和护理补贴：发放全区困难残疾人生活补贴和重度残疾人护理补贴，切实改善困难残疾人的生活状况和重度残疾人的护理状况，加快推进困难残疾人的小康进程。</w:t>
      </w:r>
      <w:r>
        <w:rPr>
          <w:rFonts w:hint="eastAsia"/>
          <w:sz w:val="32"/>
          <w:szCs w:val="32"/>
        </w:rPr>
        <w:tab/>
      </w:r>
    </w:p>
    <w:p>
      <w:pPr>
        <w:pStyle w:val="4"/>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（二）具体绩效分析</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评价组对本单位整体绩效从部门决策、部门管理和部门绩效三个方面设立11个二级指标、45个三级指标，按照不同权重对项目绩效进行量化评价，具体评价情况如下：</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1.部门决策（总分35分，评价得分35分）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部门目标：部门中长期规划目标、年度规划目标明确，部门详细工作计划与年度工作目标对应匹配，绩效目标合理可量化，符合部门制定的中长期实施规划计，符合部门“三定”方案确定的职责，与部门年度工作目标、任务相一致。（总分12分，评价得分12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部门职能：①职能明确、设定依据充分，有“三定”文件，部门详细工作目标与部门职能对应匹配，部门年度具体工作与部门职能对应匹配，部门内设科室及下属单位具体职责明确。（总分10分，评价得分10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资源配置：部门年度基本支出预算根据人员经费、公用经费标准进行合理编制，部门年度项目支出预算程序、预算依据、适用范围合理，部门核定人员的编制与部门工作内容合理，部门现有办公资源能否满足部门日常工作需求。（总分13分，评价得分13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2.部门管理（总分20分，评价得分20分）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w:t>
      </w:r>
      <w:r>
        <w:rPr>
          <w:sz w:val="32"/>
          <w:szCs w:val="32"/>
        </w:rPr>
        <w:t>预算管理</w:t>
      </w:r>
      <w:r>
        <w:rPr>
          <w:rFonts w:hint="eastAsia"/>
          <w:sz w:val="32"/>
          <w:szCs w:val="32"/>
        </w:rPr>
        <w:t>：部门基本支出本年度决算数与预算数的比率为100%，项目支出本年度决算数与预算数的比率100%；部门本年度“三公”经费预算数与上年度“三公”经费预算数的变动比率0%；根据年中预算实际执行情况及时合规进行预算调整。（总分7分，评价得分7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w:t>
      </w:r>
      <w:r>
        <w:rPr>
          <w:sz w:val="32"/>
          <w:szCs w:val="32"/>
        </w:rPr>
        <w:t>财务管理</w:t>
      </w:r>
      <w:r>
        <w:rPr>
          <w:rFonts w:hint="eastAsia"/>
          <w:sz w:val="32"/>
          <w:szCs w:val="32"/>
        </w:rPr>
        <w:t>：财务管理制度健全；资金使用合规；有明确的财务监控监督措施，监控、监督措施执行有效。（总分6分，评价得分6分）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w:t>
      </w:r>
      <w:r>
        <w:rPr>
          <w:sz w:val="32"/>
          <w:szCs w:val="32"/>
        </w:rPr>
        <w:t>人力资源管理</w:t>
      </w:r>
      <w:r>
        <w:rPr>
          <w:rFonts w:hint="eastAsia"/>
          <w:sz w:val="32"/>
          <w:szCs w:val="32"/>
        </w:rPr>
        <w:t>：部门本年度实际在职人员数与编制数的比率为85.7%；有具体的人力资源管理制度文件和参照文件；严格按照相关文件对各类型人员进行管理和考核。（总分2分，评价得分2分）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（4）</w:t>
      </w:r>
      <w:r>
        <w:rPr>
          <w:sz w:val="32"/>
          <w:szCs w:val="32"/>
        </w:rPr>
        <w:t>资产管理</w:t>
      </w:r>
      <w:r>
        <w:rPr>
          <w:rFonts w:hint="eastAsia"/>
          <w:sz w:val="32"/>
          <w:szCs w:val="32"/>
        </w:rPr>
        <w:t>：固定资产在用率98%；已制定固定资产管理办法、资产使用办法等管理制度，相关管理制度合法、合规、完整，相关管理制度得到有效执行。（总分2分，评价得分2分）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（5）</w:t>
      </w:r>
      <w:r>
        <w:rPr>
          <w:sz w:val="32"/>
          <w:szCs w:val="32"/>
        </w:rPr>
        <w:t>业务管理</w:t>
      </w:r>
      <w:r>
        <w:rPr>
          <w:rFonts w:hint="eastAsia"/>
          <w:sz w:val="32"/>
          <w:szCs w:val="32"/>
        </w:rPr>
        <w:t>：已制定业务管理、项目管理等管理制度，相关管理制度合法、合规、完整，能得到有效执行；政府采购方式、程序都规范；有定期指导记录、考核结果。（总分3分，评价得分3分）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3.部门绩效（总分45分，评价得分44分）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部门产出：重点项目全部完成；帮困、医疗补贴等社会保障工作全部完成；残疾人助学工作全部完成；各类康复服务计划除社区康复融合活动未完成外其余全部完成；就业安置及培训计划全部完成；残疾人信息化统计、阳光关爱服务等政府采购项目按制度严格执行政府采购流程；年度内部门实际完成工作数中达到上级部门和同级政府目标要求。（总分18分，评价得分17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w:t>
      </w:r>
      <w:r>
        <w:rPr>
          <w:sz w:val="32"/>
          <w:szCs w:val="32"/>
        </w:rPr>
        <w:t>部门效果</w:t>
      </w:r>
      <w:r>
        <w:rPr>
          <w:rFonts w:hint="eastAsia"/>
          <w:sz w:val="32"/>
          <w:szCs w:val="32"/>
        </w:rPr>
        <w:t>：投诉信访事件有所减少：助困、助学等社会保障项目在各类残疾人保障中的覆盖率达90%以上；各类康复服务项目有明显的康复效果；有效促进残疾人就业；残疾人对区残联现提供服务及补贴政策的知晓程度达80%以上；残联系统相关人员及辖区内残疾人对残联工作的满意达85%。（总分21分，评价得分21分）</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（3）</w:t>
      </w:r>
      <w:r>
        <w:rPr>
          <w:sz w:val="32"/>
          <w:szCs w:val="32"/>
        </w:rPr>
        <w:t>部门可持续发展</w:t>
      </w:r>
      <w:r>
        <w:rPr>
          <w:rFonts w:hint="eastAsia"/>
          <w:sz w:val="32"/>
          <w:szCs w:val="32"/>
        </w:rPr>
        <w:t>：部门管理人员能期接受培训；按规定内容、规定时限公开预决算信息、绩效信息及其他信息，各处室、下属单位等信息共享。（总分6分，评价得分6分）</w:t>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五、主要经验做法</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门协作，共同推进项目各项任务指标的落实。三是根据实际救助人数进行费用结算，保证财政资金使用效率；四是严格执行资金使用管理的相关规定。</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80%以上的指标进行量化；考评过程与考评结果相结合。</w:t>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六、存在的问题</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残疾人事业项目经费主要由上级项目经费和区级预算组成，残疾人对项目效果期望值高，而残疾人康复服务、残疾人就救助项目服务群体大，投入成本高，残疾人事业项目经费保障与广大残疾人服务需求矛盾突出。</w:t>
      </w:r>
    </w:p>
    <w:p>
      <w:pPr>
        <w:pStyle w:val="3"/>
        <w:keepNext w:val="0"/>
        <w:keepLines w:val="0"/>
        <w:pageBreakBefore w:val="0"/>
        <w:widowControl w:val="0"/>
        <w:kinsoku/>
        <w:wordWrap/>
        <w:overflowPunct/>
        <w:autoSpaceDE w:val="0"/>
        <w:autoSpaceDN w:val="0"/>
        <w:bidi w:val="0"/>
        <w:adjustRightInd/>
        <w:snapToGrid/>
        <w:spacing w:line="560" w:lineRule="exact"/>
        <w:ind w:firstLine="602"/>
        <w:jc w:val="both"/>
        <w:textAlignment w:val="auto"/>
        <w:rPr>
          <w:sz w:val="32"/>
          <w:szCs w:val="32"/>
        </w:rPr>
      </w:pPr>
      <w:r>
        <w:rPr>
          <w:rFonts w:hint="eastAsia"/>
          <w:sz w:val="32"/>
          <w:szCs w:val="32"/>
        </w:rPr>
        <w:t>七、改进措施及建议</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1. 加强政策学习，提高思想认识。加强单位对《预算法》等相关法规、制度的学习，提高单位领导对全面预算管理的重视程度，增强单位各业务科室及财务人员的预算意识，坚持先有预算、后有支出，没有预算不得支出的支出理念。</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 w:val="32"/>
          <w:szCs w:val="32"/>
        </w:rPr>
      </w:pPr>
      <w:r>
        <w:rPr>
          <w:rFonts w:hint="eastAsia"/>
          <w:sz w:val="32"/>
          <w:szCs w:val="32"/>
        </w:rPr>
        <w:t>2. 结合工作实际，提高预算科学性。预算编制前根据年度内单位可预见的工作任务，确定单位年度预算目标，细化预算指标，科学合理编制部门预算，推进预算编制科学化、准确化。</w:t>
      </w:r>
    </w:p>
    <w:p>
      <w:pPr>
        <w:keepNext w:val="0"/>
        <w:keepLines w:val="0"/>
        <w:pageBreakBefore w:val="0"/>
        <w:widowControl w:val="0"/>
        <w:kinsoku/>
        <w:wordWrap/>
        <w:overflowPunct/>
        <w:autoSpaceDE w:val="0"/>
        <w:autoSpaceDN w:val="0"/>
        <w:bidi w:val="0"/>
        <w:adjustRightInd/>
        <w:snapToGrid/>
        <w:spacing w:line="560" w:lineRule="exact"/>
        <w:ind w:firstLine="600"/>
        <w:jc w:val="both"/>
        <w:textAlignment w:val="auto"/>
        <w:rPr>
          <w:szCs w:val="30"/>
        </w:rPr>
      </w:pPr>
      <w:r>
        <w:rPr>
          <w:rFonts w:hint="eastAsia"/>
          <w:sz w:val="32"/>
          <w:szCs w:val="32"/>
        </w:rPr>
        <w:t>3.加大对残疾人工作的经费投入，提高残疾人工作者业务能力，提升残疾人服务水平，更好的为残疾人提供服务。</w:t>
      </w:r>
    </w:p>
    <w:sectPr>
      <w:pgSz w:w="11906" w:h="16838"/>
      <w:pgMar w:top="1701" w:right="1587"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pPr>
                  <w:pStyle w:val="5"/>
                  <w:ind w:firstLine="360"/>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17</w:t>
                </w:r>
                <w:r>
                  <w:rPr>
                    <w:rFonts w:hint="default" w:ascii="Times New Roman" w:hAnsi="Times New Roman" w:cs="Times New Roman"/>
                    <w:sz w:val="28"/>
                    <w:szCs w:val="28"/>
                  </w:rPr>
                  <w:fldChar w:fldCharType="end"/>
                </w:r>
              </w:p>
            </w:txbxContent>
          </v:textbox>
        </v:shape>
      </w:pict>
    </w:r>
  </w:p>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4" o:spid="_x0000_s3074"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joinstyle="miter"/>
          <v:imagedata o:title=""/>
          <o:lock v:ext="edit"/>
          <v:textbox inset="0mm,0mm,0mm,0mm" style="mso-fit-shape-to-text:t;">
            <w:txbxContent>
              <w:p>
                <w:pPr>
                  <w:ind w:firstLine="600"/>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02E156"/>
    <w:multiLevelType w:val="singleLevel"/>
    <w:tmpl w:val="C402E15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203805"/>
    <w:rsid w:val="00203805"/>
    <w:rsid w:val="00235A05"/>
    <w:rsid w:val="00256ECF"/>
    <w:rsid w:val="003B2444"/>
    <w:rsid w:val="0047317D"/>
    <w:rsid w:val="00D311F5"/>
    <w:rsid w:val="00D90862"/>
    <w:rsid w:val="00F066CB"/>
    <w:rsid w:val="08792779"/>
    <w:rsid w:val="08874479"/>
    <w:rsid w:val="09E65F21"/>
    <w:rsid w:val="0AC91726"/>
    <w:rsid w:val="0B430E5C"/>
    <w:rsid w:val="0C7B4653"/>
    <w:rsid w:val="0ECE3874"/>
    <w:rsid w:val="1465358E"/>
    <w:rsid w:val="14AC5EC1"/>
    <w:rsid w:val="1A2746E7"/>
    <w:rsid w:val="1BB43181"/>
    <w:rsid w:val="1FD36BDF"/>
    <w:rsid w:val="21C32357"/>
    <w:rsid w:val="27EF494B"/>
    <w:rsid w:val="2B0F45C8"/>
    <w:rsid w:val="2B160365"/>
    <w:rsid w:val="2CCD48C1"/>
    <w:rsid w:val="2CEA1E31"/>
    <w:rsid w:val="2DCC55E9"/>
    <w:rsid w:val="2E1D55C2"/>
    <w:rsid w:val="2E9B17B7"/>
    <w:rsid w:val="2F1B0C91"/>
    <w:rsid w:val="305A4261"/>
    <w:rsid w:val="34E36269"/>
    <w:rsid w:val="35BD4AC5"/>
    <w:rsid w:val="36861E7B"/>
    <w:rsid w:val="36885794"/>
    <w:rsid w:val="381432B1"/>
    <w:rsid w:val="38273008"/>
    <w:rsid w:val="388E693A"/>
    <w:rsid w:val="38A7274C"/>
    <w:rsid w:val="38F5389F"/>
    <w:rsid w:val="39394D72"/>
    <w:rsid w:val="3BF15D13"/>
    <w:rsid w:val="3D8A0644"/>
    <w:rsid w:val="3E1638C8"/>
    <w:rsid w:val="3E521716"/>
    <w:rsid w:val="442D41F6"/>
    <w:rsid w:val="453741C8"/>
    <w:rsid w:val="48936351"/>
    <w:rsid w:val="49E36398"/>
    <w:rsid w:val="4B6D462F"/>
    <w:rsid w:val="4D0E0A27"/>
    <w:rsid w:val="519A5D3D"/>
    <w:rsid w:val="51D03A58"/>
    <w:rsid w:val="53880F5F"/>
    <w:rsid w:val="54292984"/>
    <w:rsid w:val="54CC7C15"/>
    <w:rsid w:val="56970990"/>
    <w:rsid w:val="59BB15D0"/>
    <w:rsid w:val="5AA0424C"/>
    <w:rsid w:val="5B833A73"/>
    <w:rsid w:val="5E2558D5"/>
    <w:rsid w:val="5E841717"/>
    <w:rsid w:val="5FA016B7"/>
    <w:rsid w:val="5FAF1CA3"/>
    <w:rsid w:val="5FB8276B"/>
    <w:rsid w:val="63346C7D"/>
    <w:rsid w:val="641F7BE3"/>
    <w:rsid w:val="64587DE1"/>
    <w:rsid w:val="6967468B"/>
    <w:rsid w:val="69944ACE"/>
    <w:rsid w:val="69E112AA"/>
    <w:rsid w:val="6A6715BE"/>
    <w:rsid w:val="6B146AB5"/>
    <w:rsid w:val="6EFE7E8F"/>
    <w:rsid w:val="72C34A85"/>
    <w:rsid w:val="76C30D63"/>
    <w:rsid w:val="774D1D19"/>
    <w:rsid w:val="7865792A"/>
    <w:rsid w:val="7D5269A4"/>
    <w:rsid w:val="7D666535"/>
    <w:rsid w:val="7D7D2B78"/>
    <w:rsid w:val="7E600133"/>
    <w:rsid w:val="7EA51C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jc w:val="left"/>
      <w:outlineLvl w:val="1"/>
    </w:pPr>
    <w:rPr>
      <w:rFonts w:ascii="Arial" w:hAnsi="Arial" w:eastAsia="黑体"/>
      <w:b/>
    </w:rPr>
  </w:style>
  <w:style w:type="paragraph" w:styleId="4">
    <w:name w:val="heading 3"/>
    <w:basedOn w:val="1"/>
    <w:next w:val="1"/>
    <w:link w:val="12"/>
    <w:unhideWhenUsed/>
    <w:qFormat/>
    <w:uiPriority w:val="0"/>
    <w:pPr>
      <w:keepNext/>
      <w:keepLines/>
      <w:jc w:val="left"/>
      <w:outlineLvl w:val="2"/>
    </w:pPr>
    <w:rPr>
      <w:rFonts w:eastAsia="楷体"/>
      <w:b/>
    </w:rPr>
  </w:style>
  <w:style w:type="character" w:default="1" w:styleId="8">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100" w:beforeAutospacing="1" w:after="100" w:afterAutospacing="1"/>
      <w:jc w:val="left"/>
    </w:pPr>
    <w:rPr>
      <w:kern w:val="0"/>
      <w:sz w:val="24"/>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Info spid="_x0000_s3074"/>
    <customShpInfo spid="_x0000_s1026"/>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1143</Words>
  <Characters>6521</Characters>
  <Lines>54</Lines>
  <Paragraphs>15</Paragraphs>
  <TotalTime>103</TotalTime>
  <ScaleCrop>false</ScaleCrop>
  <LinksUpToDate>false</LinksUpToDate>
  <CharactersWithSpaces>7649</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2022-09-28T05:47:00Z</cp:lastPrinted>
  <dcterms:modified xsi:type="dcterms:W3CDTF">2022-09-29T08:57:39Z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FCDFF26A2A54486C808D729C9B0C1906</vt:lpwstr>
  </property>
</Properties>
</file>