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 -->
  <w:body>
    <w:p>
      <w:pPr>
        <w:rPr>
          <w:rFonts w:ascii="Arial" w:eastAsia="Arial" w:hAnsi="Arial" w:cs="Arial"/>
          <w:b/>
          <w:sz w:val="36"/>
        </w:rPr>
      </w:pPr>
      <w:r>
        <w:rPr>
          <w:rFonts w:ascii="Arial" w:eastAsia="Arial" w:hAnsi="Arial" w:cs="Arial"/>
          <w:b/>
          <w:sz w:val="36"/>
        </w:rPr>
        <w:t>监督索引号53010300120301000</w:t>
      </w:r>
    </w:p>
    <w:p>
      <w:pPr>
        <w:keepNext w:val="0"/>
        <w:keepLines w:val="0"/>
        <w:pageBreakBefore w:val="0"/>
        <w:kinsoku/>
        <w:wordWrap/>
        <w:overflowPunct/>
        <w:topLinePunct w:val="0"/>
        <w:autoSpaceDE/>
        <w:autoSpaceDN/>
        <w:bidi w:val="0"/>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kern w:val="0"/>
          <w:sz w:val="36"/>
          <w:szCs w:val="36"/>
        </w:rPr>
        <w:t>中国共产党昆明市盘龙区委员会组织部部门</w:t>
      </w:r>
      <w:r>
        <w:rPr>
          <w:rFonts w:ascii="方正小标宋简体" w:eastAsia="方正小标宋简体" w:hAnsi="方正小标宋简体" w:cs="方正小标宋简体" w:hint="eastAsia"/>
          <w:sz w:val="36"/>
          <w:szCs w:val="36"/>
          <w:lang w:val="en-US" w:eastAsia="zh-CN"/>
        </w:rPr>
        <w:t>2021</w:t>
      </w:r>
      <w:r>
        <w:rPr>
          <w:rFonts w:ascii="方正小标宋简体" w:eastAsia="方正小标宋简体" w:hAnsi="方正小标宋简体" w:cs="方正小标宋简体" w:hint="eastAsia"/>
          <w:sz w:val="36"/>
          <w:szCs w:val="36"/>
        </w:rPr>
        <w:t>年度</w:t>
      </w:r>
    </w:p>
    <w:p>
      <w:pPr>
        <w:keepNext w:val="0"/>
        <w:keepLines w:val="0"/>
        <w:pageBreakBefore w:val="0"/>
        <w:kinsoku/>
        <w:wordWrap/>
        <w:overflowPunct/>
        <w:topLinePunct w:val="0"/>
        <w:autoSpaceDE/>
        <w:autoSpaceDN/>
        <w:bidi w:val="0"/>
        <w:jc w:val="center"/>
        <w:rPr>
          <w:rFonts w:ascii="方正小标宋简体" w:eastAsia="方正小标宋简体" w:hAnsi="方正小标宋简体" w:cs="方正小标宋简体" w:hint="eastAsia"/>
          <w:sz w:val="36"/>
          <w:szCs w:val="36"/>
        </w:rPr>
      </w:pPr>
      <w:r>
        <w:rPr>
          <w:rFonts w:ascii="方正小标宋简体" w:eastAsia="方正小标宋简体" w:hAnsi="方正小标宋简体" w:cs="方正小标宋简体" w:hint="eastAsia"/>
          <w:sz w:val="36"/>
          <w:szCs w:val="36"/>
        </w:rPr>
        <w:t>部门决算</w:t>
      </w:r>
    </w:p>
    <w:p>
      <w:pPr>
        <w:keepNext w:val="0"/>
        <w:keepLines w:val="0"/>
        <w:pageBreakBefore w:val="0"/>
        <w:kinsoku/>
        <w:wordWrap/>
        <w:overflowPunct/>
        <w:topLinePunct w:val="0"/>
        <w:autoSpaceDE/>
        <w:autoSpaceDN/>
        <w:bidi w:val="0"/>
        <w:jc w:val="center"/>
        <w:rPr>
          <w:rFonts w:ascii="方正小标宋简体" w:eastAsia="方正小标宋简体" w:hAnsi="方正小标宋简体" w:cs="方正小标宋简体" w:hint="eastAsia"/>
          <w:sz w:val="36"/>
          <w:szCs w:val="36"/>
          <w:lang w:eastAsia="zh-CN"/>
        </w:rPr>
      </w:pPr>
    </w:p>
    <w:p>
      <w:pPr>
        <w:keepNext w:val="0"/>
        <w:keepLines w:val="0"/>
        <w:pageBreakBefore w:val="0"/>
        <w:kinsoku/>
        <w:wordWrap/>
        <w:overflowPunct/>
        <w:topLinePunct w:val="0"/>
        <w:autoSpaceDE/>
        <w:autoSpaceDN/>
        <w:bidi w:val="0"/>
        <w:jc w:val="center"/>
        <w:rPr>
          <w:rFonts w:ascii="方正小标宋简体" w:eastAsia="方正小标宋简体" w:hAnsi="方正小标宋简体" w:cs="方正小标宋简体" w:hint="eastAsia"/>
          <w:sz w:val="36"/>
          <w:szCs w:val="36"/>
          <w:lang w:eastAsia="zh-CN"/>
        </w:rPr>
      </w:pPr>
      <w:r>
        <w:rPr>
          <w:rFonts w:ascii="方正小标宋简体" w:eastAsia="方正小标宋简体" w:hAnsi="方正小标宋简体" w:cs="方正小标宋简体" w:hint="eastAsia"/>
          <w:sz w:val="36"/>
          <w:szCs w:val="36"/>
          <w:lang w:eastAsia="zh-CN"/>
        </w:rPr>
        <w:t>目录</w:t>
      </w:r>
    </w:p>
    <w:p>
      <w:pPr>
        <w:keepNext w:val="0"/>
        <w:keepLines w:val="0"/>
        <w:pageBreakBefore w:val="0"/>
        <w:kinsoku/>
        <w:wordWrap/>
        <w:overflowPunct/>
        <w:topLinePunct w:val="0"/>
        <w:autoSpaceDE/>
        <w:autoSpaceDN/>
        <w:bidi w:val="0"/>
        <w:jc w:val="left"/>
        <w:rPr>
          <w:rFonts w:ascii="黑体" w:eastAsia="黑体" w:hAnsi="黑体" w:hint="eastAsia"/>
          <w:sz w:val="30"/>
          <w:szCs w:val="30"/>
        </w:rPr>
      </w:pPr>
    </w:p>
    <w:p>
      <w:pPr>
        <w:keepNext w:val="0"/>
        <w:keepLines w:val="0"/>
        <w:pageBreakBefore w:val="0"/>
        <w:kinsoku/>
        <w:wordWrap/>
        <w:overflowPunct/>
        <w:topLinePunct w:val="0"/>
        <w:autoSpaceDE/>
        <w:autoSpaceDN/>
        <w:bidi w:val="0"/>
        <w:jc w:val="left"/>
        <w:outlineLvl w:val="0"/>
        <w:rPr>
          <w:rFonts w:ascii="黑体" w:eastAsia="黑体" w:hAnsi="黑体" w:hint="eastAsia"/>
          <w:sz w:val="30"/>
          <w:szCs w:val="30"/>
        </w:rPr>
      </w:pPr>
      <w:r>
        <w:rPr>
          <w:rFonts w:ascii="黑体" w:eastAsia="黑体" w:hAnsi="黑体" w:hint="eastAsia"/>
          <w:sz w:val="30"/>
          <w:szCs w:val="30"/>
        </w:rPr>
        <w:t xml:space="preserve">第一部分 </w:t>
      </w:r>
      <w:r>
        <w:rPr>
          <w:rFonts w:ascii="黑体" w:eastAsia="黑体" w:hAnsi="宋体" w:cs="黑体" w:hint="eastAsia"/>
          <w:kern w:val="0"/>
          <w:sz w:val="30"/>
          <w:szCs w:val="30"/>
        </w:rPr>
        <w:t>中国共产党昆明市盘龙区委员会组织部</w:t>
      </w:r>
      <w:r>
        <w:rPr>
          <w:rFonts w:ascii="黑体" w:eastAsia="黑体" w:hAnsi="黑体" w:hint="eastAsia"/>
          <w:sz w:val="30"/>
          <w:szCs w:val="30"/>
        </w:rPr>
        <w:t>概况</w:t>
      </w:r>
    </w:p>
    <w:p>
      <w:pPr>
        <w:keepNext w:val="0"/>
        <w:keepLines w:val="0"/>
        <w:pageBreakBefore w:val="0"/>
        <w:kinsoku/>
        <w:wordWrap/>
        <w:overflowPunct/>
        <w:topLinePunct w:val="0"/>
        <w:autoSpaceDE/>
        <w:autoSpaceDN/>
        <w:bidi w:val="0"/>
        <w:spacing w:line="240" w:lineRule="atLeast"/>
        <w:jc w:val="left"/>
        <w:rPr>
          <w:rFonts w:ascii="楷体" w:eastAsia="楷体" w:hAnsi="楷体" w:hint="eastAsia"/>
          <w:sz w:val="30"/>
          <w:szCs w:val="30"/>
        </w:rPr>
      </w:pPr>
      <w:r>
        <w:rPr>
          <w:rFonts w:ascii="楷体" w:eastAsia="楷体" w:hAnsi="楷体" w:hint="eastAsia"/>
          <w:sz w:val="30"/>
          <w:szCs w:val="30"/>
        </w:rPr>
        <w:t>一、主要职能</w:t>
      </w:r>
    </w:p>
    <w:p>
      <w:pPr>
        <w:keepNext w:val="0"/>
        <w:keepLines w:val="0"/>
        <w:pageBreakBefore w:val="0"/>
        <w:kinsoku/>
        <w:wordWrap/>
        <w:overflowPunct/>
        <w:topLinePunct w:val="0"/>
        <w:autoSpaceDE/>
        <w:autoSpaceDN/>
        <w:bidi w:val="0"/>
        <w:spacing w:line="240" w:lineRule="atLeast"/>
        <w:jc w:val="left"/>
        <w:rPr>
          <w:rFonts w:ascii="楷体" w:eastAsia="楷体" w:hAnsi="楷体" w:hint="eastAsia"/>
          <w:sz w:val="30"/>
          <w:szCs w:val="30"/>
        </w:rPr>
      </w:pPr>
      <w:r>
        <w:rPr>
          <w:rFonts w:ascii="楷体" w:eastAsia="楷体" w:hAnsi="楷体" w:hint="eastAsia"/>
          <w:sz w:val="30"/>
          <w:szCs w:val="30"/>
        </w:rPr>
        <w:t>二、部门基本情况</w:t>
      </w:r>
    </w:p>
    <w:p>
      <w:pPr>
        <w:keepNext w:val="0"/>
        <w:keepLines w:val="0"/>
        <w:pageBreakBefore w:val="0"/>
        <w:kinsoku/>
        <w:wordWrap/>
        <w:overflowPunct/>
        <w:topLinePunct w:val="0"/>
        <w:autoSpaceDE/>
        <w:autoSpaceDN/>
        <w:bidi w:val="0"/>
        <w:jc w:val="left"/>
        <w:outlineLvl w:val="0"/>
        <w:rPr>
          <w:rFonts w:ascii="黑体" w:eastAsia="黑体" w:hAnsi="黑体" w:hint="eastAsia"/>
          <w:sz w:val="30"/>
          <w:szCs w:val="30"/>
        </w:rPr>
      </w:pPr>
      <w:r>
        <w:rPr>
          <w:rFonts w:ascii="黑体" w:eastAsia="黑体" w:hAnsi="黑体" w:hint="eastAsia"/>
          <w:sz w:val="30"/>
          <w:szCs w:val="30"/>
        </w:rPr>
        <w:t xml:space="preserve">第二部分  </w:t>
      </w:r>
      <w:r>
        <w:rPr>
          <w:rFonts w:ascii="黑体" w:eastAsia="黑体" w:hAnsi="黑体" w:hint="eastAsia"/>
          <w:sz w:val="30"/>
          <w:szCs w:val="30"/>
          <w:lang w:val="en-US" w:eastAsia="zh-CN"/>
        </w:rPr>
        <w:t>2021</w:t>
      </w:r>
      <w:r>
        <w:rPr>
          <w:rFonts w:ascii="黑体" w:eastAsia="黑体" w:hAnsi="黑体" w:hint="eastAsia"/>
          <w:sz w:val="30"/>
          <w:szCs w:val="30"/>
        </w:rPr>
        <w:t>年度部门决算表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一、收入支出决算总表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二、收入决算表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三、支出决算表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四、财政拨款收入支出决算总表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五、一般公共预算财政拨款收入支出决算表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六、一般公共预算财政拨款基本支出决算表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七、政府性基金预算财政拨款收入支出决算表</w:t>
      </w:r>
    </w:p>
    <w:p>
      <w:pPr>
        <w:keepNext w:val="0"/>
        <w:keepLines w:val="0"/>
        <w:pageBreakBefore w:val="0"/>
        <w:kinsoku/>
        <w:wordWrap/>
        <w:overflowPunct/>
        <w:topLinePunct w:val="0"/>
        <w:autoSpaceDE/>
        <w:autoSpaceDN/>
        <w:bidi w:val="0"/>
        <w:jc w:val="left"/>
        <w:rPr>
          <w:rFonts w:ascii="楷体" w:eastAsia="楷体" w:hAnsi="楷体" w:hint="eastAsia"/>
          <w:sz w:val="30"/>
          <w:szCs w:val="30"/>
          <w:lang w:val="en-US" w:eastAsia="zh-CN"/>
        </w:rPr>
      </w:pPr>
      <w:r>
        <w:rPr>
          <w:rFonts w:ascii="楷体" w:eastAsia="楷体" w:hAnsi="楷体" w:hint="eastAsia"/>
          <w:sz w:val="30"/>
          <w:szCs w:val="30"/>
          <w:lang w:val="en-US" w:eastAsia="zh-CN"/>
        </w:rPr>
        <w:t>八、国有资本经营预算财政拨款收入支出决算表</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lang w:eastAsia="zh-CN"/>
        </w:rPr>
        <w:t>九</w:t>
      </w:r>
      <w:r>
        <w:rPr>
          <w:rFonts w:ascii="楷体" w:eastAsia="楷体" w:hAnsi="楷体" w:hint="eastAsia"/>
          <w:sz w:val="30"/>
          <w:szCs w:val="30"/>
        </w:rPr>
        <w:t>、“三公”经费、行政参公单位机关运行经费情况表</w:t>
      </w:r>
    </w:p>
    <w:p>
      <w:pPr>
        <w:keepNext w:val="0"/>
        <w:keepLines w:val="0"/>
        <w:pageBreakBefore w:val="0"/>
        <w:kinsoku/>
        <w:wordWrap/>
        <w:overflowPunct/>
        <w:topLinePunct w:val="0"/>
        <w:autoSpaceDE/>
        <w:autoSpaceDN/>
        <w:bidi w:val="0"/>
        <w:jc w:val="left"/>
        <w:outlineLvl w:val="0"/>
        <w:rPr>
          <w:rFonts w:ascii="黑体" w:eastAsia="黑体" w:hAnsi="黑体" w:hint="eastAsia"/>
          <w:sz w:val="30"/>
          <w:szCs w:val="30"/>
        </w:rPr>
      </w:pPr>
      <w:r>
        <w:rPr>
          <w:rFonts w:ascii="黑体" w:eastAsia="黑体" w:hAnsi="黑体" w:hint="eastAsia"/>
          <w:sz w:val="30"/>
          <w:szCs w:val="30"/>
        </w:rPr>
        <w:t>第三部</w:t>
      </w:r>
      <w:r>
        <w:rPr>
          <w:rFonts w:ascii="黑体" w:eastAsia="黑体" w:hAnsi="黑体" w:hint="eastAsia"/>
          <w:sz w:val="30"/>
          <w:szCs w:val="30"/>
          <w:lang w:eastAsia="zh-CN"/>
        </w:rPr>
        <w:t>分</w:t>
      </w:r>
      <w:r>
        <w:rPr>
          <w:rFonts w:ascii="黑体" w:eastAsia="黑体" w:hAnsi="黑体" w:hint="eastAsia"/>
          <w:sz w:val="30"/>
          <w:szCs w:val="30"/>
        </w:rPr>
        <w:t xml:space="preserve">  </w:t>
      </w:r>
      <w:r>
        <w:rPr>
          <w:rFonts w:ascii="黑体" w:eastAsia="黑体" w:hAnsi="黑体" w:hint="eastAsia"/>
          <w:sz w:val="30"/>
          <w:szCs w:val="30"/>
          <w:lang w:val="en-US" w:eastAsia="zh-CN"/>
        </w:rPr>
        <w:t>2021</w:t>
      </w:r>
      <w:r>
        <w:rPr>
          <w:rFonts w:ascii="黑体" w:eastAsia="黑体" w:hAnsi="黑体" w:hint="eastAsia"/>
          <w:sz w:val="30"/>
          <w:szCs w:val="30"/>
        </w:rPr>
        <w:t>年度部门决算情况说明</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一、收入决算情况说明</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二、支出决算情况说明</w:t>
      </w:r>
    </w:p>
    <w:p>
      <w:pPr>
        <w:keepNext w:val="0"/>
        <w:keepLines w:val="0"/>
        <w:pageBreakBefore w:val="0"/>
        <w:kinsoku/>
        <w:wordWrap/>
        <w:overflowPunct/>
        <w:topLinePunct w:val="0"/>
        <w:autoSpaceDE/>
        <w:autoSpaceDN/>
        <w:bidi w:val="0"/>
        <w:jc w:val="left"/>
        <w:rPr>
          <w:rFonts w:ascii="楷体" w:eastAsia="楷体" w:hAnsi="楷体" w:hint="eastAsia"/>
          <w:sz w:val="30"/>
          <w:szCs w:val="30"/>
        </w:rPr>
      </w:pPr>
      <w:r>
        <w:rPr>
          <w:rFonts w:ascii="楷体" w:eastAsia="楷体" w:hAnsi="楷体" w:hint="eastAsia"/>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line="360" w:lineRule="auto"/>
        <w:jc w:val="left"/>
        <w:rPr>
          <w:rFonts w:ascii="楷体" w:eastAsia="楷体" w:hAnsi="楷体" w:hint="eastAsia"/>
          <w:sz w:val="30"/>
          <w:szCs w:val="30"/>
        </w:rPr>
      </w:pPr>
      <w:r>
        <w:rPr>
          <w:rFonts w:ascii="楷体" w:eastAsia="楷体" w:hAnsi="楷体" w:hint="eastAsia"/>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ascii="黑体" w:eastAsia="黑体" w:hAnsi="黑体" w:hint="eastAsia"/>
          <w:sz w:val="30"/>
          <w:szCs w:val="30"/>
        </w:rPr>
      </w:pPr>
      <w:r>
        <w:rPr>
          <w:rFonts w:ascii="黑体" w:eastAsia="黑体" w:hAnsi="黑体" w:hint="eastAsia"/>
          <w:sz w:val="30"/>
          <w:szCs w:val="30"/>
          <w:lang w:eastAsia="zh-CN"/>
        </w:rPr>
        <w:t>第四部分</w:t>
      </w:r>
      <w:r>
        <w:rPr>
          <w:rFonts w:ascii="楷体" w:eastAsia="楷体" w:hAnsi="楷体" w:hint="eastAsia"/>
          <w:sz w:val="30"/>
          <w:szCs w:val="30"/>
          <w:lang w:val="en-US" w:eastAsia="zh-CN"/>
        </w:rPr>
        <w:t xml:space="preserve">  </w:t>
      </w:r>
      <w:r>
        <w:rPr>
          <w:rFonts w:ascii="黑体" w:eastAsia="黑体" w:hAnsi="黑体" w:hint="eastAsia"/>
          <w:sz w:val="30"/>
          <w:szCs w:val="30"/>
        </w:rPr>
        <w:t>其他重要事项及相关口径情况说明</w:t>
      </w:r>
    </w:p>
    <w:p>
      <w:pPr>
        <w:keepNext w:val="0"/>
        <w:keepLines w:val="0"/>
        <w:pageBreakBefore w:val="0"/>
        <w:kinsoku/>
        <w:wordWrap/>
        <w:overflowPunct/>
        <w:topLinePunct w:val="0"/>
        <w:autoSpaceDE/>
        <w:autoSpaceDN/>
        <w:bidi w:val="0"/>
        <w:jc w:val="left"/>
        <w:outlineLvl w:val="1"/>
        <w:rPr>
          <w:rFonts w:ascii="楷体" w:eastAsia="楷体" w:hAnsi="楷体" w:hint="eastAsia"/>
          <w:sz w:val="30"/>
          <w:szCs w:val="30"/>
          <w:lang w:eastAsia="zh-CN"/>
        </w:rPr>
      </w:pPr>
      <w:r>
        <w:rPr>
          <w:rFonts w:ascii="楷体" w:eastAsia="楷体" w:hAnsi="楷体" w:hint="eastAsia"/>
          <w:sz w:val="30"/>
          <w:szCs w:val="30"/>
          <w:lang w:eastAsia="zh-CN"/>
        </w:rPr>
        <w:t>一、</w:t>
      </w:r>
      <w:r>
        <w:rPr>
          <w:rFonts w:ascii="楷体" w:eastAsia="楷体" w:hAnsi="楷体" w:hint="eastAsia"/>
          <w:sz w:val="30"/>
          <w:szCs w:val="30"/>
        </w:rPr>
        <w:t>机关运行经费支出情况</w:t>
      </w:r>
    </w:p>
    <w:p>
      <w:pPr>
        <w:keepNext w:val="0"/>
        <w:keepLines w:val="0"/>
        <w:pageBreakBefore w:val="0"/>
        <w:kinsoku/>
        <w:wordWrap/>
        <w:overflowPunct/>
        <w:topLinePunct w:val="0"/>
        <w:autoSpaceDE/>
        <w:autoSpaceDN/>
        <w:bidi w:val="0"/>
        <w:jc w:val="left"/>
        <w:outlineLvl w:val="1"/>
        <w:rPr>
          <w:rFonts w:ascii="楷体" w:eastAsia="楷体" w:hAnsi="楷体" w:hint="eastAsia"/>
          <w:sz w:val="30"/>
          <w:szCs w:val="30"/>
          <w:lang w:eastAsia="zh-CN"/>
        </w:rPr>
      </w:pPr>
      <w:r>
        <w:rPr>
          <w:rFonts w:ascii="楷体" w:eastAsia="楷体" w:hAnsi="楷体" w:hint="eastAsia"/>
          <w:sz w:val="30"/>
          <w:szCs w:val="30"/>
          <w:lang w:eastAsia="zh-CN"/>
        </w:rPr>
        <w:t>二、</w:t>
      </w:r>
      <w:r>
        <w:rPr>
          <w:rFonts w:ascii="楷体" w:eastAsia="楷体" w:hAnsi="楷体" w:hint="eastAsia"/>
          <w:sz w:val="30"/>
          <w:szCs w:val="30"/>
        </w:rPr>
        <w:t>国有资产占用情况</w:t>
      </w:r>
    </w:p>
    <w:p>
      <w:pPr>
        <w:keepNext w:val="0"/>
        <w:keepLines w:val="0"/>
        <w:pageBreakBefore w:val="0"/>
        <w:kinsoku/>
        <w:wordWrap/>
        <w:overflowPunct/>
        <w:topLinePunct w:val="0"/>
        <w:autoSpaceDE/>
        <w:autoSpaceDN/>
        <w:bidi w:val="0"/>
        <w:jc w:val="left"/>
        <w:outlineLvl w:val="1"/>
        <w:rPr>
          <w:rFonts w:ascii="楷体" w:eastAsia="楷体" w:hAnsi="楷体" w:hint="eastAsia"/>
          <w:sz w:val="30"/>
          <w:szCs w:val="30"/>
          <w:lang w:eastAsia="zh-CN"/>
        </w:rPr>
      </w:pPr>
      <w:r>
        <w:rPr>
          <w:rFonts w:ascii="楷体" w:eastAsia="楷体" w:hAnsi="楷体" w:hint="eastAsia"/>
          <w:sz w:val="30"/>
          <w:szCs w:val="30"/>
          <w:lang w:eastAsia="zh-CN"/>
        </w:rPr>
        <w:t>三、</w:t>
      </w:r>
      <w:r>
        <w:rPr>
          <w:rFonts w:ascii="楷体" w:eastAsia="楷体" w:hAnsi="楷体" w:hint="eastAsia"/>
          <w:sz w:val="30"/>
          <w:szCs w:val="30"/>
        </w:rPr>
        <w:t>政府采购支出情况</w:t>
      </w:r>
    </w:p>
    <w:p>
      <w:pPr>
        <w:keepNext w:val="0"/>
        <w:keepLines w:val="0"/>
        <w:pageBreakBefore w:val="0"/>
        <w:kinsoku/>
        <w:wordWrap/>
        <w:overflowPunct/>
        <w:topLinePunct w:val="0"/>
        <w:autoSpaceDE/>
        <w:autoSpaceDN/>
        <w:bidi w:val="0"/>
        <w:jc w:val="left"/>
        <w:outlineLvl w:val="1"/>
        <w:rPr>
          <w:rFonts w:ascii="楷体" w:eastAsia="楷体" w:hAnsi="楷体" w:hint="eastAsia"/>
          <w:sz w:val="30"/>
          <w:szCs w:val="30"/>
          <w:lang w:val="en-US" w:eastAsia="zh-CN"/>
        </w:rPr>
      </w:pPr>
      <w:r>
        <w:rPr>
          <w:rFonts w:ascii="楷体" w:eastAsia="楷体" w:hAnsi="楷体" w:hint="eastAsia"/>
          <w:sz w:val="30"/>
          <w:szCs w:val="30"/>
          <w:lang w:eastAsia="zh-CN"/>
        </w:rPr>
        <w:t>四、</w:t>
      </w:r>
      <w:r>
        <w:rPr>
          <w:rFonts w:ascii="楷体" w:eastAsia="楷体" w:hAnsi="楷体" w:hint="eastAsia"/>
          <w:sz w:val="30"/>
          <w:szCs w:val="30"/>
          <w:lang w:val="en-US" w:eastAsia="zh-CN"/>
        </w:rPr>
        <w:t>部门绩效自评情况</w:t>
      </w:r>
    </w:p>
    <w:p>
      <w:pPr>
        <w:keepNext w:val="0"/>
        <w:keepLines w:val="0"/>
        <w:pageBreakBefore w:val="0"/>
        <w:kinsoku/>
        <w:wordWrap/>
        <w:overflowPunct/>
        <w:topLinePunct w:val="0"/>
        <w:autoSpaceDE/>
        <w:autoSpaceDN/>
        <w:bidi w:val="0"/>
        <w:jc w:val="left"/>
        <w:rPr>
          <w:rFonts w:ascii="楷体" w:eastAsia="楷体" w:hAnsi="楷体" w:hint="eastAsia"/>
          <w:sz w:val="30"/>
          <w:szCs w:val="30"/>
          <w:lang w:val="en-US" w:eastAsia="zh-CN"/>
        </w:rPr>
      </w:pPr>
      <w:r>
        <w:rPr>
          <w:rFonts w:ascii="楷体" w:eastAsia="楷体" w:hAnsi="楷体" w:hint="eastAsia"/>
          <w:sz w:val="30"/>
          <w:szCs w:val="30"/>
          <w:lang w:val="en-US" w:eastAsia="zh-CN"/>
        </w:rPr>
        <w:t>（一）</w:t>
      </w:r>
      <w:r>
        <w:rPr>
          <w:rFonts w:ascii="楷体" w:eastAsia="楷体" w:hAnsi="楷体" w:hint="eastAsia"/>
          <w:sz w:val="30"/>
          <w:szCs w:val="30"/>
          <w:lang w:eastAsia="zh-CN"/>
        </w:rPr>
        <w:t>部门整体支出绩效自评情况</w:t>
      </w:r>
    </w:p>
    <w:p>
      <w:pPr>
        <w:keepNext w:val="0"/>
        <w:keepLines w:val="0"/>
        <w:pageBreakBefore w:val="0"/>
        <w:kinsoku/>
        <w:wordWrap/>
        <w:overflowPunct/>
        <w:topLinePunct w:val="0"/>
        <w:autoSpaceDE/>
        <w:autoSpaceDN/>
        <w:bidi w:val="0"/>
        <w:jc w:val="left"/>
        <w:rPr>
          <w:rFonts w:ascii="楷体" w:eastAsia="楷体" w:hAnsi="楷体" w:hint="eastAsia"/>
          <w:sz w:val="30"/>
          <w:szCs w:val="30"/>
          <w:lang w:val="en-US" w:eastAsia="zh-CN"/>
        </w:rPr>
      </w:pPr>
      <w:r>
        <w:rPr>
          <w:rFonts w:ascii="楷体" w:eastAsia="楷体" w:hAnsi="楷体" w:hint="eastAsia"/>
          <w:sz w:val="30"/>
          <w:szCs w:val="30"/>
          <w:lang w:val="en-US" w:eastAsia="zh-CN"/>
        </w:rPr>
        <w:t>（二）</w:t>
      </w:r>
      <w:r>
        <w:rPr>
          <w:rFonts w:ascii="楷体" w:eastAsia="楷体" w:hAnsi="楷体" w:hint="eastAsia"/>
          <w:sz w:val="30"/>
          <w:szCs w:val="30"/>
          <w:lang w:eastAsia="zh-CN"/>
        </w:rPr>
        <w:t>部门整体支出绩效自评表</w:t>
      </w:r>
    </w:p>
    <w:p>
      <w:pPr>
        <w:keepNext w:val="0"/>
        <w:keepLines w:val="0"/>
        <w:pageBreakBefore w:val="0"/>
        <w:kinsoku/>
        <w:wordWrap/>
        <w:overflowPunct/>
        <w:topLinePunct w:val="0"/>
        <w:autoSpaceDE/>
        <w:autoSpaceDN/>
        <w:bidi w:val="0"/>
        <w:jc w:val="left"/>
        <w:rPr>
          <w:rFonts w:ascii="楷体" w:eastAsia="楷体" w:hAnsi="楷体" w:hint="eastAsia"/>
          <w:sz w:val="30"/>
          <w:szCs w:val="30"/>
          <w:lang w:val="en-US" w:eastAsia="zh-CN"/>
        </w:rPr>
      </w:pPr>
      <w:r>
        <w:rPr>
          <w:rFonts w:ascii="楷体" w:eastAsia="楷体" w:hAnsi="楷体" w:hint="eastAsia"/>
          <w:sz w:val="30"/>
          <w:szCs w:val="30"/>
          <w:lang w:val="en-US" w:eastAsia="zh-CN"/>
        </w:rPr>
        <w:t>（三）项目支出绩效自评表</w:t>
      </w:r>
    </w:p>
    <w:p>
      <w:pPr>
        <w:keepNext w:val="0"/>
        <w:keepLines w:val="0"/>
        <w:pageBreakBefore w:val="0"/>
        <w:kinsoku/>
        <w:wordWrap/>
        <w:overflowPunct/>
        <w:topLinePunct w:val="0"/>
        <w:autoSpaceDE/>
        <w:autoSpaceDN/>
        <w:bidi w:val="0"/>
        <w:jc w:val="left"/>
        <w:outlineLvl w:val="1"/>
        <w:rPr>
          <w:rFonts w:ascii="楷体" w:eastAsia="楷体" w:hAnsi="楷体" w:hint="eastAsia"/>
          <w:sz w:val="30"/>
          <w:szCs w:val="30"/>
          <w:lang w:eastAsia="zh-CN"/>
        </w:rPr>
      </w:pPr>
      <w:r>
        <w:rPr>
          <w:rFonts w:ascii="楷体" w:eastAsia="楷体" w:hAnsi="楷体" w:hint="eastAsia"/>
          <w:sz w:val="30"/>
          <w:szCs w:val="30"/>
          <w:lang w:eastAsia="zh-CN"/>
        </w:rPr>
        <w:t>五、</w:t>
      </w:r>
      <w:r>
        <w:rPr>
          <w:rFonts w:ascii="楷体" w:eastAsia="楷体" w:hAnsi="楷体" w:hint="eastAsia"/>
          <w:sz w:val="30"/>
          <w:szCs w:val="30"/>
          <w:lang w:val="en-US" w:eastAsia="zh-CN"/>
        </w:rPr>
        <w:t>其他重要事项情况说明</w:t>
      </w:r>
    </w:p>
    <w:p>
      <w:pPr>
        <w:keepNext w:val="0"/>
        <w:keepLines w:val="0"/>
        <w:pageBreakBefore w:val="0"/>
        <w:widowControl/>
        <w:kinsoku/>
        <w:wordWrap/>
        <w:overflowPunct/>
        <w:topLinePunct w:val="0"/>
        <w:autoSpaceDE/>
        <w:autoSpaceDN/>
        <w:bidi w:val="0"/>
        <w:snapToGrid w:val="0"/>
        <w:spacing w:line="360" w:lineRule="auto"/>
        <w:jc w:val="left"/>
        <w:outlineLvl w:val="0"/>
        <w:rPr>
          <w:rFonts w:ascii="黑体" w:eastAsia="黑体" w:hAnsi="黑体" w:hint="eastAsia"/>
          <w:sz w:val="30"/>
          <w:szCs w:val="30"/>
        </w:rPr>
      </w:pPr>
      <w:r>
        <w:rPr>
          <w:rFonts w:ascii="黑体" w:eastAsia="黑体" w:hAnsi="黑体" w:hint="eastAsia"/>
          <w:sz w:val="30"/>
          <w:szCs w:val="30"/>
        </w:rPr>
        <w:t>第</w:t>
      </w:r>
      <w:r>
        <w:rPr>
          <w:rFonts w:ascii="黑体" w:eastAsia="黑体" w:hAnsi="黑体" w:hint="eastAsia"/>
          <w:sz w:val="30"/>
          <w:szCs w:val="30"/>
          <w:lang w:eastAsia="zh-CN"/>
        </w:rPr>
        <w:t>五</w:t>
      </w:r>
      <w:r>
        <w:rPr>
          <w:rFonts w:ascii="黑体" w:eastAsia="黑体" w:hAnsi="黑体" w:hint="eastAsia"/>
          <w:sz w:val="30"/>
          <w:szCs w:val="30"/>
        </w:rPr>
        <w:t>部分  名词解释</w:t>
      </w:r>
    </w:p>
    <w:p>
      <w:pPr>
        <w:keepNext w:val="0"/>
        <w:keepLines w:val="0"/>
        <w:pageBreakBefore w:val="0"/>
        <w:kinsoku/>
        <w:wordWrap/>
        <w:overflowPunct/>
        <w:topLinePunct w:val="0"/>
        <w:autoSpaceDE/>
        <w:autoSpaceDN/>
        <w:bidi w:val="0"/>
        <w:jc w:val="center"/>
        <w:rPr>
          <w:rFonts w:ascii="黑体" w:eastAsia="黑体" w:hAnsi="黑体" w:hint="eastAsia"/>
          <w:sz w:val="32"/>
          <w:szCs w:val="32"/>
        </w:rPr>
      </w:pPr>
    </w:p>
    <w:p>
      <w:pPr>
        <w:keepNext w:val="0"/>
        <w:keepLines w:val="0"/>
        <w:pageBreakBefore w:val="0"/>
        <w:kinsoku/>
        <w:wordWrap/>
        <w:overflowPunct/>
        <w:topLinePunct w:val="0"/>
        <w:autoSpaceDE/>
        <w:autoSpaceDN/>
        <w:bidi w:val="0"/>
        <w:jc w:val="center"/>
        <w:rPr>
          <w:rFonts w:ascii="黑体" w:eastAsia="黑体" w:hAnsi="黑体" w:hint="eastAsia"/>
          <w:sz w:val="32"/>
          <w:szCs w:val="32"/>
        </w:rPr>
      </w:pPr>
    </w:p>
    <w:p>
      <w:pPr>
        <w:keepNext w:val="0"/>
        <w:keepLines w:val="0"/>
        <w:pageBreakBefore w:val="0"/>
        <w:kinsoku/>
        <w:wordWrap/>
        <w:overflowPunct/>
        <w:topLinePunct w:val="0"/>
        <w:autoSpaceDE/>
        <w:autoSpaceDN/>
        <w:bidi w:val="0"/>
        <w:jc w:val="both"/>
        <w:rPr>
          <w:rFonts w:ascii="黑体" w:eastAsia="黑体" w:hAnsi="黑体" w:hint="eastAsia"/>
          <w:sz w:val="32"/>
          <w:szCs w:val="32"/>
        </w:rPr>
      </w:pPr>
    </w:p>
    <w:p>
      <w:pPr>
        <w:pStyle w:val="BodyText"/>
        <w:rPr>
          <w:rFonts w:ascii="黑体" w:eastAsia="黑体" w:hAnsi="黑体" w:hint="eastAsia"/>
          <w:sz w:val="32"/>
          <w:szCs w:val="32"/>
        </w:rPr>
      </w:pPr>
    </w:p>
    <w:p>
      <w:pPr>
        <w:pStyle w:val="BodyText"/>
        <w:rPr>
          <w:rFonts w:ascii="黑体" w:eastAsia="黑体" w:hAnsi="黑体" w:hint="eastAsia"/>
          <w:sz w:val="32"/>
          <w:szCs w:val="32"/>
        </w:rPr>
      </w:pPr>
    </w:p>
    <w:p>
      <w:pPr>
        <w:pStyle w:val="BodyText"/>
        <w:rPr>
          <w:rFonts w:ascii="黑体" w:eastAsia="黑体" w:hAnsi="黑体" w:hint="eastAsia"/>
          <w:sz w:val="32"/>
          <w:szCs w:val="32"/>
        </w:rPr>
      </w:pPr>
      <w:bookmarkStart w:id="0" w:name="_GoBack"/>
      <w:bookmarkEnd w:id="0"/>
    </w:p>
    <w:p>
      <w:pPr>
        <w:keepNext w:val="0"/>
        <w:keepLines w:val="0"/>
        <w:pageBreakBefore w:val="0"/>
        <w:kinsoku/>
        <w:wordWrap/>
        <w:overflowPunct/>
        <w:topLinePunct w:val="0"/>
        <w:autoSpaceDE/>
        <w:autoSpaceDN/>
        <w:bidi w:val="0"/>
        <w:jc w:val="center"/>
        <w:outlineLvl w:val="0"/>
        <w:rPr>
          <w:rFonts w:ascii="黑体" w:eastAsia="黑体" w:hAnsi="黑体" w:hint="eastAsia"/>
          <w:sz w:val="32"/>
          <w:szCs w:val="32"/>
        </w:rPr>
      </w:pPr>
      <w:r>
        <w:rPr>
          <w:rFonts w:ascii="黑体" w:eastAsia="黑体" w:hAnsi="黑体" w:hint="eastAsia"/>
          <w:sz w:val="32"/>
          <w:szCs w:val="32"/>
        </w:rPr>
        <w:t xml:space="preserve">第一部分  </w:t>
      </w:r>
      <w:r>
        <w:rPr>
          <w:rFonts w:ascii="黑体" w:eastAsia="黑体" w:hAnsi="宋体" w:cs="黑体" w:hint="eastAsia"/>
          <w:kern w:val="0"/>
          <w:sz w:val="32"/>
          <w:szCs w:val="32"/>
        </w:rPr>
        <w:t>中国共产党昆明市盘龙区委员会组织部</w:t>
      </w:r>
      <w:r>
        <w:rPr>
          <w:rFonts w:ascii="黑体" w:eastAsia="黑体" w:hAnsi="黑体" w:hint="eastAsia"/>
          <w:sz w:val="32"/>
          <w:szCs w:val="32"/>
        </w:rPr>
        <w:t>概况</w:t>
      </w:r>
    </w:p>
    <w:p>
      <w:pPr>
        <w:keepNext w:val="0"/>
        <w:keepLines w:val="0"/>
        <w:pageBreakBefore w:val="0"/>
        <w:kinsoku/>
        <w:wordWrap/>
        <w:overflowPunct/>
        <w:topLinePunct w:val="0"/>
        <w:autoSpaceDE/>
        <w:autoSpaceDN/>
        <w:bidi w:val="0"/>
        <w:spacing w:line="600" w:lineRule="exact"/>
        <w:ind w:firstLine="600" w:firstLineChars="200"/>
        <w:outlineLvl w:val="1"/>
        <w:rPr>
          <w:rFonts w:ascii="黑体" w:eastAsia="黑体" w:hAnsi="黑体" w:hint="eastAsia"/>
          <w:sz w:val="30"/>
          <w:szCs w:val="30"/>
        </w:rPr>
      </w:pPr>
      <w:r>
        <w:rPr>
          <w:rFonts w:ascii="黑体" w:eastAsia="黑体" w:hAnsi="黑体" w:hint="eastAsia"/>
          <w:sz w:val="30"/>
          <w:szCs w:val="30"/>
        </w:rPr>
        <w:t>一、主要职能</w:t>
      </w:r>
    </w:p>
    <w:p>
      <w:pPr>
        <w:keepNext w:val="0"/>
        <w:keepLines w:val="0"/>
        <w:pageBreakBefore w:val="0"/>
        <w:kinsoku/>
        <w:wordWrap/>
        <w:overflowPunct/>
        <w:topLinePunct w:val="0"/>
        <w:autoSpaceDE/>
        <w:autoSpaceDN/>
        <w:bidi w:val="0"/>
        <w:spacing w:line="600" w:lineRule="exact"/>
        <w:ind w:firstLine="600" w:firstLineChars="200"/>
        <w:outlineLvl w:val="2"/>
        <w:rPr>
          <w:rFonts w:ascii="楷体" w:eastAsia="楷体" w:hAnsi="楷体" w:hint="eastAsia"/>
          <w:sz w:val="30"/>
          <w:szCs w:val="30"/>
        </w:rPr>
      </w:pPr>
      <w:r>
        <w:rPr>
          <w:rFonts w:ascii="楷体" w:eastAsia="楷体" w:hAnsi="楷体" w:hint="eastAsia"/>
          <w:bCs/>
          <w:sz w:val="30"/>
          <w:szCs w:val="30"/>
        </w:rPr>
        <w:t>（一）主要职能</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rPr>
      </w:pPr>
      <w:r>
        <w:rPr>
          <w:rFonts w:hint="eastAsia"/>
          <w:bCs/>
          <w:color w:val="auto"/>
          <w:szCs w:val="30"/>
        </w:rPr>
        <w:t>中共昆明市盘龙区委组织部是区委主管全区党建、干部和人才的职能部门，贯彻执行党的组织和干部工作路线、方针、政策以及省、市、区委的有关规定；制定全区党建工作意见并组织实施；指导全区党组织建设工作；制定全区基层领导班子和领导干部的思想、组织、作风建设意见并进行监督检查；制定全区发展党员计划和措施，组织党建调研工作；研究制定全区干部队伍建设的具体政策和规定，组织落实培养选拔中青年干部、妇女干部、少数民族干部、党外干部工作；协调、指导和检查全区党员教育工作；协调抓好科级干部的教育、培训工作；负责制定全区组织干部和基层支部书记的业务培训计划并组织实施；指导、检查、协调全区人才工作；组织优秀专家和人才开展有关活动；督办和直接办理严重违反干部选拔任用工作规定和组织人事纪律的案件；负责全区干部、党员和党组织统计工作及区管干部档案的管理工作,完成区委和上级组织部门交办的其他工作。</w:t>
      </w:r>
    </w:p>
    <w:p>
      <w:pPr>
        <w:pStyle w:val="BodyText"/>
        <w:keepNext w:val="0"/>
        <w:keepLines w:val="0"/>
        <w:pageBreakBefore w:val="0"/>
        <w:widowControl w:val="0"/>
        <w:kinsoku/>
        <w:wordWrap/>
        <w:overflowPunct/>
        <w:topLinePunct w:val="0"/>
        <w:autoSpaceDE/>
        <w:autoSpaceDN/>
        <w:bidi w:val="0"/>
        <w:adjustRightInd w:val="0"/>
        <w:snapToGrid w:val="0"/>
        <w:spacing w:before="0" w:beforeLines="0" w:line="600" w:lineRule="exact"/>
        <w:ind w:firstLine="630" w:firstLineChars="210"/>
        <w:textAlignment w:val="auto"/>
        <w:outlineLvl w:val="2"/>
        <w:rPr>
          <w:rFonts w:ascii="楷体" w:eastAsia="楷体" w:hAnsi="楷体" w:hint="eastAsia"/>
          <w:bCs/>
          <w:szCs w:val="30"/>
        </w:rPr>
      </w:pPr>
      <w:r>
        <w:rPr>
          <w:rFonts w:ascii="楷体" w:eastAsia="楷体" w:hAnsi="楷体" w:hint="eastAsia"/>
          <w:bCs/>
          <w:szCs w:val="30"/>
        </w:rPr>
        <w:t>（二）</w:t>
      </w:r>
      <w:r>
        <w:rPr>
          <w:rFonts w:ascii="楷体" w:eastAsia="楷体" w:hAnsi="楷体" w:hint="eastAsia"/>
          <w:bCs/>
          <w:szCs w:val="30"/>
          <w:lang w:val="en-US" w:eastAsia="zh-CN"/>
        </w:rPr>
        <w:t>2021</w:t>
      </w:r>
      <w:r>
        <w:rPr>
          <w:rFonts w:ascii="楷体" w:eastAsia="楷体" w:hAnsi="楷体" w:hint="eastAsia"/>
          <w:bCs/>
          <w:szCs w:val="30"/>
        </w:rPr>
        <w:t>年度重点工作任务介绍</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lang w:eastAsia="zh-CN"/>
        </w:rPr>
      </w:pPr>
      <w:r>
        <w:rPr>
          <w:rFonts w:hint="eastAsia"/>
          <w:bCs/>
          <w:color w:val="auto"/>
          <w:szCs w:val="30"/>
          <w:lang w:eastAsia="zh-CN"/>
        </w:rPr>
        <w:t>2021年，区委组织部坚持以习近平新时代中国特色社会主义思想为指导，深入贯彻落实新时代党的建设总要求和新时代党的组织路线以及全国、全省、全市组织部长会议精神，紧紧围绕中心大局和盘龙发展定位，紧扣组织工作高质量发展要求，有力有序推进组织、干部、人才、公务员等各项工作。</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lang w:eastAsia="zh-CN"/>
        </w:rPr>
      </w:pPr>
      <w:r>
        <w:rPr>
          <w:rFonts w:hint="eastAsia"/>
          <w:bCs/>
          <w:color w:val="auto"/>
          <w:szCs w:val="30"/>
          <w:lang w:eastAsia="zh-CN"/>
        </w:rPr>
        <w:t>突出思想政治引领，深入学习贯彻习近平新时代中国特色社会主义思想。一是深学笃用习近平新时代中国特色社会主义思想。二是常态长效抓好党员教育培训。三是持续巩固主题教育成果，进一步严肃党内政治生活。四是深入开展党史学习教育，抓好庆祝建党100周年各项工作。</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lang w:eastAsia="zh-CN"/>
        </w:rPr>
      </w:pPr>
      <w:r>
        <w:rPr>
          <w:rFonts w:hint="eastAsia"/>
          <w:bCs/>
          <w:color w:val="auto"/>
          <w:szCs w:val="30"/>
          <w:lang w:eastAsia="zh-CN"/>
        </w:rPr>
        <w:t>以织密建强组织体系为重点，不断夯实基层基础。一是全面压实党建工作责任制。二是深化支部规范化建设达标创建工作。三是圆满完成村（社区）“两委”换届工作。四是全面推进抓党建促乡村振兴工作。五是持续深化党建引领基层治理。六是严格做好党员发展管理工作。七是推进抓党建促农村宗教治理。七是“两新”组织党建活力不断激发。</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lang w:eastAsia="zh-CN"/>
        </w:rPr>
      </w:pPr>
      <w:r>
        <w:rPr>
          <w:rFonts w:hint="eastAsia"/>
          <w:bCs/>
          <w:color w:val="auto"/>
          <w:szCs w:val="30"/>
          <w:lang w:eastAsia="zh-CN"/>
        </w:rPr>
        <w:t>坚持正确选人用人导向，着力打造德才兼备的高素质干部队伍。一是顺利完成区委、区纪委换届选举工作。二是建立健全年轻干部培养选拔机制。三是严管干部营造干事创业良好氛围。</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lang w:eastAsia="zh-CN"/>
        </w:rPr>
      </w:pPr>
      <w:r>
        <w:rPr>
          <w:rFonts w:hint="eastAsia"/>
          <w:bCs/>
          <w:color w:val="auto"/>
          <w:szCs w:val="30"/>
          <w:lang w:eastAsia="zh-CN"/>
        </w:rPr>
        <w:t>深入实施人才强区战略，为高质量发展提供人才支撑。一是注重规划引领。二是强化内引外培。三是助推乡村人才振兴。四是扩容人才载体。五是抓人才服务提升。</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lang w:eastAsia="zh-CN"/>
        </w:rPr>
      </w:pPr>
      <w:r>
        <w:rPr>
          <w:rFonts w:hint="eastAsia"/>
          <w:bCs/>
          <w:color w:val="auto"/>
          <w:szCs w:val="30"/>
          <w:lang w:eastAsia="zh-CN"/>
        </w:rPr>
        <w:t>以规范化专业化为靶向，不断提升公务员队伍管理水平。一是强化制度管理创新。二是稳步推进职级晋升工作。三是严格抓实公务员平时考核。四是高质量完成重点工作。</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hint="eastAsia"/>
          <w:bCs/>
          <w:color w:val="auto"/>
          <w:szCs w:val="30"/>
          <w:lang w:eastAsia="zh-CN"/>
        </w:rPr>
      </w:pPr>
      <w:r>
        <w:rPr>
          <w:rFonts w:hint="eastAsia"/>
          <w:bCs/>
          <w:color w:val="auto"/>
          <w:szCs w:val="30"/>
          <w:lang w:eastAsia="zh-CN"/>
        </w:rPr>
        <w:t>以“三化”建设为抓手，用心用情做好老干部服务工作。一是推动完成重点工作。二是抓实离退休干部思想建设。三是持续推动离退休干部党建工作。四是精准服务保障离退休干部。</w:t>
      </w:r>
    </w:p>
    <w:p>
      <w:pPr>
        <w:pStyle w:val="BodyText"/>
        <w:keepNext w:val="0"/>
        <w:keepLines w:val="0"/>
        <w:pageBreakBefore w:val="0"/>
        <w:kinsoku/>
        <w:wordWrap/>
        <w:overflowPunct/>
        <w:topLinePunct w:val="0"/>
        <w:autoSpaceDE/>
        <w:autoSpaceDN/>
        <w:bidi w:val="0"/>
        <w:adjustRightInd w:val="0"/>
        <w:snapToGrid w:val="0"/>
        <w:spacing w:before="0" w:beforeLines="0" w:line="600" w:lineRule="exact"/>
        <w:ind w:firstLine="630" w:firstLineChars="210"/>
        <w:rPr>
          <w:rFonts w:eastAsia="仿宋_GB2312" w:hint="eastAsia"/>
          <w:bCs/>
          <w:color w:val="auto"/>
          <w:szCs w:val="30"/>
          <w:lang w:eastAsia="zh-CN"/>
        </w:rPr>
      </w:pPr>
      <w:r>
        <w:rPr>
          <w:rFonts w:hint="eastAsia"/>
          <w:bCs/>
          <w:color w:val="auto"/>
          <w:szCs w:val="30"/>
          <w:lang w:eastAsia="zh-CN"/>
        </w:rPr>
        <w:t>强化自身建设，持之以恒打造模范机关和过硬队伍。持续开展组工干部素质提升行动，定期组织保密、纪律规范等专题培训，常态化抓实组工干部“读好书”活动分批到挂钩联系社区参与疫苗接种和创卫复审、COP15等志愿服务工作，不断提升组工干部为民服务能力。</w:t>
      </w:r>
    </w:p>
    <w:p>
      <w:pPr>
        <w:keepNext w:val="0"/>
        <w:keepLines w:val="0"/>
        <w:pageBreakBefore w:val="0"/>
        <w:kinsoku/>
        <w:wordWrap/>
        <w:overflowPunct/>
        <w:topLinePunct w:val="0"/>
        <w:autoSpaceDE/>
        <w:autoSpaceDN/>
        <w:bidi w:val="0"/>
        <w:spacing w:line="600" w:lineRule="exact"/>
        <w:ind w:firstLine="600" w:firstLineChars="200"/>
        <w:outlineLvl w:val="1"/>
        <w:rPr>
          <w:rFonts w:ascii="黑体" w:eastAsia="黑体" w:hAnsi="黑体" w:hint="eastAsia"/>
          <w:sz w:val="30"/>
          <w:szCs w:val="30"/>
        </w:rPr>
      </w:pPr>
      <w:r>
        <w:rPr>
          <w:rFonts w:ascii="黑体" w:eastAsia="黑体" w:hAnsi="黑体" w:hint="eastAsia"/>
          <w:sz w:val="30"/>
          <w:szCs w:val="30"/>
        </w:rPr>
        <w:t>二、部门基本情况</w:t>
      </w:r>
    </w:p>
    <w:p>
      <w:pPr>
        <w:keepNext w:val="0"/>
        <w:keepLines w:val="0"/>
        <w:pageBreakBefore w:val="0"/>
        <w:kinsoku/>
        <w:wordWrap/>
        <w:overflowPunct/>
        <w:topLinePunct w:val="0"/>
        <w:autoSpaceDE/>
        <w:autoSpaceDN/>
        <w:bidi w:val="0"/>
        <w:spacing w:line="600" w:lineRule="exact"/>
        <w:ind w:firstLine="600" w:firstLineChars="200"/>
        <w:outlineLvl w:val="2"/>
        <w:rPr>
          <w:rFonts w:ascii="楷体" w:eastAsia="楷体" w:hAnsi="楷体" w:hint="eastAsia"/>
          <w:sz w:val="30"/>
          <w:szCs w:val="30"/>
        </w:rPr>
      </w:pPr>
      <w:r>
        <w:rPr>
          <w:rFonts w:ascii="楷体" w:eastAsia="楷体" w:hAnsi="楷体" w:hint="eastAsia"/>
          <w:sz w:val="30"/>
          <w:szCs w:val="30"/>
        </w:rPr>
        <w:t>（一）部门决算单位构成</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int="eastAsia"/>
          <w:sz w:val="30"/>
          <w:szCs w:val="30"/>
        </w:rPr>
      </w:pPr>
      <w:r>
        <w:rPr>
          <w:rFonts w:ascii="仿宋_GB2312" w:eastAsia="仿宋_GB2312" w:hint="eastAsia"/>
          <w:sz w:val="30"/>
          <w:szCs w:val="30"/>
        </w:rPr>
        <w:t>纳入中国共产党昆明市盘龙区委员会组织部部门202</w:t>
      </w:r>
      <w:r>
        <w:rPr>
          <w:rFonts w:ascii="仿宋_GB2312" w:eastAsia="仿宋_GB2312" w:hint="eastAsia"/>
          <w:sz w:val="30"/>
          <w:szCs w:val="30"/>
          <w:lang w:val="en-US" w:eastAsia="zh-CN"/>
        </w:rPr>
        <w:t>1</w:t>
      </w:r>
      <w:r>
        <w:rPr>
          <w:rFonts w:ascii="仿宋_GB2312" w:eastAsia="仿宋_GB2312" w:hint="eastAsia"/>
          <w:sz w:val="30"/>
          <w:szCs w:val="30"/>
        </w:rPr>
        <w:t>年度部门决算编报的单位共</w:t>
      </w:r>
      <w:r>
        <w:rPr>
          <w:rFonts w:ascii="仿宋_GB2312" w:eastAsia="仿宋_GB2312" w:hint="eastAsia"/>
          <w:sz w:val="30"/>
          <w:szCs w:val="30"/>
          <w:lang w:val="en-US" w:eastAsia="zh-CN"/>
        </w:rPr>
        <w:t>3</w:t>
      </w:r>
      <w:r>
        <w:rPr>
          <w:rFonts w:ascii="仿宋_GB2312" w:eastAsia="仿宋_GB2312" w:hint="eastAsia"/>
          <w:sz w:val="30"/>
          <w:szCs w:val="30"/>
        </w:rPr>
        <w:t>个。其中：行政单位1个，中共昆明市盘龙区委组织部。参照公务员法管理的事业单位2个，盘龙区委老干部活动中心、盘龙区委党员教育中心。其他事业单位0个。分别是：</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int="eastAsia"/>
          <w:sz w:val="30"/>
          <w:szCs w:val="30"/>
        </w:rPr>
      </w:pPr>
      <w:r>
        <w:rPr>
          <w:rFonts w:ascii="仿宋_GB2312" w:eastAsia="仿宋_GB2312" w:hint="eastAsia"/>
          <w:sz w:val="30"/>
          <w:szCs w:val="30"/>
        </w:rPr>
        <w:t>1.中共昆明市盘龙区委组织部</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int="eastAsia"/>
          <w:sz w:val="30"/>
          <w:szCs w:val="30"/>
        </w:rPr>
      </w:pPr>
      <w:r>
        <w:rPr>
          <w:rFonts w:ascii="仿宋_GB2312" w:eastAsia="仿宋_GB2312" w:hint="eastAsia"/>
          <w:sz w:val="30"/>
          <w:szCs w:val="30"/>
        </w:rPr>
        <w:t>2.盘龙区委老干部活动中心</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int="eastAsia"/>
          <w:sz w:val="30"/>
          <w:szCs w:val="30"/>
        </w:rPr>
      </w:pPr>
      <w:r>
        <w:rPr>
          <w:rFonts w:ascii="仿宋_GB2312" w:eastAsia="仿宋_GB2312" w:hint="eastAsia"/>
          <w:sz w:val="30"/>
          <w:szCs w:val="30"/>
        </w:rPr>
        <w:t>3.盘龙区委党员教育中心</w:t>
      </w:r>
    </w:p>
    <w:p>
      <w:pPr>
        <w:keepNext w:val="0"/>
        <w:keepLines w:val="0"/>
        <w:pageBreakBefore w:val="0"/>
        <w:kinsoku/>
        <w:wordWrap/>
        <w:overflowPunct/>
        <w:topLinePunct w:val="0"/>
        <w:autoSpaceDE/>
        <w:autoSpaceDN/>
        <w:bidi w:val="0"/>
        <w:spacing w:line="600" w:lineRule="exact"/>
        <w:rPr>
          <w:rFonts w:ascii="仿宋_GB2312" w:eastAsia="仿宋_GB2312" w:hint="eastAsia"/>
          <w:sz w:val="30"/>
          <w:szCs w:val="30"/>
        </w:rPr>
      </w:pPr>
    </w:p>
    <w:p>
      <w:pPr>
        <w:keepNext w:val="0"/>
        <w:keepLines w:val="0"/>
        <w:pageBreakBefore w:val="0"/>
        <w:kinsoku/>
        <w:wordWrap/>
        <w:overflowPunct/>
        <w:topLinePunct w:val="0"/>
        <w:autoSpaceDE/>
        <w:autoSpaceDN/>
        <w:bidi w:val="0"/>
        <w:ind w:firstLine="600" w:firstLineChars="200"/>
        <w:outlineLvl w:val="2"/>
        <w:rPr>
          <w:rFonts w:ascii="楷体" w:eastAsia="楷体" w:hAnsi="楷体" w:hint="eastAsia"/>
          <w:sz w:val="30"/>
          <w:szCs w:val="30"/>
        </w:rPr>
      </w:pPr>
      <w:r>
        <w:rPr>
          <w:rFonts w:ascii="楷体" w:eastAsia="楷体" w:hAnsi="楷体" w:hint="eastAsia"/>
          <w:sz w:val="30"/>
          <w:szCs w:val="30"/>
        </w:rPr>
        <w:t xml:space="preserve">（二）部门人员和车辆的编制及实有情况 </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Ansi="宋体" w:cs="Arial" w:hint="eastAsia"/>
          <w:kern w:val="0"/>
          <w:sz w:val="30"/>
          <w:szCs w:val="30"/>
        </w:rPr>
      </w:pPr>
      <w:r>
        <w:rPr>
          <w:rFonts w:ascii="仿宋_GB2312" w:eastAsia="仿宋_GB2312" w:hint="eastAsia"/>
          <w:sz w:val="30"/>
          <w:szCs w:val="30"/>
        </w:rPr>
        <w:t>中国共产党昆明市盘龙区委员会组织部部门</w:t>
      </w:r>
      <w:r>
        <w:rPr>
          <w:rFonts w:ascii="仿宋_GB2312" w:eastAsia="仿宋_GB2312" w:hint="eastAsia"/>
          <w:sz w:val="30"/>
          <w:szCs w:val="30"/>
          <w:lang w:val="en-US" w:eastAsia="zh-CN"/>
        </w:rPr>
        <w:t>2021</w:t>
      </w:r>
      <w:r>
        <w:rPr>
          <w:rFonts w:ascii="仿宋_GB2312" w:eastAsia="仿宋_GB2312" w:hint="eastAsia"/>
          <w:sz w:val="30"/>
          <w:szCs w:val="30"/>
        </w:rPr>
        <w:t>年末实有人员编制</w:t>
      </w:r>
      <w:r>
        <w:rPr>
          <w:rFonts w:ascii="仿宋_GB2312" w:eastAsia="仿宋_GB2312" w:hint="eastAsia"/>
          <w:sz w:val="30"/>
          <w:szCs w:val="30"/>
          <w:lang w:val="en-US" w:eastAsia="zh-CN"/>
        </w:rPr>
        <w:t>54</w:t>
      </w:r>
      <w:r>
        <w:rPr>
          <w:rFonts w:ascii="仿宋_GB2312" w:eastAsia="仿宋_GB2312" w:hAnsi="宋体" w:cs="Arial" w:hint="eastAsia"/>
          <w:kern w:val="0"/>
          <w:sz w:val="30"/>
          <w:szCs w:val="30"/>
        </w:rPr>
        <w:t>人。其中：行政编制</w:t>
      </w:r>
      <w:r>
        <w:rPr>
          <w:rFonts w:ascii="仿宋_GB2312" w:eastAsia="仿宋_GB2312" w:hint="eastAsia"/>
          <w:sz w:val="30"/>
          <w:szCs w:val="30"/>
          <w:lang w:val="en-US" w:eastAsia="zh-CN"/>
        </w:rPr>
        <w:t>33</w:t>
      </w:r>
      <w:r>
        <w:rPr>
          <w:rFonts w:ascii="仿宋_GB2312" w:eastAsia="仿宋_GB2312" w:hAnsi="宋体" w:cs="Arial" w:hint="eastAsia"/>
          <w:kern w:val="0"/>
          <w:sz w:val="30"/>
          <w:szCs w:val="30"/>
        </w:rPr>
        <w:t>人（含行政工勤编制</w:t>
      </w:r>
      <w:r>
        <w:rPr>
          <w:rFonts w:ascii="仿宋_GB2312" w:eastAsia="仿宋_GB2312" w:hint="eastAsia"/>
          <w:sz w:val="30"/>
          <w:szCs w:val="30"/>
          <w:lang w:val="en-US" w:eastAsia="zh-CN"/>
        </w:rPr>
        <w:t>1</w:t>
      </w:r>
      <w:r>
        <w:rPr>
          <w:rFonts w:ascii="仿宋_GB2312" w:eastAsia="仿宋_GB2312" w:hAnsi="宋体" w:cs="Arial" w:hint="eastAsia"/>
          <w:kern w:val="0"/>
          <w:sz w:val="30"/>
          <w:szCs w:val="30"/>
        </w:rPr>
        <w:t>人），事业编制21人（含参公管理事业编制18人，工勤人员3人）；在职在编实有行政人员</w:t>
      </w:r>
      <w:r>
        <w:rPr>
          <w:rFonts w:ascii="仿宋_GB2312" w:eastAsia="仿宋_GB2312" w:hint="eastAsia"/>
          <w:sz w:val="30"/>
          <w:szCs w:val="30"/>
          <w:lang w:val="en-US" w:eastAsia="zh-CN"/>
        </w:rPr>
        <w:t>22</w:t>
      </w:r>
      <w:r>
        <w:rPr>
          <w:rFonts w:ascii="仿宋_GB2312" w:eastAsia="仿宋_GB2312" w:hAnsi="宋体" w:cs="Arial" w:hint="eastAsia"/>
          <w:kern w:val="0"/>
          <w:sz w:val="30"/>
          <w:szCs w:val="30"/>
        </w:rPr>
        <w:t>人（含行政工勤人员</w:t>
      </w:r>
      <w:r>
        <w:rPr>
          <w:rFonts w:ascii="仿宋_GB2312" w:eastAsia="仿宋_GB2312" w:hint="eastAsia"/>
          <w:sz w:val="30"/>
          <w:szCs w:val="30"/>
          <w:lang w:val="en-US" w:eastAsia="zh-CN"/>
        </w:rPr>
        <w:t>1</w:t>
      </w:r>
      <w:r>
        <w:rPr>
          <w:rFonts w:ascii="仿宋_GB2312" w:eastAsia="仿宋_GB2312" w:hAnsi="宋体" w:cs="Arial" w:hint="eastAsia"/>
          <w:kern w:val="0"/>
          <w:sz w:val="30"/>
          <w:szCs w:val="30"/>
        </w:rPr>
        <w:t>人），事业人员</w:t>
      </w:r>
      <w:r>
        <w:rPr>
          <w:rFonts w:ascii="仿宋_GB2312" w:eastAsia="仿宋_GB2312" w:hint="eastAsia"/>
          <w:sz w:val="30"/>
          <w:szCs w:val="30"/>
          <w:lang w:val="en-US" w:eastAsia="zh-CN"/>
        </w:rPr>
        <w:t>15</w:t>
      </w:r>
      <w:r>
        <w:rPr>
          <w:rFonts w:ascii="仿宋_GB2312" w:eastAsia="仿宋_GB2312" w:hAnsi="宋体" w:cs="Arial" w:hint="eastAsia"/>
          <w:kern w:val="0"/>
          <w:sz w:val="30"/>
          <w:szCs w:val="30"/>
        </w:rPr>
        <w:t>人（含参公管理事业人员</w:t>
      </w:r>
      <w:r>
        <w:rPr>
          <w:rFonts w:ascii="仿宋_GB2312" w:eastAsia="仿宋_GB2312" w:hint="eastAsia"/>
          <w:sz w:val="30"/>
          <w:szCs w:val="30"/>
          <w:lang w:val="en-US" w:eastAsia="zh-CN"/>
        </w:rPr>
        <w:t>12</w:t>
      </w:r>
      <w:r>
        <w:rPr>
          <w:rFonts w:ascii="仿宋_GB2312" w:eastAsia="仿宋_GB2312" w:hAnsi="宋体" w:cs="Arial" w:hint="eastAsia"/>
          <w:kern w:val="0"/>
          <w:sz w:val="30"/>
          <w:szCs w:val="30"/>
        </w:rPr>
        <w:t>人，工勤人员3人）。</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Ansi="宋体" w:cs="Arial" w:hint="eastAsia"/>
          <w:kern w:val="0"/>
          <w:sz w:val="30"/>
          <w:szCs w:val="30"/>
        </w:rPr>
      </w:pPr>
      <w:r>
        <w:rPr>
          <w:rFonts w:ascii="仿宋_GB2312" w:eastAsia="仿宋_GB2312" w:hAnsi="宋体" w:cs="Arial" w:hint="eastAsia"/>
          <w:kern w:val="0"/>
          <w:sz w:val="30"/>
          <w:szCs w:val="30"/>
        </w:rPr>
        <w:t>离退休人员</w:t>
      </w:r>
      <w:r>
        <w:rPr>
          <w:rFonts w:ascii="仿宋_GB2312" w:eastAsia="仿宋_GB2312" w:hint="eastAsia"/>
          <w:sz w:val="30"/>
          <w:szCs w:val="30"/>
          <w:lang w:val="en-US" w:eastAsia="zh-CN"/>
        </w:rPr>
        <w:t>19</w:t>
      </w:r>
      <w:r>
        <w:rPr>
          <w:rFonts w:ascii="仿宋_GB2312" w:eastAsia="仿宋_GB2312" w:hAnsi="宋体" w:cs="Arial" w:hint="eastAsia"/>
          <w:kern w:val="0"/>
          <w:sz w:val="30"/>
          <w:szCs w:val="30"/>
        </w:rPr>
        <w:t>人。其中：离休</w:t>
      </w:r>
      <w:r>
        <w:rPr>
          <w:rFonts w:ascii="仿宋_GB2312" w:eastAsia="仿宋_GB2312" w:hint="eastAsia"/>
          <w:sz w:val="30"/>
          <w:szCs w:val="30"/>
          <w:lang w:val="en-US" w:eastAsia="zh-CN"/>
        </w:rPr>
        <w:t>9</w:t>
      </w:r>
      <w:r>
        <w:rPr>
          <w:rFonts w:ascii="仿宋_GB2312" w:eastAsia="仿宋_GB2312" w:hAnsi="宋体" w:cs="Arial" w:hint="eastAsia"/>
          <w:kern w:val="0"/>
          <w:sz w:val="30"/>
          <w:szCs w:val="30"/>
        </w:rPr>
        <w:t>人，退休</w:t>
      </w:r>
      <w:r>
        <w:rPr>
          <w:rFonts w:ascii="仿宋_GB2312" w:eastAsia="仿宋_GB2312" w:hint="eastAsia"/>
          <w:sz w:val="30"/>
          <w:szCs w:val="30"/>
          <w:lang w:val="en-US" w:eastAsia="zh-CN"/>
        </w:rPr>
        <w:t>10</w:t>
      </w:r>
      <w:r>
        <w:rPr>
          <w:rFonts w:ascii="仿宋_GB2312" w:eastAsia="仿宋_GB2312" w:hAnsi="宋体" w:cs="Arial" w:hint="eastAsia"/>
          <w:kern w:val="0"/>
          <w:sz w:val="30"/>
          <w:szCs w:val="30"/>
        </w:rPr>
        <w:t>人。</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Ansi="宋体" w:cs="Arial" w:hint="eastAsia"/>
          <w:kern w:val="0"/>
          <w:sz w:val="30"/>
          <w:szCs w:val="30"/>
        </w:rPr>
      </w:pPr>
      <w:r>
        <w:rPr>
          <w:rFonts w:ascii="仿宋_GB2312" w:eastAsia="仿宋_GB2312" w:hAnsi="宋体" w:cs="Arial" w:hint="eastAsia"/>
          <w:kern w:val="0"/>
          <w:sz w:val="30"/>
          <w:szCs w:val="30"/>
        </w:rPr>
        <w:t>实有车辆编制</w:t>
      </w:r>
      <w:r>
        <w:rPr>
          <w:rFonts w:ascii="仿宋_GB2312" w:eastAsia="仿宋_GB2312" w:hint="eastAsia"/>
          <w:sz w:val="30"/>
          <w:szCs w:val="30"/>
          <w:lang w:val="en-US" w:eastAsia="zh-CN"/>
        </w:rPr>
        <w:t>1</w:t>
      </w:r>
      <w:r>
        <w:rPr>
          <w:rFonts w:ascii="仿宋_GB2312" w:eastAsia="仿宋_GB2312" w:hAnsi="宋体" w:cs="Arial" w:hint="eastAsia"/>
          <w:kern w:val="0"/>
          <w:sz w:val="30"/>
          <w:szCs w:val="30"/>
        </w:rPr>
        <w:t>辆，在编实有车辆</w:t>
      </w:r>
      <w:r>
        <w:rPr>
          <w:rFonts w:ascii="仿宋_GB2312" w:eastAsia="仿宋_GB2312" w:hint="eastAsia"/>
          <w:sz w:val="30"/>
          <w:szCs w:val="30"/>
          <w:lang w:val="en-US" w:eastAsia="zh-CN"/>
        </w:rPr>
        <w:t>1</w:t>
      </w:r>
      <w:r>
        <w:rPr>
          <w:rFonts w:ascii="仿宋_GB2312" w:eastAsia="仿宋_GB2312" w:hAnsi="宋体" w:cs="Arial" w:hint="eastAsia"/>
          <w:kern w:val="0"/>
          <w:sz w:val="30"/>
          <w:szCs w:val="30"/>
        </w:rPr>
        <w:t>辆。</w:t>
      </w:r>
    </w:p>
    <w:p>
      <w:pPr>
        <w:keepNext w:val="0"/>
        <w:keepLines w:val="0"/>
        <w:pageBreakBefore w:val="0"/>
        <w:kinsoku/>
        <w:wordWrap/>
        <w:overflowPunct/>
        <w:topLinePunct w:val="0"/>
        <w:autoSpaceDE/>
        <w:autoSpaceDN/>
        <w:bidi w:val="0"/>
        <w:spacing w:line="600" w:lineRule="exact"/>
        <w:jc w:val="left"/>
        <w:rPr>
          <w:rFonts w:ascii="仿宋_GB2312" w:eastAsia="仿宋_GB2312" w:hAnsi="宋体" w:cs="Arial" w:hint="eastAsia"/>
          <w:kern w:val="0"/>
          <w:sz w:val="30"/>
          <w:szCs w:val="30"/>
        </w:rPr>
      </w:pPr>
    </w:p>
    <w:p>
      <w:pPr>
        <w:keepNext w:val="0"/>
        <w:keepLines w:val="0"/>
        <w:pageBreakBefore w:val="0"/>
        <w:kinsoku/>
        <w:wordWrap/>
        <w:overflowPunct/>
        <w:topLinePunct w:val="0"/>
        <w:autoSpaceDE/>
        <w:autoSpaceDN/>
        <w:bidi w:val="0"/>
        <w:spacing w:line="600" w:lineRule="exact"/>
        <w:ind w:firstLine="600" w:firstLineChars="200"/>
        <w:jc w:val="left"/>
        <w:rPr>
          <w:rFonts w:ascii="仿宋_GB2312" w:eastAsia="仿宋_GB2312" w:hAnsi="宋体" w:cs="Arial" w:hint="eastAsia"/>
          <w:kern w:val="0"/>
          <w:sz w:val="30"/>
          <w:szCs w:val="30"/>
        </w:rPr>
      </w:pPr>
    </w:p>
    <w:p>
      <w:pPr>
        <w:keepNext w:val="0"/>
        <w:keepLines w:val="0"/>
        <w:pageBreakBefore w:val="0"/>
        <w:kinsoku/>
        <w:wordWrap/>
        <w:overflowPunct/>
        <w:topLinePunct w:val="0"/>
        <w:autoSpaceDE/>
        <w:autoSpaceDN/>
        <w:bidi w:val="0"/>
        <w:spacing w:line="600" w:lineRule="exact"/>
        <w:ind w:firstLine="600" w:firstLineChars="200"/>
        <w:jc w:val="left"/>
        <w:rPr>
          <w:rFonts w:ascii="仿宋_GB2312" w:eastAsia="仿宋_GB2312" w:hAnsi="宋体" w:cs="Arial" w:hint="eastAsia"/>
          <w:kern w:val="0"/>
          <w:sz w:val="30"/>
          <w:szCs w:val="30"/>
        </w:rPr>
      </w:pPr>
    </w:p>
    <w:p>
      <w:pPr>
        <w:keepNext w:val="0"/>
        <w:keepLines w:val="0"/>
        <w:pageBreakBefore w:val="0"/>
        <w:kinsoku/>
        <w:wordWrap/>
        <w:overflowPunct/>
        <w:topLinePunct w:val="0"/>
        <w:autoSpaceDE/>
        <w:autoSpaceDN/>
        <w:bidi w:val="0"/>
        <w:jc w:val="center"/>
        <w:outlineLvl w:val="0"/>
        <w:rPr>
          <w:rFonts w:ascii="黑体" w:eastAsia="黑体" w:hAnsi="黑体" w:hint="eastAsia"/>
          <w:sz w:val="32"/>
          <w:szCs w:val="32"/>
        </w:rPr>
      </w:pPr>
      <w:r>
        <w:rPr>
          <w:rFonts w:ascii="黑体" w:eastAsia="黑体" w:hAnsi="黑体" w:hint="eastAsia"/>
          <w:sz w:val="32"/>
          <w:szCs w:val="32"/>
        </w:rPr>
        <w:t xml:space="preserve">第二部分  </w:t>
      </w:r>
      <w:r>
        <w:rPr>
          <w:rFonts w:ascii="黑体" w:eastAsia="黑体" w:hAnsi="黑体" w:hint="eastAsia"/>
          <w:sz w:val="32"/>
          <w:szCs w:val="32"/>
          <w:lang w:val="en-US" w:eastAsia="zh-CN"/>
        </w:rPr>
        <w:t>2021</w:t>
      </w:r>
      <w:r>
        <w:rPr>
          <w:rFonts w:ascii="黑体" w:eastAsia="黑体" w:hAnsi="黑体" w:hint="eastAsia"/>
          <w:sz w:val="32"/>
          <w:szCs w:val="32"/>
        </w:rPr>
        <w:t>年度部门决算表</w:t>
      </w:r>
    </w:p>
    <w:p>
      <w:pPr>
        <w:keepNext w:val="0"/>
        <w:keepLines w:val="0"/>
        <w:pageBreakBefore w:val="0"/>
        <w:kinsoku/>
        <w:wordWrap/>
        <w:overflowPunct/>
        <w:topLinePunct w:val="0"/>
        <w:autoSpaceDE/>
        <w:autoSpaceDN/>
        <w:bidi w:val="0"/>
        <w:spacing w:line="600" w:lineRule="exact"/>
        <w:ind w:firstLine="600" w:firstLineChars="200"/>
        <w:jc w:val="center"/>
        <w:rPr>
          <w:rFonts w:ascii="仿宋_GB2312" w:eastAsia="仿宋_GB2312" w:hint="eastAsia"/>
          <w:sz w:val="30"/>
          <w:szCs w:val="30"/>
        </w:rPr>
      </w:pPr>
      <w:r>
        <w:rPr>
          <w:rFonts w:ascii="仿宋_GB2312" w:eastAsia="仿宋_GB2312" w:hint="eastAsia"/>
          <w:sz w:val="30"/>
          <w:szCs w:val="30"/>
        </w:rPr>
        <w:t>（详见附件）</w:t>
      </w:r>
    </w:p>
    <w:p>
      <w:pPr>
        <w:keepNext w:val="0"/>
        <w:keepLines w:val="0"/>
        <w:pageBreakBefore w:val="0"/>
        <w:kinsoku/>
        <w:wordWrap/>
        <w:overflowPunct/>
        <w:topLinePunct w:val="0"/>
        <w:autoSpaceDE/>
        <w:autoSpaceDN/>
        <w:bidi w:val="0"/>
        <w:spacing w:line="600" w:lineRule="exact"/>
        <w:ind w:firstLine="600" w:firstLineChars="200"/>
        <w:jc w:val="center"/>
        <w:rPr>
          <w:rFonts w:ascii="仿宋_GB2312" w:eastAsia="仿宋_GB2312" w:hint="eastAsia"/>
          <w:sz w:val="30"/>
          <w:szCs w:val="30"/>
        </w:rPr>
      </w:pPr>
    </w:p>
    <w:p>
      <w:pPr>
        <w:keepNext w:val="0"/>
        <w:keepLines w:val="0"/>
        <w:pageBreakBefore w:val="0"/>
        <w:kinsoku/>
        <w:wordWrap/>
        <w:overflowPunct/>
        <w:topLinePunct w:val="0"/>
        <w:autoSpaceDE/>
        <w:autoSpaceDN/>
        <w:bidi w:val="0"/>
        <w:jc w:val="center"/>
        <w:outlineLvl w:val="0"/>
        <w:rPr>
          <w:rFonts w:ascii="黑体" w:eastAsia="黑体" w:hAnsi="黑体" w:hint="eastAsia"/>
          <w:sz w:val="32"/>
          <w:szCs w:val="32"/>
        </w:rPr>
      </w:pPr>
      <w:r>
        <w:rPr>
          <w:rFonts w:ascii="黑体" w:eastAsia="黑体" w:hAnsi="黑体" w:hint="eastAsia"/>
          <w:sz w:val="32"/>
          <w:szCs w:val="32"/>
        </w:rPr>
        <w:t>第三部</w:t>
      </w:r>
      <w:r>
        <w:rPr>
          <w:rFonts w:ascii="黑体" w:eastAsia="黑体" w:hAnsi="黑体" w:hint="eastAsia"/>
          <w:sz w:val="32"/>
          <w:szCs w:val="32"/>
          <w:lang w:eastAsia="zh-CN"/>
        </w:rPr>
        <w:t>分</w:t>
      </w:r>
      <w:r>
        <w:rPr>
          <w:rFonts w:ascii="黑体" w:eastAsia="黑体" w:hAnsi="黑体" w:hint="eastAsia"/>
          <w:sz w:val="32"/>
          <w:szCs w:val="32"/>
        </w:rPr>
        <w:t xml:space="preserve">  </w:t>
      </w:r>
      <w:r>
        <w:rPr>
          <w:rFonts w:ascii="黑体" w:eastAsia="黑体" w:hAnsi="黑体" w:hint="eastAsia"/>
          <w:sz w:val="32"/>
          <w:szCs w:val="32"/>
          <w:lang w:val="en-US" w:eastAsia="zh-CN"/>
        </w:rPr>
        <w:t>2021</w:t>
      </w:r>
      <w:r>
        <w:rPr>
          <w:rFonts w:ascii="黑体" w:eastAsia="黑体" w:hAnsi="黑体" w:hint="eastAsia"/>
          <w:sz w:val="32"/>
          <w:szCs w:val="32"/>
        </w:rPr>
        <w:t>年度部门决算情况说明</w:t>
      </w:r>
    </w:p>
    <w:p>
      <w:pPr>
        <w:keepNext w:val="0"/>
        <w:keepLines w:val="0"/>
        <w:pageBreakBefore w:val="0"/>
        <w:kinsoku/>
        <w:wordWrap/>
        <w:overflowPunct/>
        <w:topLinePunct w:val="0"/>
        <w:autoSpaceDE/>
        <w:autoSpaceDN/>
        <w:bidi w:val="0"/>
        <w:ind w:firstLine="600" w:firstLineChars="200"/>
        <w:jc w:val="left"/>
        <w:outlineLvl w:val="1"/>
        <w:rPr>
          <w:rFonts w:ascii="黑体" w:eastAsia="黑体" w:hAnsi="黑体" w:hint="eastAsia"/>
          <w:sz w:val="30"/>
          <w:szCs w:val="30"/>
        </w:rPr>
      </w:pPr>
      <w:r>
        <w:rPr>
          <w:rFonts w:ascii="黑体" w:eastAsia="黑体" w:hAnsi="黑体" w:hint="eastAsia"/>
          <w:sz w:val="30"/>
          <w:szCs w:val="30"/>
        </w:rPr>
        <w:t>一、收入决算情况说明</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int="eastAsia"/>
          <w:color w:val="auto"/>
          <w:sz w:val="30"/>
          <w:szCs w:val="30"/>
        </w:rPr>
      </w:pPr>
      <w:r>
        <w:rPr>
          <w:rFonts w:ascii="仿宋_GB2312" w:eastAsia="仿宋_GB2312" w:hint="eastAsia"/>
          <w:sz w:val="30"/>
          <w:szCs w:val="30"/>
          <w:highlight w:val="none"/>
        </w:rPr>
        <w:t>中国共产党昆明市盘龙区委员会组织部部门</w:t>
      </w:r>
      <w:r>
        <w:rPr>
          <w:rFonts w:ascii="仿宋_GB2312" w:eastAsia="仿宋_GB2312" w:hint="eastAsia"/>
          <w:sz w:val="30"/>
          <w:szCs w:val="30"/>
          <w:highlight w:val="none"/>
          <w:lang w:val="en-US" w:eastAsia="zh-CN"/>
        </w:rPr>
        <w:t>2021</w:t>
      </w:r>
      <w:r>
        <w:rPr>
          <w:rFonts w:ascii="仿宋_GB2312" w:eastAsia="仿宋_GB2312" w:hint="eastAsia"/>
          <w:sz w:val="30"/>
          <w:szCs w:val="30"/>
          <w:highlight w:val="none"/>
        </w:rPr>
        <w:t>年度收入合计</w:t>
      </w:r>
      <w:r>
        <w:rPr>
          <w:rFonts w:ascii="仿宋_GB2312" w:eastAsia="仿宋_GB2312" w:hint="eastAsia"/>
          <w:sz w:val="30"/>
          <w:szCs w:val="30"/>
          <w:highlight w:val="none"/>
          <w:lang w:val="en-US" w:eastAsia="zh-CN"/>
        </w:rPr>
        <w:t>14995.70</w:t>
      </w:r>
      <w:r>
        <w:rPr>
          <w:rFonts w:ascii="仿宋_GB2312" w:eastAsia="仿宋_GB2312" w:hint="eastAsia"/>
          <w:sz w:val="30"/>
          <w:szCs w:val="30"/>
          <w:highlight w:val="none"/>
        </w:rPr>
        <w:t>万元。其中：财政拨款收入</w:t>
      </w:r>
      <w:r>
        <w:rPr>
          <w:rFonts w:ascii="仿宋_GB2312" w:eastAsia="仿宋_GB2312" w:hint="eastAsia"/>
          <w:sz w:val="30"/>
          <w:szCs w:val="30"/>
          <w:highlight w:val="none"/>
          <w:lang w:val="en-US" w:eastAsia="zh-CN"/>
        </w:rPr>
        <w:t>14992.70</w:t>
      </w:r>
      <w:r>
        <w:rPr>
          <w:rFonts w:ascii="仿宋_GB2312" w:eastAsia="仿宋_GB2312" w:hint="eastAsia"/>
          <w:sz w:val="30"/>
          <w:szCs w:val="30"/>
          <w:highlight w:val="none"/>
        </w:rPr>
        <w:t>万元，占总收入的</w:t>
      </w:r>
      <w:r>
        <w:rPr>
          <w:rFonts w:ascii="仿宋_GB2312" w:eastAsia="仿宋_GB2312" w:hint="eastAsia"/>
          <w:sz w:val="30"/>
          <w:szCs w:val="30"/>
          <w:highlight w:val="none"/>
          <w:lang w:val="en-US" w:eastAsia="zh-CN"/>
        </w:rPr>
        <w:t>99.98</w:t>
      </w:r>
      <w:r>
        <w:rPr>
          <w:rFonts w:ascii="仿宋_GB2312" w:eastAsia="仿宋_GB2312" w:hint="eastAsia"/>
          <w:sz w:val="30"/>
          <w:szCs w:val="30"/>
          <w:highlight w:val="none"/>
        </w:rPr>
        <w:t>%；上级补助收入</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万元，占总收入的</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%；事业收入</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万元</w:t>
      </w:r>
      <w:r>
        <w:rPr>
          <w:rFonts w:ascii="仿宋_GB2312" w:eastAsia="仿宋_GB2312" w:hint="eastAsia"/>
          <w:sz w:val="30"/>
          <w:szCs w:val="30"/>
          <w:highlight w:val="none"/>
          <w:lang w:eastAsia="zh-CN"/>
        </w:rPr>
        <w:t>（含教育收费</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万元</w:t>
      </w:r>
      <w:r>
        <w:rPr>
          <w:rFonts w:ascii="仿宋_GB2312" w:eastAsia="仿宋_GB2312" w:hint="eastAsia"/>
          <w:sz w:val="30"/>
          <w:szCs w:val="30"/>
          <w:highlight w:val="none"/>
          <w:lang w:eastAsia="zh-CN"/>
        </w:rPr>
        <w:t>）</w:t>
      </w:r>
      <w:r>
        <w:rPr>
          <w:rFonts w:ascii="仿宋_GB2312" w:eastAsia="仿宋_GB2312" w:hint="eastAsia"/>
          <w:sz w:val="30"/>
          <w:szCs w:val="30"/>
          <w:highlight w:val="none"/>
        </w:rPr>
        <w:t>，占总收入的</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%；经营收入</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万元，占总收入的</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%；附属单位缴款收入</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万元，占总收入的</w:t>
      </w:r>
      <w:r>
        <w:rPr>
          <w:rFonts w:ascii="仿宋" w:eastAsia="仿宋" w:hAnsi="仿宋" w:cs="仿宋" w:hint="eastAsia"/>
          <w:kern w:val="0"/>
          <w:sz w:val="30"/>
          <w:szCs w:val="30"/>
          <w:shd w:val="clear" w:color="auto" w:fill="FFFFFF"/>
        </w:rPr>
        <w:t>0.00</w:t>
      </w:r>
      <w:r>
        <w:rPr>
          <w:rFonts w:ascii="仿宋_GB2312" w:eastAsia="仿宋_GB2312" w:hint="eastAsia"/>
          <w:sz w:val="30"/>
          <w:szCs w:val="30"/>
          <w:highlight w:val="none"/>
        </w:rPr>
        <w:t>%；其他收入</w:t>
      </w:r>
      <w:r>
        <w:rPr>
          <w:rFonts w:ascii="仿宋" w:eastAsia="仿宋" w:hAnsi="仿宋" w:cs="仿宋" w:hint="eastAsia"/>
          <w:kern w:val="0"/>
          <w:sz w:val="30"/>
          <w:szCs w:val="30"/>
          <w:shd w:val="clear" w:color="auto" w:fill="FFFFFF"/>
          <w:lang w:val="en-US" w:eastAsia="zh-CN"/>
        </w:rPr>
        <w:t>3</w:t>
      </w:r>
      <w:r>
        <w:rPr>
          <w:rFonts w:ascii="仿宋" w:eastAsia="仿宋" w:hAnsi="仿宋" w:cs="仿宋" w:hint="eastAsia"/>
          <w:kern w:val="0"/>
          <w:sz w:val="30"/>
          <w:szCs w:val="30"/>
          <w:shd w:val="clear" w:color="auto" w:fill="FFFFFF"/>
        </w:rPr>
        <w:t>.00</w:t>
      </w:r>
      <w:r>
        <w:rPr>
          <w:rFonts w:ascii="仿宋_GB2312" w:eastAsia="仿宋_GB2312" w:hint="eastAsia"/>
          <w:sz w:val="30"/>
          <w:szCs w:val="30"/>
          <w:highlight w:val="none"/>
        </w:rPr>
        <w:t>万元，占总收入的</w:t>
      </w:r>
      <w:r>
        <w:rPr>
          <w:rFonts w:ascii="仿宋" w:eastAsia="仿宋" w:hAnsi="仿宋" w:cs="仿宋" w:hint="eastAsia"/>
          <w:kern w:val="0"/>
          <w:sz w:val="30"/>
          <w:szCs w:val="30"/>
          <w:shd w:val="clear" w:color="auto" w:fill="FFFFFF"/>
        </w:rPr>
        <w:t>0.0</w:t>
      </w:r>
      <w:r>
        <w:rPr>
          <w:rFonts w:ascii="仿宋" w:eastAsia="仿宋" w:hAnsi="仿宋" w:cs="仿宋" w:hint="eastAsia"/>
          <w:kern w:val="0"/>
          <w:sz w:val="30"/>
          <w:szCs w:val="30"/>
          <w:shd w:val="clear" w:color="auto" w:fill="FFFFFF"/>
          <w:lang w:val="en-US" w:eastAsia="zh-CN"/>
        </w:rPr>
        <w:t>2</w:t>
      </w:r>
      <w:r>
        <w:rPr>
          <w:rFonts w:ascii="仿宋_GB2312" w:eastAsia="仿宋_GB2312" w:hint="eastAsia"/>
          <w:sz w:val="30"/>
          <w:szCs w:val="30"/>
          <w:highlight w:val="none"/>
        </w:rPr>
        <w:t>%。</w:t>
      </w:r>
      <w:r>
        <w:rPr>
          <w:rFonts w:ascii="仿宋_GB2312" w:eastAsia="仿宋_GB2312" w:hint="eastAsia"/>
          <w:color w:val="auto"/>
          <w:sz w:val="30"/>
          <w:szCs w:val="30"/>
          <w:highlight w:val="none"/>
        </w:rPr>
        <w:t>与上年对比</w:t>
      </w:r>
      <w:r>
        <w:rPr>
          <w:rFonts w:ascii="仿宋_GB2312" w:eastAsia="仿宋_GB2312" w:hint="eastAsia"/>
          <w:color w:val="auto"/>
          <w:sz w:val="30"/>
          <w:szCs w:val="30"/>
          <w:highlight w:val="none"/>
          <w:lang w:val="en-US" w:eastAsia="zh-CN"/>
        </w:rPr>
        <w:t>增长502.64万元，增长3.47%</w:t>
      </w:r>
      <w:r>
        <w:rPr>
          <w:rFonts w:ascii="仿宋_GB2312" w:eastAsia="仿宋_GB2312" w:hint="eastAsia"/>
          <w:color w:val="auto"/>
          <w:sz w:val="30"/>
          <w:szCs w:val="30"/>
          <w:highlight w:val="none"/>
        </w:rPr>
        <w:t>，</w:t>
      </w:r>
      <w:r>
        <w:rPr>
          <w:rFonts w:ascii="仿宋_GB2312" w:eastAsia="仿宋_GB2312" w:hint="eastAsia"/>
          <w:color w:val="auto"/>
          <w:sz w:val="30"/>
          <w:szCs w:val="30"/>
        </w:rPr>
        <w:t>主要原因</w:t>
      </w:r>
      <w:r>
        <w:rPr>
          <w:rFonts w:ascii="仿宋_GB2312" w:eastAsia="仿宋_GB2312" w:hint="eastAsia"/>
          <w:color w:val="auto"/>
          <w:sz w:val="30"/>
          <w:szCs w:val="30"/>
          <w:lang w:val="en-US" w:eastAsia="zh-CN"/>
        </w:rPr>
        <w:t>是：</w:t>
      </w:r>
      <w:r>
        <w:rPr>
          <w:rFonts w:ascii="仿宋" w:eastAsia="仿宋" w:hAnsi="仿宋" w:cs="仿宋" w:hint="eastAsia"/>
          <w:kern w:val="0"/>
          <w:sz w:val="30"/>
          <w:szCs w:val="30"/>
          <w:shd w:val="clear" w:color="auto" w:fill="FFFFFF"/>
        </w:rPr>
        <w:t>202</w:t>
      </w:r>
      <w:r>
        <w:rPr>
          <w:rFonts w:ascii="仿宋" w:eastAsia="仿宋" w:hAnsi="仿宋" w:cs="仿宋" w:hint="eastAsia"/>
          <w:kern w:val="0"/>
          <w:sz w:val="30"/>
          <w:szCs w:val="30"/>
          <w:shd w:val="clear" w:color="auto" w:fill="FFFFFF"/>
          <w:lang w:val="en-US" w:eastAsia="zh-CN"/>
        </w:rPr>
        <w:t>1</w:t>
      </w:r>
      <w:r>
        <w:rPr>
          <w:rFonts w:ascii="仿宋" w:eastAsia="仿宋" w:hAnsi="仿宋" w:cs="仿宋" w:hint="eastAsia"/>
          <w:kern w:val="0"/>
          <w:sz w:val="30"/>
          <w:szCs w:val="30"/>
          <w:shd w:val="clear" w:color="auto" w:fill="FFFFFF"/>
        </w:rPr>
        <w:t>年度部分经费补助对象人数增加，如离退休人员临时生活补助经费，全区离退休人员人数比上年增加</w:t>
      </w:r>
      <w:r>
        <w:rPr>
          <w:rFonts w:ascii="仿宋_GB2312" w:eastAsia="仿宋_GB2312" w:hint="eastAsia"/>
          <w:color w:val="auto"/>
          <w:sz w:val="30"/>
          <w:szCs w:val="30"/>
        </w:rPr>
        <w:t>。</w:t>
      </w:r>
    </w:p>
    <w:p>
      <w:pPr>
        <w:keepNext w:val="0"/>
        <w:keepLines w:val="0"/>
        <w:pageBreakBefore w:val="0"/>
        <w:kinsoku/>
        <w:wordWrap/>
        <w:overflowPunct/>
        <w:topLinePunct w:val="0"/>
        <w:autoSpaceDE/>
        <w:autoSpaceDN/>
        <w:bidi w:val="0"/>
        <w:ind w:firstLine="600" w:firstLineChars="200"/>
        <w:jc w:val="left"/>
        <w:outlineLvl w:val="1"/>
        <w:rPr>
          <w:rFonts w:ascii="黑体" w:eastAsia="黑体" w:hAnsi="黑体" w:hint="eastAsia"/>
          <w:sz w:val="30"/>
          <w:szCs w:val="30"/>
        </w:rPr>
      </w:pPr>
      <w:r>
        <w:rPr>
          <w:rFonts w:ascii="黑体" w:eastAsia="黑体" w:hAnsi="黑体" w:hint="eastAsia"/>
          <w:sz w:val="30"/>
          <w:szCs w:val="30"/>
        </w:rPr>
        <w:t>二、支出决算情况说明</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int="eastAsia"/>
          <w:color w:val="auto"/>
          <w:sz w:val="30"/>
          <w:szCs w:val="30"/>
        </w:rPr>
      </w:pPr>
      <w:r>
        <w:rPr>
          <w:rFonts w:ascii="仿宋_GB2312" w:eastAsia="仿宋_GB2312" w:hint="eastAsia"/>
          <w:sz w:val="30"/>
          <w:szCs w:val="30"/>
        </w:rPr>
        <w:t>中国共产党昆明市盘龙区委员会组织部部门</w:t>
      </w:r>
      <w:r>
        <w:rPr>
          <w:rFonts w:ascii="仿宋_GB2312" w:eastAsia="仿宋_GB2312" w:hint="eastAsia"/>
          <w:sz w:val="30"/>
          <w:szCs w:val="30"/>
          <w:lang w:val="en-US" w:eastAsia="zh-CN"/>
        </w:rPr>
        <w:t>2021</w:t>
      </w:r>
      <w:r>
        <w:rPr>
          <w:rFonts w:ascii="仿宋_GB2312" w:eastAsia="仿宋_GB2312" w:hint="eastAsia"/>
          <w:sz w:val="30"/>
          <w:szCs w:val="30"/>
        </w:rPr>
        <w:t>年度支出合计</w:t>
      </w:r>
      <w:r>
        <w:rPr>
          <w:rFonts w:ascii="仿宋_GB2312" w:eastAsia="仿宋_GB2312" w:hint="eastAsia"/>
          <w:sz w:val="30"/>
          <w:szCs w:val="30"/>
          <w:lang w:val="en-US" w:eastAsia="zh-CN"/>
        </w:rPr>
        <w:t>15019.90</w:t>
      </w:r>
      <w:r>
        <w:rPr>
          <w:rFonts w:ascii="仿宋_GB2312" w:eastAsia="仿宋_GB2312" w:hint="eastAsia"/>
          <w:sz w:val="30"/>
          <w:szCs w:val="30"/>
        </w:rPr>
        <w:t>万元。其中：</w:t>
      </w:r>
      <w:r>
        <w:rPr>
          <w:rFonts w:ascii="仿宋_GB2312" w:eastAsia="仿宋_GB2312" w:hAnsi="宋体" w:cs="Arial" w:hint="eastAsia"/>
          <w:kern w:val="0"/>
          <w:sz w:val="30"/>
          <w:szCs w:val="30"/>
        </w:rPr>
        <w:t>基本支出</w:t>
      </w:r>
      <w:r>
        <w:rPr>
          <w:rFonts w:ascii="仿宋_GB2312" w:eastAsia="仿宋_GB2312" w:hint="eastAsia"/>
          <w:sz w:val="30"/>
          <w:szCs w:val="30"/>
          <w:lang w:val="en-US" w:eastAsia="zh-CN"/>
        </w:rPr>
        <w:t>13200.87</w:t>
      </w:r>
      <w:r>
        <w:rPr>
          <w:rFonts w:ascii="仿宋_GB2312" w:eastAsia="仿宋_GB2312" w:hAnsi="宋体" w:cs="Arial" w:hint="eastAsia"/>
          <w:kern w:val="0"/>
          <w:sz w:val="30"/>
          <w:szCs w:val="30"/>
        </w:rPr>
        <w:t>万元，占总支出的</w:t>
      </w:r>
      <w:r>
        <w:rPr>
          <w:rFonts w:ascii="仿宋_GB2312" w:eastAsia="仿宋_GB2312" w:hint="eastAsia"/>
          <w:sz w:val="30"/>
          <w:szCs w:val="30"/>
          <w:lang w:val="en-US" w:eastAsia="zh-CN"/>
        </w:rPr>
        <w:t>87.89</w:t>
      </w:r>
      <w:r>
        <w:rPr>
          <w:rFonts w:ascii="仿宋_GB2312" w:eastAsia="仿宋_GB2312" w:hAnsi="宋体" w:cs="Arial" w:hint="eastAsia"/>
          <w:kern w:val="0"/>
          <w:sz w:val="30"/>
          <w:szCs w:val="30"/>
        </w:rPr>
        <w:t>％；项目支出</w:t>
      </w:r>
      <w:r>
        <w:rPr>
          <w:rFonts w:ascii="仿宋_GB2312" w:eastAsia="仿宋_GB2312" w:hint="eastAsia"/>
          <w:sz w:val="30"/>
          <w:szCs w:val="30"/>
          <w:lang w:val="en-US" w:eastAsia="zh-CN"/>
        </w:rPr>
        <w:t>1819.03</w:t>
      </w:r>
      <w:r>
        <w:rPr>
          <w:rFonts w:ascii="仿宋_GB2312" w:eastAsia="仿宋_GB2312" w:hAnsi="宋体" w:cs="Arial" w:hint="eastAsia"/>
          <w:kern w:val="0"/>
          <w:sz w:val="30"/>
          <w:szCs w:val="30"/>
        </w:rPr>
        <w:t>万元，占总支出的</w:t>
      </w:r>
      <w:r>
        <w:rPr>
          <w:rFonts w:ascii="仿宋_GB2312" w:eastAsia="仿宋_GB2312" w:hAnsi="宋体" w:cs="Arial" w:hint="eastAsia"/>
          <w:kern w:val="0"/>
          <w:sz w:val="30"/>
          <w:szCs w:val="30"/>
          <w:lang w:val="en-US" w:eastAsia="zh-CN"/>
        </w:rPr>
        <w:t>12.11</w:t>
      </w:r>
      <w:r>
        <w:rPr>
          <w:rFonts w:ascii="仿宋_GB2312" w:eastAsia="仿宋_GB2312" w:hAnsi="宋体" w:cs="Arial" w:hint="eastAsia"/>
          <w:kern w:val="0"/>
          <w:sz w:val="30"/>
          <w:szCs w:val="30"/>
        </w:rPr>
        <w:t>％；上缴上级支出、经营支出、对附属单位补助支出共</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rPr>
        <w:t>万元，占总支出的</w:t>
      </w:r>
      <w:r>
        <w:rPr>
          <w:rFonts w:ascii="仿宋_GB2312" w:eastAsia="仿宋_GB2312" w:hint="eastAsia"/>
          <w:sz w:val="30"/>
          <w:szCs w:val="30"/>
          <w:lang w:val="en-US" w:eastAsia="zh-CN"/>
        </w:rPr>
        <w:t>0.00</w:t>
      </w:r>
      <w:r>
        <w:rPr>
          <w:rFonts w:ascii="仿宋_GB2312" w:eastAsia="仿宋_GB2312" w:hAnsi="宋体" w:cs="Arial" w:hint="eastAsia"/>
          <w:kern w:val="0"/>
          <w:sz w:val="30"/>
          <w:szCs w:val="30"/>
        </w:rPr>
        <w:t>％。</w:t>
      </w:r>
      <w:r>
        <w:rPr>
          <w:rFonts w:ascii="仿宋_GB2312" w:eastAsia="仿宋_GB2312" w:hint="eastAsia"/>
          <w:color w:val="auto"/>
          <w:sz w:val="30"/>
          <w:szCs w:val="30"/>
        </w:rPr>
        <w:t>与上年对比增长</w:t>
      </w:r>
      <w:r>
        <w:rPr>
          <w:rFonts w:ascii="仿宋_GB2312" w:eastAsia="仿宋_GB2312" w:hint="eastAsia"/>
          <w:color w:val="auto"/>
          <w:sz w:val="30"/>
          <w:szCs w:val="30"/>
          <w:lang w:val="en-US" w:eastAsia="zh-CN"/>
        </w:rPr>
        <w:t>2309.41</w:t>
      </w:r>
      <w:r>
        <w:rPr>
          <w:rFonts w:ascii="仿宋_GB2312" w:eastAsia="仿宋_GB2312" w:hint="eastAsia"/>
          <w:color w:val="auto"/>
          <w:sz w:val="30"/>
          <w:szCs w:val="30"/>
        </w:rPr>
        <w:t>万元，增长</w:t>
      </w:r>
      <w:r>
        <w:rPr>
          <w:rFonts w:ascii="仿宋_GB2312" w:eastAsia="仿宋_GB2312" w:hint="eastAsia"/>
          <w:color w:val="auto"/>
          <w:sz w:val="30"/>
          <w:szCs w:val="30"/>
          <w:lang w:val="en-US" w:eastAsia="zh-CN"/>
        </w:rPr>
        <w:t>18.17</w:t>
      </w:r>
      <w:r>
        <w:rPr>
          <w:rFonts w:ascii="仿宋_GB2312" w:eastAsia="仿宋_GB2312" w:hint="eastAsia"/>
          <w:color w:val="auto"/>
          <w:sz w:val="30"/>
          <w:szCs w:val="30"/>
        </w:rPr>
        <w:t>%，主要原因</w:t>
      </w:r>
      <w:r>
        <w:rPr>
          <w:rFonts w:ascii="仿宋_GB2312" w:eastAsia="仿宋_GB2312" w:hint="eastAsia"/>
          <w:color w:val="auto"/>
          <w:sz w:val="30"/>
          <w:szCs w:val="30"/>
          <w:lang w:val="en-US" w:eastAsia="zh-CN"/>
        </w:rPr>
        <w:t>是：2021年度部分经费补助对象人数增加，如离退休人员临时生活补助经费，全区离退休人员人数比上年增加</w:t>
      </w:r>
      <w:r>
        <w:rPr>
          <w:rFonts w:ascii="仿宋_GB2312" w:eastAsia="仿宋_GB2312" w:hint="eastAsia"/>
          <w:color w:val="auto"/>
          <w:sz w:val="30"/>
          <w:szCs w:val="30"/>
        </w:rPr>
        <w:t>。</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（一）基本支出情况</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2021</w:t>
      </w:r>
      <w:r>
        <w:rPr>
          <w:rFonts w:ascii="仿宋_GB2312" w:eastAsia="仿宋_GB2312" w:hint="eastAsia"/>
          <w:sz w:val="30"/>
          <w:szCs w:val="30"/>
        </w:rPr>
        <w:t>年度用于保障中国共产党昆明市盘龙区委员会组织部机关、下属事业单位等机构正常运转的日常支出13200</w:t>
      </w:r>
      <w:r>
        <w:rPr>
          <w:rFonts w:ascii="仿宋_GB2312" w:eastAsia="仿宋_GB2312" w:hint="eastAsia"/>
          <w:sz w:val="30"/>
          <w:szCs w:val="30"/>
          <w:lang w:val="en-US" w:eastAsia="zh-CN"/>
        </w:rPr>
        <w:t>.</w:t>
      </w:r>
      <w:r>
        <w:rPr>
          <w:rFonts w:ascii="仿宋_GB2312" w:eastAsia="仿宋_GB2312" w:hint="eastAsia"/>
          <w:sz w:val="30"/>
          <w:szCs w:val="30"/>
        </w:rPr>
        <w:t>87万元。</w:t>
      </w:r>
      <w:r>
        <w:rPr>
          <w:rFonts w:ascii="仿宋_GB2312" w:eastAsia="仿宋_GB2312" w:hint="eastAsia"/>
          <w:sz w:val="30"/>
          <w:szCs w:val="30"/>
          <w:lang w:val="en-US" w:eastAsia="zh-CN"/>
        </w:rPr>
        <w:t>与上年对比</w:t>
      </w:r>
      <w:r>
        <w:rPr>
          <w:rFonts w:ascii="仿宋_GB2312" w:eastAsia="仿宋_GB2312" w:hint="eastAsia"/>
          <w:color w:val="auto"/>
          <w:sz w:val="30"/>
          <w:szCs w:val="30"/>
        </w:rPr>
        <w:t>增长</w:t>
      </w:r>
      <w:r>
        <w:rPr>
          <w:rFonts w:ascii="仿宋_GB2312" w:eastAsia="仿宋_GB2312" w:hint="eastAsia"/>
          <w:color w:val="auto"/>
          <w:sz w:val="30"/>
          <w:szCs w:val="30"/>
          <w:lang w:val="en-US" w:eastAsia="zh-CN"/>
        </w:rPr>
        <w:t>490.38</w:t>
      </w:r>
      <w:r>
        <w:rPr>
          <w:rFonts w:ascii="仿宋_GB2312" w:eastAsia="仿宋_GB2312" w:hint="eastAsia"/>
          <w:color w:val="auto"/>
          <w:sz w:val="30"/>
          <w:szCs w:val="30"/>
        </w:rPr>
        <w:t>万元，增长</w:t>
      </w:r>
      <w:r>
        <w:rPr>
          <w:rFonts w:ascii="仿宋_GB2312" w:eastAsia="仿宋_GB2312" w:hint="eastAsia"/>
          <w:color w:val="auto"/>
          <w:sz w:val="30"/>
          <w:szCs w:val="30"/>
          <w:lang w:val="en-US" w:eastAsia="zh-CN"/>
        </w:rPr>
        <w:t>3.86</w:t>
      </w:r>
      <w:r>
        <w:rPr>
          <w:rFonts w:ascii="仿宋_GB2312" w:eastAsia="仿宋_GB2312" w:hint="eastAsia"/>
          <w:color w:val="auto"/>
          <w:sz w:val="30"/>
          <w:szCs w:val="30"/>
        </w:rPr>
        <w:t>%，主要原因</w:t>
      </w:r>
      <w:r>
        <w:rPr>
          <w:rFonts w:ascii="仿宋_GB2312" w:eastAsia="仿宋_GB2312" w:hint="eastAsia"/>
          <w:color w:val="auto"/>
          <w:sz w:val="30"/>
          <w:szCs w:val="30"/>
          <w:lang w:val="en-US" w:eastAsia="zh-CN"/>
        </w:rPr>
        <w:t>是：2021年度部分经费补助对象人数增加，如离退休人员临时生活补助经费，全区离退休人员人数比上年增加</w:t>
      </w:r>
      <w:r>
        <w:rPr>
          <w:rFonts w:ascii="仿宋_GB2312" w:eastAsia="仿宋_GB2312" w:hint="eastAsia"/>
          <w:color w:val="auto"/>
          <w:sz w:val="30"/>
          <w:szCs w:val="30"/>
          <w:lang w:eastAsia="zh-CN"/>
        </w:rPr>
        <w:t>。</w:t>
      </w:r>
      <w:r>
        <w:rPr>
          <w:rFonts w:ascii="仿宋_GB2312" w:eastAsia="仿宋_GB2312" w:hint="eastAsia"/>
          <w:sz w:val="30"/>
          <w:szCs w:val="30"/>
          <w:lang w:eastAsia="zh-CN"/>
        </w:rPr>
        <w:t>其中：</w:t>
      </w:r>
      <w:r>
        <w:rPr>
          <w:rFonts w:ascii="仿宋_GB2312" w:eastAsia="仿宋_GB2312" w:hint="eastAsia"/>
          <w:sz w:val="30"/>
          <w:szCs w:val="30"/>
        </w:rPr>
        <w:t>基本工资、津贴补贴等人员经费支出</w:t>
      </w:r>
      <w:r>
        <w:rPr>
          <w:rFonts w:ascii="仿宋_GB2312" w:eastAsia="仿宋_GB2312" w:hint="eastAsia"/>
          <w:sz w:val="30"/>
          <w:szCs w:val="30"/>
          <w:lang w:val="en-US" w:eastAsia="zh-CN"/>
        </w:rPr>
        <w:t>13123.66</w:t>
      </w:r>
      <w:r>
        <w:rPr>
          <w:rFonts w:ascii="仿宋_GB2312" w:eastAsia="仿宋_GB2312" w:hint="eastAsia"/>
          <w:sz w:val="30"/>
          <w:szCs w:val="30"/>
        </w:rPr>
        <w:t>万元</w:t>
      </w:r>
      <w:r>
        <w:rPr>
          <w:rFonts w:ascii="仿宋_GB2312" w:eastAsia="仿宋_GB2312" w:hint="eastAsia"/>
          <w:sz w:val="30"/>
          <w:szCs w:val="30"/>
          <w:lang w:eastAsia="zh-CN"/>
        </w:rPr>
        <w:t>，</w:t>
      </w:r>
      <w:r>
        <w:rPr>
          <w:rFonts w:ascii="仿宋_GB2312" w:eastAsia="仿宋_GB2312" w:hint="eastAsia"/>
          <w:sz w:val="30"/>
          <w:szCs w:val="30"/>
        </w:rPr>
        <w:t>占基本支出的</w:t>
      </w:r>
      <w:r>
        <w:rPr>
          <w:rFonts w:ascii="仿宋_GB2312" w:eastAsia="仿宋_GB2312" w:hint="eastAsia"/>
          <w:sz w:val="30"/>
          <w:szCs w:val="30"/>
          <w:lang w:val="en-US" w:eastAsia="zh-CN"/>
        </w:rPr>
        <w:t>99.42</w:t>
      </w:r>
      <w:r>
        <w:rPr>
          <w:rFonts w:ascii="仿宋_GB2312" w:eastAsia="仿宋_GB2312" w:hint="eastAsia"/>
          <w:sz w:val="30"/>
          <w:szCs w:val="30"/>
        </w:rPr>
        <w:t>％；办公费、印刷费、水电费、办公设备购置等公用经费</w:t>
      </w:r>
      <w:r>
        <w:rPr>
          <w:rFonts w:ascii="仿宋_GB2312" w:eastAsia="仿宋_GB2312" w:hint="eastAsia"/>
          <w:sz w:val="30"/>
          <w:szCs w:val="30"/>
          <w:lang w:val="en-US" w:eastAsia="zh-CN"/>
        </w:rPr>
        <w:t>77.21</w:t>
      </w:r>
      <w:r>
        <w:rPr>
          <w:rFonts w:ascii="仿宋_GB2312" w:eastAsia="仿宋_GB2312" w:hint="eastAsia"/>
          <w:sz w:val="30"/>
          <w:szCs w:val="30"/>
        </w:rPr>
        <w:t>万元</w:t>
      </w:r>
      <w:r>
        <w:rPr>
          <w:rFonts w:ascii="仿宋_GB2312" w:eastAsia="仿宋_GB2312" w:hint="eastAsia"/>
          <w:sz w:val="30"/>
          <w:szCs w:val="30"/>
          <w:lang w:eastAsia="zh-CN"/>
        </w:rPr>
        <w:t>，</w:t>
      </w:r>
      <w:r>
        <w:rPr>
          <w:rFonts w:ascii="仿宋_GB2312" w:eastAsia="仿宋_GB2312" w:hint="eastAsia"/>
          <w:sz w:val="30"/>
          <w:szCs w:val="30"/>
        </w:rPr>
        <w:t>占基本支出的</w:t>
      </w:r>
      <w:r>
        <w:rPr>
          <w:rFonts w:ascii="仿宋_GB2312" w:eastAsia="仿宋_GB2312" w:hint="eastAsia"/>
          <w:sz w:val="30"/>
          <w:szCs w:val="30"/>
          <w:lang w:val="en-US" w:eastAsia="zh-CN"/>
        </w:rPr>
        <w:t>0.58</w:t>
      </w:r>
      <w:r>
        <w:rPr>
          <w:rFonts w:ascii="仿宋_GB2312" w:eastAsia="仿宋_GB2312" w:hint="eastAsia"/>
          <w:sz w:val="30"/>
          <w:szCs w:val="30"/>
        </w:rPr>
        <w:t>％。</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（二）项目支出情况</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ascii="仿宋_GB2312" w:eastAsia="仿宋_GB2312" w:hint="eastAsia"/>
          <w:sz w:val="30"/>
          <w:szCs w:val="30"/>
          <w:lang w:val="en-US" w:eastAsia="zh-CN"/>
        </w:rPr>
      </w:pPr>
      <w:r>
        <w:rPr>
          <w:rFonts w:ascii="仿宋_GB2312" w:eastAsia="仿宋_GB2312" w:hint="eastAsia"/>
          <w:sz w:val="30"/>
          <w:szCs w:val="30"/>
          <w:lang w:val="en-US" w:eastAsia="zh-CN"/>
        </w:rPr>
        <w:t>2021</w:t>
      </w:r>
      <w:r>
        <w:rPr>
          <w:rFonts w:ascii="仿宋_GB2312" w:eastAsia="仿宋_GB2312" w:hint="eastAsia"/>
          <w:sz w:val="30"/>
          <w:szCs w:val="30"/>
        </w:rPr>
        <w:t>年度用于保障中国共产党昆明市盘龙区委员会组织部机构、下属事业单位等机构为完成特定的行政工作任务或事业发展目标，用于专项业务工作的经费支出</w:t>
      </w:r>
      <w:r>
        <w:rPr>
          <w:rFonts w:ascii="仿宋_GB2312" w:eastAsia="仿宋_GB2312" w:hint="eastAsia"/>
          <w:sz w:val="30"/>
          <w:szCs w:val="30"/>
          <w:lang w:val="en-US" w:eastAsia="zh-CN"/>
        </w:rPr>
        <w:t>1819.</w:t>
      </w:r>
      <w:r>
        <w:rPr>
          <w:rFonts w:ascii="仿宋_GB2312" w:eastAsia="仿宋_GB2312" w:hint="eastAsia"/>
          <w:color w:val="auto"/>
          <w:sz w:val="30"/>
          <w:szCs w:val="30"/>
          <w:lang w:val="en-US" w:eastAsia="zh-CN"/>
        </w:rPr>
        <w:t>03</w:t>
      </w:r>
      <w:r>
        <w:rPr>
          <w:rFonts w:ascii="仿宋_GB2312" w:eastAsia="仿宋_GB2312" w:hint="eastAsia"/>
          <w:sz w:val="30"/>
          <w:szCs w:val="30"/>
        </w:rPr>
        <w:t>万元。</w:t>
      </w:r>
      <w:r>
        <w:rPr>
          <w:rFonts w:ascii="仿宋_GB2312" w:eastAsia="仿宋_GB2312" w:hint="eastAsia"/>
          <w:sz w:val="30"/>
          <w:szCs w:val="30"/>
          <w:lang w:val="en-US" w:eastAsia="zh-CN"/>
        </w:rPr>
        <w:t>与上年对比</w:t>
      </w:r>
      <w:r>
        <w:rPr>
          <w:rFonts w:ascii="仿宋_GB2312" w:eastAsia="仿宋_GB2312" w:hint="eastAsia"/>
          <w:color w:val="auto"/>
          <w:sz w:val="30"/>
          <w:szCs w:val="30"/>
        </w:rPr>
        <w:t>增长</w:t>
      </w:r>
      <w:r>
        <w:rPr>
          <w:rFonts w:ascii="仿宋_GB2312" w:eastAsia="仿宋_GB2312" w:hint="eastAsia"/>
          <w:color w:val="auto"/>
          <w:sz w:val="30"/>
          <w:szCs w:val="30"/>
          <w:lang w:val="en-US" w:eastAsia="zh-CN"/>
        </w:rPr>
        <w:t>36.67</w:t>
      </w:r>
      <w:r>
        <w:rPr>
          <w:rFonts w:ascii="仿宋_GB2312" w:eastAsia="仿宋_GB2312" w:hint="eastAsia"/>
          <w:color w:val="auto"/>
          <w:sz w:val="30"/>
          <w:szCs w:val="30"/>
        </w:rPr>
        <w:t>万元，增长</w:t>
      </w:r>
      <w:r>
        <w:rPr>
          <w:rFonts w:ascii="仿宋_GB2312" w:eastAsia="仿宋_GB2312" w:hint="eastAsia"/>
          <w:color w:val="auto"/>
          <w:sz w:val="30"/>
          <w:szCs w:val="30"/>
          <w:lang w:val="en-US" w:eastAsia="zh-CN"/>
        </w:rPr>
        <w:t>2.06</w:t>
      </w:r>
      <w:r>
        <w:rPr>
          <w:rFonts w:ascii="仿宋_GB2312" w:eastAsia="仿宋_GB2312" w:hint="eastAsia"/>
          <w:color w:val="auto"/>
          <w:sz w:val="30"/>
          <w:szCs w:val="30"/>
        </w:rPr>
        <w:t>%，主要原因</w:t>
      </w:r>
      <w:r>
        <w:rPr>
          <w:rFonts w:ascii="仿宋_GB2312" w:eastAsia="仿宋_GB2312" w:hint="eastAsia"/>
          <w:color w:val="auto"/>
          <w:sz w:val="30"/>
          <w:szCs w:val="30"/>
          <w:lang w:val="en-US" w:eastAsia="zh-CN"/>
        </w:rPr>
        <w:t>是：部分项目工作计划改变，经费支出有调整</w:t>
      </w:r>
      <w:r>
        <w:rPr>
          <w:rFonts w:ascii="仿宋_GB2312" w:eastAsia="仿宋_GB2312" w:hint="eastAsia"/>
          <w:sz w:val="30"/>
          <w:szCs w:val="30"/>
        </w:rPr>
        <w:t>。</w:t>
      </w:r>
      <w:r>
        <w:rPr>
          <w:rFonts w:ascii="仿宋_GB2312" w:eastAsia="仿宋_GB2312" w:hint="eastAsia"/>
          <w:sz w:val="30"/>
          <w:szCs w:val="30"/>
          <w:lang w:val="en-US" w:eastAsia="zh-CN"/>
        </w:rPr>
        <w:t>具体项目开支及开展工作情况：</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ascii="仿宋_GB2312" w:eastAsia="仿宋_GB2312" w:hint="eastAsia"/>
          <w:sz w:val="30"/>
          <w:szCs w:val="30"/>
          <w:lang w:val="en-US" w:eastAsia="zh-CN"/>
        </w:rPr>
      </w:pPr>
      <w:r>
        <w:rPr>
          <w:rFonts w:ascii="仿宋_GB2312" w:eastAsia="仿宋_GB2312" w:hint="eastAsia"/>
          <w:sz w:val="30"/>
          <w:szCs w:val="30"/>
          <w:lang w:val="en-US" w:eastAsia="zh-CN"/>
        </w:rPr>
        <w:t>（1）组织事务（一般行政管理事务经费）1472.42万元；</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ascii="仿宋_GB2312" w:eastAsia="仿宋_GB2312" w:hint="eastAsia"/>
          <w:sz w:val="30"/>
          <w:szCs w:val="30"/>
          <w:lang w:val="en-US" w:eastAsia="zh-CN"/>
        </w:rPr>
      </w:pPr>
      <w:r>
        <w:rPr>
          <w:rFonts w:ascii="仿宋_GB2312" w:eastAsia="仿宋_GB2312" w:hint="eastAsia"/>
          <w:sz w:val="30"/>
          <w:szCs w:val="30"/>
          <w:lang w:val="en-US" w:eastAsia="zh-CN"/>
        </w:rPr>
        <w:t>（2）组织事务（其他组织事务支出经费）经费69.90万元；</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ascii="仿宋_GB2312" w:eastAsia="仿宋_GB2312" w:hint="eastAsia"/>
          <w:sz w:val="30"/>
          <w:szCs w:val="30"/>
          <w:lang w:val="en-US" w:eastAsia="zh-CN"/>
        </w:rPr>
      </w:pPr>
      <w:r>
        <w:rPr>
          <w:rFonts w:ascii="仿宋_GB2312" w:eastAsia="仿宋_GB2312" w:hint="eastAsia"/>
          <w:sz w:val="30"/>
          <w:szCs w:val="30"/>
          <w:lang w:val="en-US" w:eastAsia="zh-CN"/>
        </w:rPr>
        <w:t>（3）技术研究与开发（科技成果转化与扩散经费）7.00万元；</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ascii="仿宋_GB2312" w:eastAsia="仿宋_GB2312" w:hint="eastAsia"/>
          <w:color w:val="auto"/>
          <w:sz w:val="30"/>
          <w:szCs w:val="30"/>
          <w:lang w:eastAsia="zh-CN"/>
        </w:rPr>
      </w:pPr>
      <w:r>
        <w:rPr>
          <w:rFonts w:ascii="仿宋_GB2312" w:eastAsia="仿宋_GB2312" w:hint="eastAsia"/>
          <w:sz w:val="30"/>
          <w:szCs w:val="30"/>
          <w:lang w:val="en-US" w:eastAsia="zh-CN"/>
        </w:rPr>
        <w:t>（4）行政事业单位养老支出（离退休人员管理机构经费）265.82万元</w:t>
      </w:r>
      <w:r>
        <w:rPr>
          <w:rFonts w:ascii="仿宋_GB2312" w:eastAsia="仿宋_GB2312" w:hint="eastAsia"/>
          <w:color w:val="auto"/>
          <w:sz w:val="30"/>
          <w:szCs w:val="30"/>
          <w:lang w:eastAsia="zh-CN"/>
        </w:rPr>
        <w:t>；</w:t>
      </w:r>
    </w:p>
    <w:p>
      <w:pPr>
        <w:keepNext w:val="0"/>
        <w:keepLines w:val="0"/>
        <w:pageBreakBefore w:val="0"/>
        <w:widowControl/>
        <w:kinsoku/>
        <w:wordWrap/>
        <w:overflowPunct/>
        <w:topLinePunct w:val="0"/>
        <w:autoSpaceDE/>
        <w:autoSpaceDN/>
        <w:bidi w:val="0"/>
        <w:adjustRightInd/>
        <w:snapToGrid w:val="0"/>
        <w:spacing w:line="600" w:lineRule="exact"/>
        <w:ind w:firstLine="600" w:firstLineChars="200"/>
        <w:jc w:val="left"/>
        <w:textAlignment w:val="auto"/>
        <w:rPr>
          <w:rFonts w:eastAsia="仿宋_GB2312" w:hint="eastAsia"/>
          <w:lang w:val="en-US" w:eastAsia="zh-CN"/>
        </w:rPr>
      </w:pPr>
      <w:r>
        <w:rPr>
          <w:rFonts w:ascii="仿宋_GB2312" w:eastAsia="仿宋_GB2312" w:hint="eastAsia"/>
          <w:sz w:val="30"/>
          <w:szCs w:val="30"/>
          <w:lang w:val="en-US" w:eastAsia="zh-CN"/>
        </w:rPr>
        <w:t>（5）政府办公厅（室）及相关机构事务（一般行政管理事务经费）3.89万元。</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Ansi="Times New Roman" w:cs="Times New Roman" w:hint="default"/>
          <w:color w:val="FF0000"/>
          <w:sz w:val="30"/>
          <w:szCs w:val="30"/>
          <w:lang w:val="en-US" w:eastAsia="zh-CN"/>
        </w:rPr>
      </w:pP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1"/>
        <w:rPr>
          <w:rFonts w:ascii="黑体" w:eastAsia="黑体" w:hAnsi="黑体" w:hint="eastAsia"/>
          <w:sz w:val="30"/>
          <w:szCs w:val="30"/>
        </w:rPr>
      </w:pPr>
      <w:r>
        <w:rPr>
          <w:rFonts w:ascii="黑体" w:eastAsia="黑体" w:hAnsi="黑体" w:hint="eastAsia"/>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（一）一般公共预算财政拨款支出决算总体情况</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rPr>
          <w:rFonts w:ascii="仿宋_GB2312" w:eastAsia="仿宋_GB2312" w:hAnsi="宋体" w:cs="Arial" w:hint="eastAsia"/>
          <w:kern w:val="0"/>
          <w:sz w:val="30"/>
          <w:szCs w:val="30"/>
        </w:rPr>
      </w:pPr>
      <w:r>
        <w:rPr>
          <w:rFonts w:ascii="仿宋_GB2312" w:eastAsia="仿宋_GB2312" w:hint="eastAsia"/>
          <w:sz w:val="30"/>
          <w:szCs w:val="30"/>
        </w:rPr>
        <w:t>中国共产党昆明市盘龙区委员会组织部部门</w:t>
      </w:r>
      <w:r>
        <w:rPr>
          <w:rFonts w:ascii="仿宋_GB2312" w:eastAsia="仿宋_GB2312" w:hint="eastAsia"/>
          <w:sz w:val="30"/>
          <w:szCs w:val="30"/>
          <w:lang w:val="en-US" w:eastAsia="zh-CN"/>
        </w:rPr>
        <w:t>2021</w:t>
      </w:r>
      <w:r>
        <w:rPr>
          <w:rFonts w:ascii="仿宋_GB2312" w:eastAsia="仿宋_GB2312" w:hint="eastAsia"/>
          <w:sz w:val="30"/>
          <w:szCs w:val="30"/>
        </w:rPr>
        <w:t>年度一般公共预算财政拨款支出</w:t>
      </w:r>
      <w:r>
        <w:rPr>
          <w:rFonts w:ascii="仿宋_GB2312" w:eastAsia="仿宋_GB2312" w:hAnsi="宋体" w:cs="Arial" w:hint="eastAsia"/>
          <w:kern w:val="0"/>
          <w:sz w:val="30"/>
          <w:szCs w:val="30"/>
        </w:rPr>
        <w:t>15019</w:t>
      </w:r>
      <w:r>
        <w:rPr>
          <w:rFonts w:ascii="仿宋_GB2312" w:eastAsia="仿宋_GB2312" w:hAnsi="宋体" w:cs="Arial" w:hint="eastAsia"/>
          <w:kern w:val="0"/>
          <w:sz w:val="30"/>
          <w:szCs w:val="30"/>
          <w:lang w:val="en-US" w:eastAsia="zh-CN"/>
        </w:rPr>
        <w:t>.80</w:t>
      </w:r>
      <w:r>
        <w:rPr>
          <w:rFonts w:ascii="仿宋_GB2312" w:eastAsia="仿宋_GB2312" w:hAnsi="宋体" w:cs="Arial" w:hint="eastAsia"/>
          <w:kern w:val="0"/>
          <w:sz w:val="30"/>
          <w:szCs w:val="30"/>
        </w:rPr>
        <w:t>万元,占本年支出合计的</w:t>
      </w:r>
      <w:r>
        <w:rPr>
          <w:rFonts w:ascii="仿宋_GB2312" w:eastAsia="仿宋_GB2312" w:hint="eastAsia"/>
          <w:sz w:val="30"/>
          <w:szCs w:val="30"/>
          <w:lang w:val="en-US" w:eastAsia="zh-CN"/>
        </w:rPr>
        <w:t>100.00</w:t>
      </w:r>
      <w:r>
        <w:rPr>
          <w:rFonts w:ascii="仿宋_GB2312" w:eastAsia="仿宋_GB2312" w:hAnsi="宋体" w:cs="Arial" w:hint="eastAsia"/>
          <w:kern w:val="0"/>
          <w:sz w:val="30"/>
          <w:szCs w:val="30"/>
        </w:rPr>
        <w:t>%。</w:t>
      </w:r>
      <w:r>
        <w:rPr>
          <w:rFonts w:ascii="仿宋_GB2312" w:eastAsia="仿宋_GB2312" w:hint="eastAsia"/>
          <w:sz w:val="30"/>
          <w:szCs w:val="30"/>
          <w:lang w:val="en-US" w:eastAsia="zh-CN"/>
        </w:rPr>
        <w:t>与上年对比</w:t>
      </w:r>
      <w:r>
        <w:rPr>
          <w:rFonts w:ascii="仿宋_GB2312" w:eastAsia="仿宋_GB2312" w:hint="eastAsia"/>
          <w:color w:val="auto"/>
          <w:sz w:val="30"/>
          <w:szCs w:val="30"/>
        </w:rPr>
        <w:t>增长</w:t>
      </w:r>
      <w:r>
        <w:rPr>
          <w:rFonts w:ascii="仿宋_GB2312" w:eastAsia="仿宋_GB2312" w:hint="eastAsia"/>
          <w:color w:val="auto"/>
          <w:sz w:val="30"/>
          <w:szCs w:val="30"/>
          <w:lang w:val="en-US" w:eastAsia="zh-CN"/>
        </w:rPr>
        <w:t>526.10</w:t>
      </w:r>
      <w:r>
        <w:rPr>
          <w:rFonts w:ascii="仿宋_GB2312" w:eastAsia="仿宋_GB2312" w:hint="eastAsia"/>
          <w:color w:val="auto"/>
          <w:sz w:val="30"/>
          <w:szCs w:val="30"/>
        </w:rPr>
        <w:t>万元，增长</w:t>
      </w:r>
      <w:r>
        <w:rPr>
          <w:rFonts w:ascii="仿宋_GB2312" w:eastAsia="仿宋_GB2312" w:hint="eastAsia"/>
          <w:color w:val="auto"/>
          <w:sz w:val="30"/>
          <w:szCs w:val="30"/>
          <w:lang w:val="en-US" w:eastAsia="zh-CN"/>
        </w:rPr>
        <w:t>3.63</w:t>
      </w:r>
      <w:r>
        <w:rPr>
          <w:rFonts w:ascii="仿宋_GB2312" w:eastAsia="仿宋_GB2312" w:hint="eastAsia"/>
          <w:color w:val="auto"/>
          <w:sz w:val="30"/>
          <w:szCs w:val="30"/>
        </w:rPr>
        <w:t>%，主要原因</w:t>
      </w:r>
      <w:r>
        <w:rPr>
          <w:rFonts w:ascii="仿宋_GB2312" w:eastAsia="仿宋_GB2312" w:hint="eastAsia"/>
          <w:color w:val="auto"/>
          <w:sz w:val="30"/>
          <w:szCs w:val="30"/>
          <w:lang w:val="en-US" w:eastAsia="zh-CN"/>
        </w:rPr>
        <w:t>是：2021年度部分经费补助对象人数增加，如离退休人员临时生活补助经费，全区离退休人员人数比上年增加</w:t>
      </w:r>
      <w:r>
        <w:rPr>
          <w:rFonts w:ascii="仿宋_GB2312" w:eastAsia="仿宋_GB2312" w:hAnsi="宋体" w:cs="Arial" w:hint="eastAsia"/>
          <w:kern w:val="0"/>
          <w:sz w:val="30"/>
          <w:szCs w:val="30"/>
        </w:rPr>
        <w:t>。</w:t>
      </w:r>
    </w:p>
    <w:p>
      <w:pPr>
        <w:keepNext w:val="0"/>
        <w:keepLines w:val="0"/>
        <w:pageBreakBefore w:val="0"/>
        <w:widowControl/>
        <w:kinsoku/>
        <w:wordWrap/>
        <w:overflowPunct/>
        <w:topLinePunct w:val="0"/>
        <w:autoSpaceDE/>
        <w:autoSpaceDN/>
        <w:bidi w:val="0"/>
        <w:snapToGrid w:val="0"/>
        <w:spacing w:line="600" w:lineRule="exact"/>
        <w:ind w:firstLine="600" w:firstLineChars="200"/>
        <w:jc w:val="left"/>
        <w:outlineLvl w:val="2"/>
        <w:rPr>
          <w:rFonts w:ascii="楷体" w:eastAsia="楷体" w:hAnsi="楷体" w:hint="eastAsia"/>
          <w:sz w:val="30"/>
          <w:szCs w:val="30"/>
        </w:rPr>
      </w:pPr>
      <w:r>
        <w:rPr>
          <w:rFonts w:ascii="楷体" w:eastAsia="楷体" w:hAnsi="楷体" w:hint="eastAsia"/>
          <w:sz w:val="30"/>
          <w:szCs w:val="30"/>
        </w:rPr>
        <w:t>（二）一般公共预算财政拨款支出决算具体情况</w:t>
      </w:r>
      <w:r>
        <w:rPr>
          <w:rFonts w:ascii="楷体" w:eastAsia="楷体" w:hAnsi="楷体" w:hint="eastAsia"/>
          <w:sz w:val="30"/>
          <w:szCs w:val="30"/>
        </w:rPr>
        <w:tab/>
      </w:r>
      <w:r>
        <w:rPr>
          <w:rFonts w:ascii="楷体" w:eastAsia="楷体" w:hAnsi="楷体" w:hint="eastAsia"/>
          <w:sz w:val="30"/>
          <w:szCs w:val="30"/>
        </w:rPr>
        <w:tab/>
      </w:r>
      <w:r>
        <w:rPr>
          <w:rFonts w:ascii="楷体" w:eastAsia="楷体" w:hAnsi="楷体" w:hint="eastAsia"/>
          <w:sz w:val="30"/>
          <w:szCs w:val="30"/>
        </w:rPr>
        <w:tab/>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kern w:val="0"/>
          <w:sz w:val="30"/>
          <w:szCs w:val="30"/>
        </w:rPr>
      </w:pPr>
      <w:r>
        <w:rPr>
          <w:rFonts w:ascii="仿宋_GB2312" w:eastAsia="仿宋_GB2312" w:hAnsi="宋体" w:cs="Arial" w:hint="eastAsia"/>
          <w:kern w:val="0"/>
          <w:sz w:val="30"/>
          <w:szCs w:val="30"/>
        </w:rPr>
        <w:t>1.一般公共服务（类）支出14273</w:t>
      </w:r>
      <w:r>
        <w:rPr>
          <w:rFonts w:ascii="仿宋_GB2312" w:eastAsia="仿宋_GB2312" w:hAnsi="宋体" w:cs="Arial" w:hint="eastAsia"/>
          <w:kern w:val="0"/>
          <w:sz w:val="30"/>
          <w:szCs w:val="30"/>
          <w:lang w:val="en-US" w:eastAsia="zh-CN"/>
        </w:rPr>
        <w:t>.</w:t>
      </w:r>
      <w:r>
        <w:rPr>
          <w:rFonts w:ascii="仿宋_GB2312" w:eastAsia="仿宋_GB2312" w:hAnsi="宋体" w:cs="Arial" w:hint="eastAsia"/>
          <w:kern w:val="0"/>
          <w:sz w:val="30"/>
          <w:szCs w:val="30"/>
        </w:rPr>
        <w:t>57万元，</w:t>
      </w:r>
      <w:r>
        <w:rPr>
          <w:rFonts w:ascii="仿宋_GB2312" w:eastAsia="仿宋_GB2312" w:hint="eastAsia"/>
          <w:sz w:val="30"/>
          <w:szCs w:val="30"/>
        </w:rPr>
        <w:t>占一般公共预算财政拨款总支出的</w:t>
      </w:r>
      <w:r>
        <w:rPr>
          <w:rFonts w:ascii="仿宋_GB2312" w:eastAsia="仿宋_GB2312" w:hint="eastAsia"/>
          <w:sz w:val="30"/>
          <w:szCs w:val="30"/>
          <w:lang w:val="en-US" w:eastAsia="zh-CN"/>
        </w:rPr>
        <w:t>95.03</w:t>
      </w:r>
      <w:r>
        <w:rPr>
          <w:rFonts w:ascii="仿宋_GB2312" w:eastAsia="仿宋_GB2312" w:hint="eastAsia"/>
          <w:sz w:val="30"/>
          <w:szCs w:val="30"/>
        </w:rPr>
        <w:t>%。</w:t>
      </w:r>
      <w:r>
        <w:rPr>
          <w:rFonts w:ascii="仿宋_GB2312" w:eastAsia="仿宋_GB2312" w:hAnsi="宋体" w:cs="Arial" w:hint="eastAsia"/>
          <w:kern w:val="0"/>
          <w:sz w:val="30"/>
          <w:szCs w:val="30"/>
        </w:rPr>
        <w:t>主要用于工资福利支出、日常公用经费支出、对个人和家庭补助支出（含全区离退休干部临时生活补助）；</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2.外交（类）支出0.00万元，占一般公共预算财政拨款总支出的0.00%。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3.国防（类）支出0.00万元，占一般公共预算财政拨款总支出的0.00%。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4.公共安全（类）支出0.00万元，占一般公共预算财政拨款总支出的0.00%。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5.教育（类）支出0.00万元，占一般公共预算财政拨款总支出的0.00%。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6.科学技术（类）支出7.00万元，占一般公共预算财政拨款总支出的0.05%。主要用于基层服务党组织平台运行维护。</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7.文化旅游体育与传媒（类）支出0.00万元，占一般公共预算财政拨款总支出的0.00%。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8.社会保障和就业（类）支出616</w:t>
      </w:r>
      <w:r>
        <w:rPr>
          <w:rFonts w:ascii="仿宋_GB2312" w:eastAsia="仿宋_GB2312" w:hAnsi="宋体" w:cs="Arial" w:hint="eastAsia"/>
          <w:color w:val="auto"/>
          <w:kern w:val="0"/>
          <w:sz w:val="30"/>
          <w:szCs w:val="30"/>
          <w:lang w:val="en-US" w:eastAsia="zh-CN"/>
        </w:rPr>
        <w:t>.</w:t>
      </w:r>
      <w:r>
        <w:rPr>
          <w:rFonts w:ascii="仿宋_GB2312" w:eastAsia="仿宋_GB2312" w:hAnsi="宋体" w:cs="Arial" w:hint="eastAsia"/>
          <w:color w:val="auto"/>
          <w:kern w:val="0"/>
          <w:sz w:val="30"/>
          <w:szCs w:val="30"/>
        </w:rPr>
        <w:t>8</w:t>
      </w:r>
      <w:r>
        <w:rPr>
          <w:rFonts w:ascii="仿宋_GB2312" w:eastAsia="仿宋_GB2312" w:hAnsi="宋体" w:cs="Arial" w:hint="eastAsia"/>
          <w:color w:val="auto"/>
          <w:kern w:val="0"/>
          <w:sz w:val="30"/>
          <w:szCs w:val="30"/>
          <w:lang w:val="en-US" w:eastAsia="zh-CN"/>
        </w:rPr>
        <w:t>3</w:t>
      </w:r>
      <w:r>
        <w:rPr>
          <w:rFonts w:ascii="仿宋_GB2312" w:eastAsia="仿宋_GB2312" w:hAnsi="宋体" w:cs="Arial" w:hint="eastAsia"/>
          <w:color w:val="auto"/>
          <w:kern w:val="0"/>
          <w:sz w:val="30"/>
          <w:szCs w:val="30"/>
        </w:rPr>
        <w:t>万元，占一般公共预算财政拨款总支出的</w:t>
      </w:r>
      <w:r>
        <w:rPr>
          <w:rFonts w:ascii="仿宋_GB2312" w:eastAsia="仿宋_GB2312" w:hAnsi="宋体" w:cs="Arial" w:hint="eastAsia"/>
          <w:color w:val="auto"/>
          <w:kern w:val="0"/>
          <w:sz w:val="30"/>
          <w:szCs w:val="30"/>
          <w:lang w:val="en-US" w:eastAsia="zh-CN"/>
        </w:rPr>
        <w:t>4.11</w:t>
      </w:r>
      <w:r>
        <w:rPr>
          <w:rFonts w:ascii="仿宋_GB2312" w:eastAsia="仿宋_GB2312" w:hAnsi="宋体" w:cs="Arial" w:hint="eastAsia"/>
          <w:color w:val="auto"/>
          <w:kern w:val="0"/>
          <w:sz w:val="30"/>
          <w:szCs w:val="30"/>
        </w:rPr>
        <w:t>%。主要用于退休人员经费支出、职工社保缴费支出。</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9.卫生健康（类）支出59</w:t>
      </w:r>
      <w:r>
        <w:rPr>
          <w:rFonts w:ascii="仿宋_GB2312" w:eastAsia="仿宋_GB2312" w:hAnsi="宋体" w:cs="Arial" w:hint="eastAsia"/>
          <w:color w:val="auto"/>
          <w:kern w:val="0"/>
          <w:sz w:val="30"/>
          <w:szCs w:val="30"/>
          <w:lang w:val="en-US" w:eastAsia="zh-CN"/>
        </w:rPr>
        <w:t>.</w:t>
      </w:r>
      <w:r>
        <w:rPr>
          <w:rFonts w:ascii="仿宋_GB2312" w:eastAsia="仿宋_GB2312" w:hAnsi="宋体" w:cs="Arial" w:hint="eastAsia"/>
          <w:color w:val="auto"/>
          <w:kern w:val="0"/>
          <w:sz w:val="30"/>
          <w:szCs w:val="30"/>
        </w:rPr>
        <w:t>4</w:t>
      </w:r>
      <w:r>
        <w:rPr>
          <w:rFonts w:ascii="仿宋_GB2312" w:eastAsia="仿宋_GB2312" w:hAnsi="宋体" w:cs="Arial" w:hint="eastAsia"/>
          <w:color w:val="auto"/>
          <w:kern w:val="0"/>
          <w:sz w:val="30"/>
          <w:szCs w:val="30"/>
          <w:lang w:val="en-US" w:eastAsia="zh-CN"/>
        </w:rPr>
        <w:t>6</w:t>
      </w:r>
      <w:r>
        <w:rPr>
          <w:rFonts w:ascii="仿宋_GB2312" w:eastAsia="仿宋_GB2312" w:hAnsi="宋体" w:cs="Arial" w:hint="eastAsia"/>
          <w:color w:val="auto"/>
          <w:kern w:val="0"/>
          <w:sz w:val="30"/>
          <w:szCs w:val="30"/>
        </w:rPr>
        <w:t>万元，占一般公共预算财政拨款总支出的0.</w:t>
      </w:r>
      <w:r>
        <w:rPr>
          <w:rFonts w:ascii="仿宋_GB2312" w:eastAsia="仿宋_GB2312" w:hAnsi="宋体" w:cs="Arial" w:hint="eastAsia"/>
          <w:color w:val="auto"/>
          <w:kern w:val="0"/>
          <w:sz w:val="30"/>
          <w:szCs w:val="30"/>
          <w:lang w:val="en-US" w:eastAsia="zh-CN"/>
        </w:rPr>
        <w:t>40</w:t>
      </w:r>
      <w:r>
        <w:rPr>
          <w:rFonts w:ascii="仿宋_GB2312" w:eastAsia="仿宋_GB2312" w:hAnsi="宋体" w:cs="Arial" w:hint="eastAsia"/>
          <w:color w:val="auto"/>
          <w:kern w:val="0"/>
          <w:sz w:val="30"/>
          <w:szCs w:val="30"/>
        </w:rPr>
        <w:t>%。主要用于行政单位医疗和公务员医疗补助。</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10.节能环保（类）支出0.00万元，占一般公共预算财政拨款总支出的0.00%。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11.城乡社区（类）支出0.00万元，占一般公共预算财政拨款总支出的0.00%。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12.农林水（类）支出0.00万元，占一般公共预算财政拨款总支出的0.00%。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13.交通运输（类）支出0.00万元，占一般公共预算财政拨款总支出的0.00%。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14.资源勘探信息等（类）支出0.00万元，占一般公共预算财政拨款总支出的0.00%。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15.商业服务业等（类）支出0.00万元，占一般公共预算财政拨款总支出的0.00%。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16.金融（类）支出0.00万元，占一般公共预算财政拨款总支出的0.00%。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17.援助其他地区（类）支出0.00万元，占一般公共预算财政拨款总支出的0.00%。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18.自然资源海洋气象等（类）支出0.00万元，占一般公共预算财政拨款总支出的0.00%。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19.住房保障（类）支出62</w:t>
      </w:r>
      <w:r>
        <w:rPr>
          <w:rFonts w:ascii="仿宋_GB2312" w:eastAsia="仿宋_GB2312" w:hAnsi="宋体" w:cs="Arial" w:hint="eastAsia"/>
          <w:color w:val="auto"/>
          <w:kern w:val="0"/>
          <w:sz w:val="30"/>
          <w:szCs w:val="30"/>
          <w:lang w:val="en-US" w:eastAsia="zh-CN"/>
        </w:rPr>
        <w:t>.</w:t>
      </w:r>
      <w:r>
        <w:rPr>
          <w:rFonts w:ascii="仿宋_GB2312" w:eastAsia="仿宋_GB2312" w:hAnsi="宋体" w:cs="Arial" w:hint="eastAsia"/>
          <w:color w:val="auto"/>
          <w:kern w:val="0"/>
          <w:sz w:val="30"/>
          <w:szCs w:val="30"/>
        </w:rPr>
        <w:t>9</w:t>
      </w:r>
      <w:r>
        <w:rPr>
          <w:rFonts w:ascii="仿宋_GB2312" w:eastAsia="仿宋_GB2312" w:hAnsi="宋体" w:cs="Arial" w:hint="eastAsia"/>
          <w:color w:val="auto"/>
          <w:kern w:val="0"/>
          <w:sz w:val="30"/>
          <w:szCs w:val="30"/>
          <w:lang w:val="en-US" w:eastAsia="zh-CN"/>
        </w:rPr>
        <w:t>4</w:t>
      </w:r>
      <w:r>
        <w:rPr>
          <w:rFonts w:ascii="仿宋_GB2312" w:eastAsia="仿宋_GB2312" w:hAnsi="宋体" w:cs="Arial" w:hint="eastAsia"/>
          <w:color w:val="auto"/>
          <w:kern w:val="0"/>
          <w:sz w:val="30"/>
          <w:szCs w:val="30"/>
        </w:rPr>
        <w:t>万元，占一般公共预算财政拨款总支出的0.</w:t>
      </w:r>
      <w:r>
        <w:rPr>
          <w:rFonts w:ascii="仿宋_GB2312" w:eastAsia="仿宋_GB2312" w:hAnsi="宋体" w:cs="Arial" w:hint="eastAsia"/>
          <w:color w:val="auto"/>
          <w:kern w:val="0"/>
          <w:sz w:val="30"/>
          <w:szCs w:val="30"/>
          <w:lang w:val="en-US" w:eastAsia="zh-CN"/>
        </w:rPr>
        <w:t>41</w:t>
      </w:r>
      <w:r>
        <w:rPr>
          <w:rFonts w:ascii="仿宋_GB2312" w:eastAsia="仿宋_GB2312" w:hAnsi="宋体" w:cs="Arial" w:hint="eastAsia"/>
          <w:color w:val="auto"/>
          <w:kern w:val="0"/>
          <w:sz w:val="30"/>
          <w:szCs w:val="30"/>
        </w:rPr>
        <w:t>%。用于住房公积金支出。</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20.粮油物资储备（类）支出0.00万元，占一般公共预算财政拨款总支出的0.00%。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21.国有资本经营预算（类）支出0.00万元，占一般公共预算财政拨款总支出的0.00%。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22.灾害防治及应急管理（类）支出0.00万元，占一般公共预算财政拨款总支出的0.00%。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23.其他（类）支出0.00万元，占一般公共预算财政拨款总支出的0.00%。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24.债务还本（类）支出0.00万元，占一般公共预算财政拨款总支出的0.00%。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25.债务付息（类）支出0.00万元，占一般公共预算财政拨款总支出的0.00%。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auto"/>
          <w:kern w:val="0"/>
          <w:sz w:val="30"/>
          <w:szCs w:val="30"/>
        </w:rPr>
      </w:pPr>
      <w:r>
        <w:rPr>
          <w:rFonts w:ascii="仿宋_GB2312" w:eastAsia="仿宋_GB2312" w:hAnsi="宋体" w:cs="Arial" w:hint="eastAsia"/>
          <w:color w:val="auto"/>
          <w:kern w:val="0"/>
          <w:sz w:val="30"/>
          <w:szCs w:val="30"/>
        </w:rPr>
        <w:t xml:space="preserve">  26.抗疫特别国债安排（类）支出0.00万元，占一般公共预算财政拨款总支出的0.00%。</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宋体" w:cs="Arial" w:hint="eastAsia"/>
          <w:color w:val="FF0000"/>
          <w:kern w:val="0"/>
          <w:sz w:val="30"/>
          <w:szCs w:val="30"/>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ascii="黑体" w:eastAsia="黑体" w:hAnsi="黑体" w:hint="eastAsia"/>
          <w:sz w:val="30"/>
          <w:szCs w:val="30"/>
        </w:rPr>
      </w:pPr>
      <w:r>
        <w:rPr>
          <w:rFonts w:ascii="黑体" w:eastAsia="黑体" w:hAnsi="黑体" w:hint="eastAsia"/>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2"/>
        <w:rPr>
          <w:rFonts w:ascii="楷体" w:eastAsia="楷体" w:hAnsi="楷体" w:hint="eastAsia"/>
          <w:sz w:val="30"/>
          <w:szCs w:val="30"/>
        </w:rPr>
      </w:pPr>
      <w:r>
        <w:rPr>
          <w:rFonts w:ascii="楷体" w:eastAsia="楷体" w:hAnsi="楷体" w:hint="eastAsia"/>
          <w:sz w:val="30"/>
          <w:szCs w:val="30"/>
        </w:rPr>
        <w:t>(一)</w:t>
      </w:r>
      <w:r>
        <w:rPr>
          <w:rFonts w:ascii="黑体" w:eastAsia="黑体" w:hAnsi="黑体" w:hint="eastAsia"/>
          <w:sz w:val="30"/>
          <w:szCs w:val="30"/>
        </w:rPr>
        <w:t xml:space="preserve"> </w:t>
      </w:r>
      <w:r>
        <w:rPr>
          <w:rFonts w:ascii="楷体" w:eastAsia="楷体" w:hAnsi="楷体" w:hint="eastAsia"/>
          <w:sz w:val="30"/>
          <w:szCs w:val="30"/>
        </w:rPr>
        <w:t>一般公共预算财政拨款“三公”经费支出决算总体情况</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int="eastAsia"/>
          <w:sz w:val="30"/>
          <w:szCs w:val="30"/>
          <w:lang w:eastAsia="zh-CN"/>
        </w:rPr>
      </w:pPr>
      <w:r>
        <w:rPr>
          <w:rFonts w:ascii="仿宋_GB2312" w:eastAsia="仿宋_GB2312" w:hint="eastAsia"/>
          <w:sz w:val="30"/>
          <w:szCs w:val="30"/>
        </w:rPr>
        <w:t>中国共产党昆明市盘龙区委员会组织部部门</w:t>
      </w:r>
      <w:r>
        <w:rPr>
          <w:rFonts w:ascii="仿宋_GB2312" w:eastAsia="仿宋_GB2312" w:hint="eastAsia"/>
          <w:sz w:val="30"/>
          <w:szCs w:val="30"/>
          <w:lang w:val="en-US" w:eastAsia="zh-CN"/>
        </w:rPr>
        <w:t>2021</w:t>
      </w:r>
      <w:r>
        <w:rPr>
          <w:rFonts w:ascii="仿宋_GB2312" w:eastAsia="仿宋_GB2312" w:hint="eastAsia"/>
          <w:sz w:val="30"/>
          <w:szCs w:val="30"/>
        </w:rPr>
        <w:t>年度一般公共预算财政拨款“三公”经费支出预算为</w:t>
      </w:r>
      <w:r>
        <w:rPr>
          <w:rFonts w:ascii="仿宋_GB2312" w:eastAsia="仿宋_GB2312" w:hint="eastAsia"/>
          <w:sz w:val="30"/>
          <w:szCs w:val="30"/>
          <w:lang w:val="en-US" w:eastAsia="zh-CN"/>
        </w:rPr>
        <w:t>2.20</w:t>
      </w:r>
      <w:r>
        <w:rPr>
          <w:rFonts w:ascii="仿宋_GB2312" w:eastAsia="仿宋_GB2312" w:hint="eastAsia"/>
          <w:sz w:val="30"/>
          <w:szCs w:val="30"/>
        </w:rPr>
        <w:t>万元，支出决算为</w:t>
      </w:r>
      <w:r>
        <w:rPr>
          <w:rFonts w:ascii="仿宋_GB2312" w:eastAsia="仿宋_GB2312" w:hint="eastAsia"/>
          <w:sz w:val="30"/>
          <w:szCs w:val="30"/>
          <w:lang w:val="en-US" w:eastAsia="zh-CN"/>
        </w:rPr>
        <w:t>2.20</w:t>
      </w:r>
      <w:r>
        <w:rPr>
          <w:rFonts w:ascii="仿宋_GB2312" w:eastAsia="仿宋_GB2312" w:hint="eastAsia"/>
          <w:sz w:val="30"/>
          <w:szCs w:val="30"/>
        </w:rPr>
        <w:t>万元，完成预算的</w:t>
      </w:r>
      <w:r>
        <w:rPr>
          <w:rFonts w:ascii="仿宋_GB2312" w:eastAsia="仿宋_GB2312" w:hint="eastAsia"/>
          <w:sz w:val="30"/>
          <w:szCs w:val="30"/>
          <w:lang w:val="en-US" w:eastAsia="zh-CN"/>
        </w:rPr>
        <w:t>100</w:t>
      </w:r>
      <w:r>
        <w:rPr>
          <w:rFonts w:ascii="仿宋_GB2312" w:eastAsia="仿宋_GB2312" w:hint="eastAsia"/>
          <w:sz w:val="30"/>
          <w:szCs w:val="30"/>
        </w:rPr>
        <w:t>%。其中：因公出国（境）费支出决算为</w:t>
      </w:r>
      <w:r>
        <w:rPr>
          <w:rFonts w:ascii="仿宋_GB2312" w:eastAsia="仿宋_GB2312" w:hint="eastAsia"/>
          <w:sz w:val="30"/>
          <w:szCs w:val="30"/>
          <w:lang w:val="en-US" w:eastAsia="zh-CN"/>
        </w:rPr>
        <w:t>0.00</w:t>
      </w:r>
      <w:r>
        <w:rPr>
          <w:rFonts w:ascii="仿宋_GB2312" w:eastAsia="仿宋_GB2312" w:hint="eastAsia"/>
          <w:sz w:val="30"/>
          <w:szCs w:val="30"/>
        </w:rPr>
        <w:t>万元，完成预算的</w:t>
      </w:r>
      <w:r>
        <w:rPr>
          <w:rFonts w:ascii="仿宋_GB2312" w:eastAsia="仿宋_GB2312" w:hint="eastAsia"/>
          <w:sz w:val="30"/>
          <w:szCs w:val="30"/>
          <w:lang w:val="en-US" w:eastAsia="zh-CN"/>
        </w:rPr>
        <w:t>0.00</w:t>
      </w:r>
      <w:r>
        <w:rPr>
          <w:rFonts w:ascii="仿宋_GB2312" w:eastAsia="仿宋_GB2312" w:hint="eastAsia"/>
          <w:sz w:val="30"/>
          <w:szCs w:val="30"/>
        </w:rPr>
        <w:t>%；公务用车购置及运行费支出决算为</w:t>
      </w:r>
      <w:r>
        <w:rPr>
          <w:rFonts w:ascii="仿宋_GB2312" w:eastAsia="仿宋_GB2312" w:hint="eastAsia"/>
          <w:sz w:val="30"/>
          <w:szCs w:val="30"/>
          <w:lang w:val="en-US" w:eastAsia="zh-CN"/>
        </w:rPr>
        <w:t>2.20</w:t>
      </w:r>
      <w:r>
        <w:rPr>
          <w:rFonts w:ascii="仿宋_GB2312" w:eastAsia="仿宋_GB2312" w:hint="eastAsia"/>
          <w:sz w:val="30"/>
          <w:szCs w:val="30"/>
        </w:rPr>
        <w:t>万元，完成预算的</w:t>
      </w:r>
      <w:r>
        <w:rPr>
          <w:rFonts w:ascii="仿宋_GB2312" w:eastAsia="仿宋_GB2312" w:hint="eastAsia"/>
          <w:sz w:val="30"/>
          <w:szCs w:val="30"/>
          <w:lang w:val="en-US" w:eastAsia="zh-CN"/>
        </w:rPr>
        <w:t>100.00</w:t>
      </w:r>
      <w:r>
        <w:rPr>
          <w:rFonts w:ascii="仿宋_GB2312" w:eastAsia="仿宋_GB2312" w:hint="eastAsia"/>
          <w:sz w:val="30"/>
          <w:szCs w:val="30"/>
        </w:rPr>
        <w:t>%；公务接待费支出决算为</w:t>
      </w:r>
      <w:r>
        <w:rPr>
          <w:rFonts w:ascii="仿宋_GB2312" w:eastAsia="仿宋_GB2312" w:hint="eastAsia"/>
          <w:sz w:val="30"/>
          <w:szCs w:val="30"/>
          <w:lang w:val="en-US" w:eastAsia="zh-CN"/>
        </w:rPr>
        <w:t>0.00</w:t>
      </w:r>
      <w:r>
        <w:rPr>
          <w:rFonts w:ascii="仿宋_GB2312" w:eastAsia="仿宋_GB2312" w:hint="eastAsia"/>
          <w:sz w:val="30"/>
          <w:szCs w:val="30"/>
        </w:rPr>
        <w:t>万元，完成预算的</w:t>
      </w:r>
      <w:r>
        <w:rPr>
          <w:rFonts w:ascii="仿宋_GB2312" w:eastAsia="仿宋_GB2312" w:hint="eastAsia"/>
          <w:sz w:val="30"/>
          <w:szCs w:val="30"/>
          <w:lang w:val="en-US" w:eastAsia="zh-CN"/>
        </w:rPr>
        <w:t>0.00</w:t>
      </w:r>
      <w:r>
        <w:rPr>
          <w:rFonts w:ascii="仿宋_GB2312" w:eastAsia="仿宋_GB2312" w:hint="eastAsia"/>
          <w:sz w:val="30"/>
          <w:szCs w:val="30"/>
        </w:rPr>
        <w:t>%。202</w:t>
      </w:r>
      <w:r>
        <w:rPr>
          <w:rFonts w:ascii="仿宋_GB2312" w:eastAsia="仿宋_GB2312" w:hint="eastAsia"/>
          <w:sz w:val="30"/>
          <w:szCs w:val="30"/>
          <w:lang w:val="en-US" w:eastAsia="zh-CN"/>
        </w:rPr>
        <w:t>1</w:t>
      </w:r>
      <w:r>
        <w:rPr>
          <w:rFonts w:ascii="仿宋_GB2312" w:eastAsia="仿宋_GB2312" w:hint="eastAsia"/>
          <w:sz w:val="30"/>
          <w:szCs w:val="30"/>
        </w:rPr>
        <w:t>年度一般公共预算财政拨款“三公”经费支出决算数等于预算数</w:t>
      </w:r>
      <w:r>
        <w:rPr>
          <w:rFonts w:ascii="仿宋_GB2312" w:eastAsia="仿宋_GB2312" w:hint="eastAsia"/>
          <w:sz w:val="30"/>
          <w:szCs w:val="30"/>
          <w:lang w:eastAsia="zh-CN"/>
        </w:rPr>
        <w:t>。</w:t>
      </w:r>
    </w:p>
    <w:p>
      <w:pPr>
        <w:pStyle w:val="BodyText"/>
        <w:rPr>
          <w:rFonts w:hint="eastAsia"/>
          <w:lang w:val="en-US" w:eastAsia="zh-CN"/>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Times New Roman" w:cs="Times New Roman" w:hint="eastAsia"/>
          <w:color w:val="FF0000"/>
          <w:sz w:val="30"/>
          <w:szCs w:val="30"/>
          <w:lang w:val="en-US" w:eastAsia="zh-CN"/>
        </w:rPr>
      </w:pPr>
      <w:r>
        <w:rPr>
          <w:rFonts w:ascii="仿宋_GB2312" w:eastAsia="仿宋_GB2312" w:hint="eastAsia"/>
          <w:sz w:val="30"/>
          <w:szCs w:val="30"/>
          <w:lang w:val="en-US" w:eastAsia="zh-CN"/>
        </w:rPr>
        <w:t>2021</w:t>
      </w:r>
      <w:r>
        <w:rPr>
          <w:rFonts w:ascii="仿宋_GB2312" w:eastAsia="仿宋_GB2312" w:hint="eastAsia"/>
          <w:sz w:val="30"/>
          <w:szCs w:val="30"/>
        </w:rPr>
        <w:t>年度一般公共预算财政拨款“三公”经费支出决算数比</w:t>
      </w:r>
      <w:r>
        <w:rPr>
          <w:rFonts w:ascii="仿宋_GB2312" w:eastAsia="仿宋_GB2312" w:hint="eastAsia"/>
          <w:sz w:val="30"/>
          <w:szCs w:val="30"/>
          <w:lang w:val="en-US" w:eastAsia="zh-CN"/>
        </w:rPr>
        <w:t>2020</w:t>
      </w:r>
      <w:r>
        <w:rPr>
          <w:rFonts w:ascii="仿宋_GB2312" w:eastAsia="仿宋_GB2312" w:hint="eastAsia"/>
          <w:sz w:val="30"/>
          <w:szCs w:val="30"/>
        </w:rPr>
        <w:t>年增加</w:t>
      </w:r>
      <w:r>
        <w:rPr>
          <w:rFonts w:ascii="仿宋_GB2312" w:eastAsia="仿宋_GB2312" w:hint="eastAsia"/>
          <w:sz w:val="30"/>
          <w:szCs w:val="30"/>
          <w:lang w:val="en-US" w:eastAsia="zh-CN"/>
        </w:rPr>
        <w:t>0.35</w:t>
      </w:r>
      <w:r>
        <w:rPr>
          <w:rFonts w:ascii="仿宋_GB2312" w:eastAsia="仿宋_GB2312" w:hint="eastAsia"/>
          <w:sz w:val="30"/>
          <w:szCs w:val="30"/>
        </w:rPr>
        <w:t>万元，增长</w:t>
      </w:r>
      <w:r>
        <w:rPr>
          <w:rFonts w:ascii="仿宋_GB2312" w:eastAsia="仿宋_GB2312" w:hint="eastAsia"/>
          <w:sz w:val="30"/>
          <w:szCs w:val="30"/>
          <w:lang w:val="en-US" w:eastAsia="zh-CN"/>
        </w:rPr>
        <w:t>18.92</w:t>
      </w:r>
      <w:r>
        <w:rPr>
          <w:rFonts w:ascii="仿宋_GB2312" w:eastAsia="仿宋_GB2312" w:hint="eastAsia"/>
          <w:sz w:val="30"/>
          <w:szCs w:val="30"/>
        </w:rPr>
        <w:t>%。其中：因公出国（境）费支出决算增加</w:t>
      </w:r>
      <w:r>
        <w:rPr>
          <w:rFonts w:ascii="仿宋_GB2312" w:eastAsia="仿宋_GB2312" w:hint="eastAsia"/>
          <w:sz w:val="30"/>
          <w:szCs w:val="30"/>
          <w:lang w:val="en-US" w:eastAsia="zh-CN"/>
        </w:rPr>
        <w:t>0.00</w:t>
      </w:r>
      <w:r>
        <w:rPr>
          <w:rFonts w:ascii="仿宋_GB2312" w:eastAsia="仿宋_GB2312" w:hint="eastAsia"/>
          <w:sz w:val="30"/>
          <w:szCs w:val="30"/>
        </w:rPr>
        <w:t>万元，增长</w:t>
      </w:r>
      <w:r>
        <w:rPr>
          <w:rFonts w:ascii="仿宋_GB2312" w:eastAsia="仿宋_GB2312" w:hint="eastAsia"/>
          <w:sz w:val="30"/>
          <w:szCs w:val="30"/>
          <w:lang w:val="en-US" w:eastAsia="zh-CN"/>
        </w:rPr>
        <w:t>0.00</w:t>
      </w:r>
      <w:r>
        <w:rPr>
          <w:rFonts w:ascii="仿宋_GB2312" w:eastAsia="仿宋_GB2312" w:hint="eastAsia"/>
          <w:sz w:val="30"/>
          <w:szCs w:val="30"/>
        </w:rPr>
        <w:t>%；公务用车购置及运行费支出决算增加</w:t>
      </w:r>
      <w:r>
        <w:rPr>
          <w:rFonts w:ascii="仿宋_GB2312" w:eastAsia="仿宋_GB2312" w:hint="eastAsia"/>
          <w:sz w:val="30"/>
          <w:szCs w:val="30"/>
          <w:lang w:val="en-US" w:eastAsia="zh-CN"/>
        </w:rPr>
        <w:t>0.35</w:t>
      </w:r>
      <w:r>
        <w:rPr>
          <w:rFonts w:ascii="仿宋_GB2312" w:eastAsia="仿宋_GB2312" w:hint="eastAsia"/>
          <w:sz w:val="30"/>
          <w:szCs w:val="30"/>
        </w:rPr>
        <w:t>万元，增长</w:t>
      </w:r>
      <w:r>
        <w:rPr>
          <w:rFonts w:ascii="仿宋_GB2312" w:eastAsia="仿宋_GB2312" w:hint="eastAsia"/>
          <w:sz w:val="30"/>
          <w:szCs w:val="30"/>
          <w:lang w:val="en-US" w:eastAsia="zh-CN"/>
        </w:rPr>
        <w:t>18.92</w:t>
      </w:r>
      <w:r>
        <w:rPr>
          <w:rFonts w:ascii="仿宋_GB2312" w:eastAsia="仿宋_GB2312" w:hint="eastAsia"/>
          <w:sz w:val="30"/>
          <w:szCs w:val="30"/>
        </w:rPr>
        <w:t>%；公务接待费支出决算增加</w:t>
      </w:r>
      <w:r>
        <w:rPr>
          <w:rFonts w:ascii="仿宋_GB2312" w:eastAsia="仿宋_GB2312" w:hint="eastAsia"/>
          <w:sz w:val="30"/>
          <w:szCs w:val="30"/>
          <w:lang w:val="en-US" w:eastAsia="zh-CN"/>
        </w:rPr>
        <w:t>0.00</w:t>
      </w:r>
      <w:r>
        <w:rPr>
          <w:rFonts w:ascii="仿宋_GB2312" w:eastAsia="仿宋_GB2312" w:hint="eastAsia"/>
          <w:sz w:val="30"/>
          <w:szCs w:val="30"/>
        </w:rPr>
        <w:t>万元，增长</w:t>
      </w:r>
      <w:r>
        <w:rPr>
          <w:rFonts w:ascii="仿宋_GB2312" w:eastAsia="仿宋_GB2312" w:hint="eastAsia"/>
          <w:sz w:val="30"/>
          <w:szCs w:val="30"/>
          <w:lang w:val="en-US" w:eastAsia="zh-CN"/>
        </w:rPr>
        <w:t>0.00</w:t>
      </w:r>
      <w:r>
        <w:rPr>
          <w:rFonts w:ascii="仿宋_GB2312" w:eastAsia="仿宋_GB2312" w:hint="eastAsia"/>
          <w:sz w:val="30"/>
          <w:szCs w:val="30"/>
        </w:rPr>
        <w:t>%。</w:t>
      </w:r>
      <w:r>
        <w:rPr>
          <w:rFonts w:ascii="仿宋_GB2312" w:eastAsia="仿宋_GB2312" w:hint="eastAsia"/>
          <w:sz w:val="30"/>
          <w:szCs w:val="30"/>
          <w:lang w:val="en-US" w:eastAsia="zh-CN"/>
        </w:rPr>
        <w:t>2021</w:t>
      </w:r>
      <w:r>
        <w:rPr>
          <w:rFonts w:ascii="仿宋_GB2312" w:eastAsia="仿宋_GB2312" w:hint="eastAsia"/>
          <w:sz w:val="30"/>
          <w:szCs w:val="30"/>
        </w:rPr>
        <w:t>年度一般公共预算财政拨款“三公”经费支出决算增加的主要原因</w:t>
      </w:r>
      <w:r>
        <w:rPr>
          <w:rFonts w:ascii="仿宋_GB2312" w:eastAsia="仿宋_GB2312" w:hint="eastAsia"/>
          <w:sz w:val="30"/>
          <w:szCs w:val="30"/>
          <w:highlight w:val="none"/>
          <w:lang w:val="en-US" w:eastAsia="zh-CN"/>
        </w:rPr>
        <w:t>是：</w:t>
      </w:r>
      <w:r>
        <w:rPr>
          <w:rFonts w:ascii="仿宋_GB2312" w:eastAsia="仿宋_GB2312" w:hint="eastAsia"/>
          <w:color w:val="auto"/>
          <w:sz w:val="30"/>
          <w:szCs w:val="30"/>
          <w:lang w:val="en-US" w:eastAsia="zh-CN"/>
        </w:rPr>
        <w:t>2021年度部分经费补助对象人数增加，如离退休人员临时生活补助经费，全区离退休人员人数比上年增加</w:t>
      </w:r>
      <w:r>
        <w:rPr>
          <w:rFonts w:ascii="仿宋_GB2312" w:eastAsia="仿宋_GB2312" w:hint="eastAsia"/>
          <w:sz w:val="30"/>
          <w:szCs w:val="30"/>
        </w:rPr>
        <w:t>。</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int="eastAsia"/>
          <w:sz w:val="30"/>
          <w:szCs w:val="30"/>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2"/>
        <w:rPr>
          <w:rFonts w:ascii="楷体" w:eastAsia="楷体" w:hAnsi="楷体" w:hint="eastAsia"/>
          <w:sz w:val="30"/>
          <w:szCs w:val="30"/>
        </w:rPr>
      </w:pPr>
      <w:r>
        <w:rPr>
          <w:rFonts w:ascii="楷体" w:eastAsia="楷体" w:hAnsi="楷体" w:hint="eastAsia"/>
          <w:sz w:val="30"/>
          <w:szCs w:val="30"/>
        </w:rPr>
        <w:t>(二)</w:t>
      </w:r>
      <w:r>
        <w:rPr>
          <w:rFonts w:ascii="仿宋_GB2312" w:eastAsia="仿宋_GB2312" w:hint="eastAsia"/>
          <w:sz w:val="30"/>
          <w:szCs w:val="30"/>
        </w:rPr>
        <w:t xml:space="preserve"> </w:t>
      </w:r>
      <w:r>
        <w:rPr>
          <w:rFonts w:ascii="楷体" w:eastAsia="楷体" w:hAnsi="楷体" w:hint="eastAsia"/>
          <w:sz w:val="30"/>
          <w:szCs w:val="30"/>
        </w:rPr>
        <w:t>一般公共预算财政拨款“三公”经费支出决算具体情况</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int="eastAsia"/>
          <w:sz w:val="30"/>
          <w:szCs w:val="30"/>
        </w:rPr>
      </w:pPr>
      <w:r>
        <w:rPr>
          <w:rFonts w:ascii="仿宋_GB2312" w:eastAsia="仿宋_GB2312" w:hint="eastAsia"/>
          <w:sz w:val="30"/>
          <w:szCs w:val="30"/>
          <w:lang w:val="en-US" w:eastAsia="zh-CN"/>
        </w:rPr>
        <w:t>2021</w:t>
      </w:r>
      <w:r>
        <w:rPr>
          <w:rFonts w:ascii="仿宋_GB2312" w:eastAsia="仿宋_GB2312" w:hint="eastAsia"/>
          <w:sz w:val="30"/>
          <w:szCs w:val="30"/>
        </w:rPr>
        <w:t>年度一般公共预算财政拨款“三公”经费支出决算中，因公出国（境）费支出</w:t>
      </w:r>
      <w:r>
        <w:rPr>
          <w:rFonts w:ascii="仿宋_GB2312" w:eastAsia="仿宋_GB2312" w:hint="eastAsia"/>
          <w:sz w:val="30"/>
          <w:szCs w:val="30"/>
          <w:lang w:val="en-US" w:eastAsia="zh-CN"/>
        </w:rPr>
        <w:t>0.00</w:t>
      </w:r>
      <w:r>
        <w:rPr>
          <w:rFonts w:ascii="仿宋_GB2312" w:eastAsia="仿宋_GB2312" w:hint="eastAsia"/>
          <w:sz w:val="30"/>
          <w:szCs w:val="30"/>
        </w:rPr>
        <w:t>万元，占</w:t>
      </w:r>
      <w:r>
        <w:rPr>
          <w:rFonts w:ascii="仿宋_GB2312" w:eastAsia="仿宋_GB2312" w:hint="eastAsia"/>
          <w:sz w:val="30"/>
          <w:szCs w:val="30"/>
          <w:lang w:val="en-US" w:eastAsia="zh-CN"/>
        </w:rPr>
        <w:t>0.00</w:t>
      </w:r>
      <w:r>
        <w:rPr>
          <w:rFonts w:ascii="仿宋_GB2312" w:eastAsia="仿宋_GB2312" w:hint="eastAsia"/>
          <w:sz w:val="30"/>
          <w:szCs w:val="30"/>
        </w:rPr>
        <w:t>%；公务用车购置及运行维护费支出</w:t>
      </w:r>
      <w:r>
        <w:rPr>
          <w:rFonts w:ascii="仿宋_GB2312" w:eastAsia="仿宋_GB2312" w:hint="eastAsia"/>
          <w:sz w:val="30"/>
          <w:szCs w:val="30"/>
          <w:lang w:val="en-US" w:eastAsia="zh-CN"/>
        </w:rPr>
        <w:t>2.20</w:t>
      </w:r>
      <w:r>
        <w:rPr>
          <w:rFonts w:ascii="仿宋_GB2312" w:eastAsia="仿宋_GB2312" w:hint="eastAsia"/>
          <w:sz w:val="30"/>
          <w:szCs w:val="30"/>
        </w:rPr>
        <w:t>万元，占</w:t>
      </w:r>
      <w:r>
        <w:rPr>
          <w:rFonts w:ascii="仿宋_GB2312" w:eastAsia="仿宋_GB2312" w:hint="eastAsia"/>
          <w:sz w:val="30"/>
          <w:szCs w:val="30"/>
          <w:lang w:val="en-US" w:eastAsia="zh-CN"/>
        </w:rPr>
        <w:t>100.00</w:t>
      </w:r>
      <w:r>
        <w:rPr>
          <w:rFonts w:ascii="仿宋_GB2312" w:eastAsia="仿宋_GB2312" w:hint="eastAsia"/>
          <w:sz w:val="30"/>
          <w:szCs w:val="30"/>
        </w:rPr>
        <w:t>%；公务接待费支出</w:t>
      </w:r>
      <w:r>
        <w:rPr>
          <w:rFonts w:ascii="仿宋_GB2312" w:eastAsia="仿宋_GB2312" w:hint="eastAsia"/>
          <w:sz w:val="30"/>
          <w:szCs w:val="30"/>
          <w:lang w:val="en-US" w:eastAsia="zh-CN"/>
        </w:rPr>
        <w:t>0.00</w:t>
      </w:r>
      <w:r>
        <w:rPr>
          <w:rFonts w:ascii="仿宋_GB2312" w:eastAsia="仿宋_GB2312" w:hint="eastAsia"/>
          <w:sz w:val="30"/>
          <w:szCs w:val="30"/>
        </w:rPr>
        <w:t>万元，占</w:t>
      </w:r>
      <w:r>
        <w:rPr>
          <w:rFonts w:ascii="仿宋_GB2312" w:eastAsia="仿宋_GB2312" w:hint="eastAsia"/>
          <w:sz w:val="30"/>
          <w:szCs w:val="30"/>
          <w:lang w:val="en-US" w:eastAsia="zh-CN"/>
        </w:rPr>
        <w:t>0.00</w:t>
      </w:r>
      <w:r>
        <w:rPr>
          <w:rFonts w:ascii="仿宋_GB2312" w:eastAsia="仿宋_GB2312" w:hint="eastAsia"/>
          <w:sz w:val="30"/>
          <w:szCs w:val="30"/>
        </w:rPr>
        <w:t>%。具体情况如下：</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Ansi="Times New Roman" w:cs="Times New Roman" w:hint="eastAsia"/>
          <w:color w:val="FF0000"/>
          <w:sz w:val="30"/>
          <w:szCs w:val="30"/>
          <w:lang w:val="en-US" w:eastAsia="zh-CN"/>
        </w:rPr>
      </w:pPr>
      <w:r>
        <w:rPr>
          <w:rFonts w:ascii="仿宋_GB2312" w:eastAsia="仿宋_GB2312" w:hint="eastAsia"/>
          <w:b/>
          <w:sz w:val="30"/>
          <w:szCs w:val="30"/>
        </w:rPr>
        <w:t>1.因公出国（境）费</w:t>
      </w:r>
      <w:r>
        <w:rPr>
          <w:rFonts w:ascii="仿宋_GB2312" w:eastAsia="仿宋_GB2312" w:hint="eastAsia"/>
          <w:sz w:val="30"/>
          <w:szCs w:val="30"/>
        </w:rPr>
        <w:t>支出</w:t>
      </w:r>
      <w:r>
        <w:rPr>
          <w:rFonts w:ascii="仿宋_GB2312" w:eastAsia="仿宋_GB2312" w:hint="eastAsia"/>
          <w:sz w:val="30"/>
          <w:szCs w:val="30"/>
          <w:lang w:val="en-US" w:eastAsia="zh-CN"/>
        </w:rPr>
        <w:t>0.00</w:t>
      </w:r>
      <w:r>
        <w:rPr>
          <w:rFonts w:ascii="仿宋_GB2312" w:eastAsia="仿宋_GB2312" w:hint="eastAsia"/>
          <w:sz w:val="30"/>
          <w:szCs w:val="30"/>
        </w:rPr>
        <w:t>万元，共安排因公出国（境）团组</w:t>
      </w:r>
      <w:r>
        <w:rPr>
          <w:rFonts w:ascii="仿宋_GB2312" w:eastAsia="仿宋_GB2312" w:hint="eastAsia"/>
          <w:sz w:val="30"/>
          <w:szCs w:val="30"/>
          <w:lang w:val="en-US" w:eastAsia="zh-CN"/>
        </w:rPr>
        <w:t>0</w:t>
      </w:r>
      <w:r>
        <w:rPr>
          <w:rFonts w:ascii="仿宋_GB2312" w:eastAsia="仿宋_GB2312" w:hint="eastAsia"/>
          <w:sz w:val="30"/>
          <w:szCs w:val="30"/>
        </w:rPr>
        <w:t>个，累计</w:t>
      </w:r>
      <w:r>
        <w:rPr>
          <w:rFonts w:ascii="仿宋_GB2312" w:eastAsia="仿宋_GB2312" w:hint="eastAsia"/>
          <w:sz w:val="30"/>
          <w:szCs w:val="30"/>
          <w:lang w:val="en-US" w:eastAsia="zh-CN"/>
        </w:rPr>
        <w:t>0</w:t>
      </w:r>
      <w:r>
        <w:rPr>
          <w:rFonts w:ascii="仿宋_GB2312" w:eastAsia="仿宋_GB2312" w:hint="eastAsia"/>
          <w:sz w:val="30"/>
          <w:szCs w:val="30"/>
        </w:rPr>
        <w:t>人次。</w:t>
      </w:r>
    </w:p>
    <w:p>
      <w:pPr>
        <w:keepNext w:val="0"/>
        <w:keepLines w:val="0"/>
        <w:pageBreakBefore w:val="0"/>
        <w:kinsoku/>
        <w:wordWrap/>
        <w:overflowPunct/>
        <w:topLinePunct w:val="0"/>
        <w:autoSpaceDE/>
        <w:autoSpaceDN/>
        <w:bidi w:val="0"/>
        <w:spacing w:line="600" w:lineRule="exact"/>
        <w:ind w:firstLine="600" w:firstLineChars="200"/>
        <w:rPr>
          <w:rFonts w:ascii="仿宋_GB2312" w:eastAsia="仿宋_GB2312" w:hAnsi="Times New Roman" w:cs="Times New Roman" w:hint="default"/>
          <w:color w:val="FF0000"/>
          <w:sz w:val="30"/>
          <w:szCs w:val="30"/>
          <w:lang w:val="en-US" w:eastAsia="zh-CN"/>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2. 公务用车购置及运行维护费</w:t>
      </w:r>
      <w:r>
        <w:rPr>
          <w:rFonts w:ascii="仿宋_GB2312" w:eastAsia="仿宋_GB2312" w:hint="eastAsia"/>
          <w:sz w:val="30"/>
          <w:szCs w:val="30"/>
        </w:rPr>
        <w:t>支出</w:t>
      </w:r>
      <w:r>
        <w:rPr>
          <w:rFonts w:ascii="仿宋_GB2312" w:eastAsia="仿宋_GB2312" w:hint="eastAsia"/>
          <w:sz w:val="30"/>
          <w:szCs w:val="30"/>
          <w:lang w:val="en-US" w:eastAsia="zh-CN"/>
        </w:rPr>
        <w:t>2.20</w:t>
      </w:r>
      <w:r>
        <w:rPr>
          <w:rFonts w:ascii="仿宋_GB2312" w:eastAsia="仿宋_GB2312" w:hint="eastAsia"/>
          <w:sz w:val="30"/>
          <w:szCs w:val="30"/>
        </w:rPr>
        <w:t>万元。其中：</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公务用车购置</w:t>
      </w:r>
      <w:r>
        <w:rPr>
          <w:rFonts w:ascii="仿宋_GB2312" w:eastAsia="仿宋_GB2312" w:hint="eastAsia"/>
          <w:sz w:val="30"/>
          <w:szCs w:val="30"/>
        </w:rPr>
        <w:t>支出</w:t>
      </w:r>
      <w:r>
        <w:rPr>
          <w:rFonts w:ascii="仿宋_GB2312" w:eastAsia="仿宋_GB2312" w:hint="eastAsia"/>
          <w:sz w:val="30"/>
          <w:szCs w:val="30"/>
          <w:lang w:val="en-US" w:eastAsia="zh-CN"/>
        </w:rPr>
        <w:t>0.00</w:t>
      </w:r>
      <w:r>
        <w:rPr>
          <w:rFonts w:ascii="仿宋_GB2312" w:eastAsia="仿宋_GB2312" w:hint="eastAsia"/>
          <w:sz w:val="30"/>
          <w:szCs w:val="30"/>
        </w:rPr>
        <w:t>万元，购置车辆</w:t>
      </w:r>
      <w:r>
        <w:rPr>
          <w:rFonts w:ascii="仿宋_GB2312" w:eastAsia="仿宋_GB2312" w:hint="eastAsia"/>
          <w:sz w:val="30"/>
          <w:szCs w:val="30"/>
          <w:lang w:val="en-US" w:eastAsia="zh-CN"/>
        </w:rPr>
        <w:t>0.00</w:t>
      </w:r>
      <w:r>
        <w:rPr>
          <w:rFonts w:ascii="仿宋_GB2312" w:eastAsia="仿宋_GB2312" w:hint="eastAsia"/>
          <w:sz w:val="30"/>
          <w:szCs w:val="30"/>
        </w:rPr>
        <w:t>辆。</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Ansi="Times New Roman" w:cs="Times New Roman" w:hint="eastAsia"/>
          <w:color w:val="FF0000"/>
          <w:sz w:val="30"/>
          <w:szCs w:val="30"/>
          <w:lang w:val="en-US" w:eastAsia="zh-CN"/>
        </w:rPr>
      </w:pPr>
      <w:r>
        <w:rPr>
          <w:rFonts w:ascii="仿宋_GB2312" w:eastAsia="仿宋_GB2312" w:hint="eastAsia"/>
          <w:b/>
          <w:sz w:val="30"/>
          <w:szCs w:val="30"/>
        </w:rPr>
        <w:t>公务用车运行维护</w:t>
      </w:r>
      <w:r>
        <w:rPr>
          <w:rFonts w:ascii="仿宋_GB2312" w:eastAsia="仿宋_GB2312" w:hint="eastAsia"/>
          <w:sz w:val="30"/>
          <w:szCs w:val="30"/>
        </w:rPr>
        <w:t>支出</w:t>
      </w:r>
      <w:r>
        <w:rPr>
          <w:rFonts w:ascii="仿宋_GB2312" w:eastAsia="仿宋_GB2312" w:hint="eastAsia"/>
          <w:sz w:val="30"/>
          <w:szCs w:val="30"/>
          <w:lang w:val="en-US" w:eastAsia="zh-CN"/>
        </w:rPr>
        <w:t>2.20</w:t>
      </w:r>
      <w:r>
        <w:rPr>
          <w:rFonts w:ascii="仿宋_GB2312" w:eastAsia="仿宋_GB2312" w:hint="eastAsia"/>
          <w:sz w:val="30"/>
          <w:szCs w:val="30"/>
        </w:rPr>
        <w:t>万元，开支一般公共预算财政拨款的公务用车保有量为</w:t>
      </w:r>
      <w:r>
        <w:rPr>
          <w:rFonts w:ascii="仿宋_GB2312" w:eastAsia="仿宋_GB2312" w:hint="eastAsia"/>
          <w:sz w:val="30"/>
          <w:szCs w:val="30"/>
          <w:lang w:val="en-US" w:eastAsia="zh-CN"/>
        </w:rPr>
        <w:t>1</w:t>
      </w:r>
      <w:r>
        <w:rPr>
          <w:rFonts w:ascii="仿宋_GB2312" w:eastAsia="仿宋_GB2312" w:hint="eastAsia"/>
          <w:sz w:val="30"/>
          <w:szCs w:val="30"/>
        </w:rPr>
        <w:t>辆。主要用于</w:t>
      </w:r>
      <w:r>
        <w:rPr>
          <w:rFonts w:ascii="仿宋_GB2312" w:eastAsia="仿宋_GB2312" w:hint="eastAsia"/>
          <w:sz w:val="30"/>
          <w:szCs w:val="30"/>
          <w:highlight w:val="none"/>
        </w:rPr>
        <w:t>保障</w:t>
      </w:r>
      <w:r>
        <w:rPr>
          <w:rFonts w:ascii="仿宋_GB2312" w:eastAsia="仿宋_GB2312" w:hint="eastAsia"/>
          <w:color w:val="auto"/>
          <w:sz w:val="30"/>
          <w:szCs w:val="30"/>
          <w:lang w:val="en-US" w:eastAsia="zh-CN"/>
        </w:rPr>
        <w:t>组织工作</w:t>
      </w:r>
      <w:r>
        <w:rPr>
          <w:rFonts w:ascii="仿宋_GB2312" w:eastAsia="仿宋_GB2312" w:hint="eastAsia"/>
          <w:sz w:val="30"/>
          <w:szCs w:val="30"/>
        </w:rPr>
        <w:t>所</w:t>
      </w:r>
      <w:r>
        <w:rPr>
          <w:rFonts w:ascii="仿宋_GB2312" w:eastAsia="仿宋_GB2312" w:hint="eastAsia"/>
          <w:sz w:val="30"/>
          <w:szCs w:val="30"/>
          <w:lang w:val="en-US" w:eastAsia="zh-CN"/>
        </w:rPr>
        <w:t>发生的公务用车</w:t>
      </w:r>
      <w:r>
        <w:rPr>
          <w:rFonts w:ascii="仿宋_GB2312" w:eastAsia="仿宋_GB2312" w:hint="eastAsia"/>
          <w:sz w:val="30"/>
          <w:szCs w:val="30"/>
        </w:rPr>
        <w:t>燃料费、维修费、过路过桥费、保险费等。</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3.公务接待费</w:t>
      </w:r>
      <w:r>
        <w:rPr>
          <w:rFonts w:ascii="仿宋_GB2312" w:eastAsia="仿宋_GB2312" w:hint="eastAsia"/>
          <w:sz w:val="30"/>
          <w:szCs w:val="30"/>
        </w:rPr>
        <w:t>支出</w:t>
      </w:r>
      <w:r>
        <w:rPr>
          <w:rFonts w:ascii="仿宋_GB2312" w:eastAsia="仿宋_GB2312" w:hint="eastAsia"/>
          <w:sz w:val="30"/>
          <w:szCs w:val="30"/>
          <w:lang w:val="en-US" w:eastAsia="zh-CN"/>
        </w:rPr>
        <w:t>0.00</w:t>
      </w:r>
      <w:r>
        <w:rPr>
          <w:rFonts w:ascii="仿宋_GB2312" w:eastAsia="仿宋_GB2312" w:hint="eastAsia"/>
          <w:sz w:val="30"/>
          <w:szCs w:val="30"/>
        </w:rPr>
        <w:t>万元。其中：</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国内接待费</w:t>
      </w:r>
      <w:r>
        <w:rPr>
          <w:rFonts w:ascii="仿宋_GB2312" w:eastAsia="仿宋_GB2312" w:hint="eastAsia"/>
          <w:sz w:val="30"/>
          <w:szCs w:val="30"/>
        </w:rPr>
        <w:t>支出</w:t>
      </w:r>
      <w:r>
        <w:rPr>
          <w:rFonts w:ascii="仿宋_GB2312" w:eastAsia="仿宋_GB2312" w:hint="eastAsia"/>
          <w:sz w:val="30"/>
          <w:szCs w:val="30"/>
          <w:lang w:val="en-US" w:eastAsia="zh-CN"/>
        </w:rPr>
        <w:t>0.00</w:t>
      </w:r>
      <w:r>
        <w:rPr>
          <w:rFonts w:ascii="仿宋_GB2312" w:eastAsia="仿宋_GB2312" w:hint="eastAsia"/>
          <w:sz w:val="30"/>
          <w:szCs w:val="30"/>
        </w:rPr>
        <w:t>万元（其中：外事接待费支出</w:t>
      </w:r>
      <w:r>
        <w:rPr>
          <w:rFonts w:ascii="仿宋_GB2312" w:eastAsia="仿宋_GB2312" w:hint="eastAsia"/>
          <w:sz w:val="30"/>
          <w:szCs w:val="30"/>
          <w:lang w:val="en-US" w:eastAsia="zh-CN"/>
        </w:rPr>
        <w:t>0.00</w:t>
      </w:r>
      <w:r>
        <w:rPr>
          <w:rFonts w:ascii="仿宋_GB2312" w:eastAsia="仿宋_GB2312" w:hint="eastAsia"/>
          <w:sz w:val="30"/>
          <w:szCs w:val="30"/>
        </w:rPr>
        <w:t>万元），共安排国内公务接待</w:t>
      </w:r>
      <w:r>
        <w:rPr>
          <w:rFonts w:ascii="仿宋_GB2312" w:eastAsia="仿宋_GB2312" w:hint="eastAsia"/>
          <w:sz w:val="30"/>
          <w:szCs w:val="30"/>
          <w:lang w:val="en-US" w:eastAsia="zh-CN"/>
        </w:rPr>
        <w:t>0.00</w:t>
      </w:r>
      <w:r>
        <w:rPr>
          <w:rFonts w:ascii="仿宋_GB2312" w:eastAsia="仿宋_GB2312" w:hint="eastAsia"/>
          <w:sz w:val="30"/>
          <w:szCs w:val="30"/>
        </w:rPr>
        <w:t>批次（其中：外事接待</w:t>
      </w:r>
      <w:r>
        <w:rPr>
          <w:rFonts w:ascii="仿宋_GB2312" w:eastAsia="仿宋_GB2312" w:hint="eastAsia"/>
          <w:sz w:val="30"/>
          <w:szCs w:val="30"/>
          <w:lang w:val="en-US" w:eastAsia="zh-CN"/>
        </w:rPr>
        <w:t>0.00</w:t>
      </w:r>
      <w:r>
        <w:rPr>
          <w:rFonts w:ascii="仿宋_GB2312" w:eastAsia="仿宋_GB2312" w:hint="eastAsia"/>
          <w:sz w:val="30"/>
          <w:szCs w:val="30"/>
        </w:rPr>
        <w:t>批次），接待人次</w:t>
      </w:r>
      <w:r>
        <w:rPr>
          <w:rFonts w:ascii="仿宋_GB2312" w:eastAsia="仿宋_GB2312" w:hint="eastAsia"/>
          <w:sz w:val="30"/>
          <w:szCs w:val="30"/>
          <w:lang w:val="en-US" w:eastAsia="zh-CN"/>
        </w:rPr>
        <w:t>0.00</w:t>
      </w:r>
      <w:r>
        <w:rPr>
          <w:rFonts w:ascii="仿宋_GB2312" w:eastAsia="仿宋_GB2312" w:hint="eastAsia"/>
          <w:sz w:val="30"/>
          <w:szCs w:val="30"/>
        </w:rPr>
        <w:t>人（其中：外事接待人次</w:t>
      </w:r>
      <w:r>
        <w:rPr>
          <w:rFonts w:ascii="仿宋_GB2312" w:eastAsia="仿宋_GB2312" w:hint="eastAsia"/>
          <w:sz w:val="30"/>
          <w:szCs w:val="30"/>
          <w:lang w:val="en-US" w:eastAsia="zh-CN"/>
        </w:rPr>
        <w:t>0.00</w:t>
      </w:r>
      <w:r>
        <w:rPr>
          <w:rFonts w:ascii="仿宋_GB2312" w:eastAsia="仿宋_GB2312" w:hint="eastAsia"/>
          <w:sz w:val="30"/>
          <w:szCs w:val="30"/>
        </w:rPr>
        <w:t>人）。主要用于</w:t>
      </w:r>
      <w:r>
        <w:rPr>
          <w:rFonts w:ascii="仿宋_GB2312" w:eastAsia="仿宋_GB2312" w:hint="eastAsia"/>
          <w:sz w:val="30"/>
          <w:szCs w:val="30"/>
          <w:highlight w:val="none"/>
          <w:lang w:val="en-US" w:eastAsia="zh-CN"/>
        </w:rPr>
        <w:t>完成</w:t>
      </w:r>
      <w:r>
        <w:rPr>
          <w:rFonts w:ascii="仿宋_GB2312" w:eastAsia="仿宋_GB2312" w:hint="eastAsia"/>
          <w:color w:val="auto"/>
          <w:sz w:val="30"/>
          <w:szCs w:val="30"/>
          <w:lang w:val="en-US" w:eastAsia="zh-CN"/>
        </w:rPr>
        <w:t>组织工作、解决党员困难和问题等</w:t>
      </w:r>
      <w:r>
        <w:rPr>
          <w:rFonts w:ascii="仿宋_GB2312" w:eastAsia="仿宋_GB2312" w:hint="eastAsia"/>
          <w:sz w:val="30"/>
          <w:szCs w:val="30"/>
        </w:rPr>
        <w:t>发生的接待支出。</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rPr>
          <w:rFonts w:ascii="仿宋_GB2312" w:eastAsia="仿宋_GB2312" w:hint="eastAsia"/>
          <w:sz w:val="30"/>
          <w:szCs w:val="30"/>
        </w:rPr>
      </w:pPr>
      <w:r>
        <w:rPr>
          <w:rFonts w:ascii="仿宋_GB2312" w:eastAsia="仿宋_GB2312" w:hint="eastAsia"/>
          <w:b/>
          <w:sz w:val="30"/>
          <w:szCs w:val="30"/>
        </w:rPr>
        <w:t>国（境）外接待费</w:t>
      </w:r>
      <w:r>
        <w:rPr>
          <w:rFonts w:ascii="仿宋_GB2312" w:eastAsia="仿宋_GB2312" w:hint="eastAsia"/>
          <w:sz w:val="30"/>
          <w:szCs w:val="30"/>
        </w:rPr>
        <w:t>支出</w:t>
      </w:r>
      <w:r>
        <w:rPr>
          <w:rFonts w:ascii="仿宋_GB2312" w:eastAsia="仿宋_GB2312" w:hint="eastAsia"/>
          <w:sz w:val="30"/>
          <w:szCs w:val="30"/>
          <w:lang w:val="en-US" w:eastAsia="zh-CN"/>
        </w:rPr>
        <w:t>0.00</w:t>
      </w:r>
      <w:r>
        <w:rPr>
          <w:rFonts w:ascii="仿宋_GB2312" w:eastAsia="仿宋_GB2312" w:hint="eastAsia"/>
          <w:sz w:val="30"/>
          <w:szCs w:val="30"/>
        </w:rPr>
        <w:t>万元，共安排国（境）外公务接待</w:t>
      </w:r>
      <w:r>
        <w:rPr>
          <w:rFonts w:ascii="仿宋_GB2312" w:eastAsia="仿宋_GB2312" w:hint="eastAsia"/>
          <w:sz w:val="30"/>
          <w:szCs w:val="30"/>
          <w:lang w:val="en-US" w:eastAsia="zh-CN"/>
        </w:rPr>
        <w:t>0.00</w:t>
      </w:r>
      <w:r>
        <w:rPr>
          <w:rFonts w:ascii="仿宋_GB2312" w:eastAsia="仿宋_GB2312" w:hint="eastAsia"/>
          <w:sz w:val="30"/>
          <w:szCs w:val="30"/>
        </w:rPr>
        <w:t>批次，接待人次</w:t>
      </w:r>
      <w:r>
        <w:rPr>
          <w:rFonts w:ascii="仿宋_GB2312" w:eastAsia="仿宋_GB2312" w:hint="eastAsia"/>
          <w:sz w:val="30"/>
          <w:szCs w:val="30"/>
          <w:lang w:val="en-US" w:eastAsia="zh-CN"/>
        </w:rPr>
        <w:t>0.00</w:t>
      </w:r>
      <w:r>
        <w:rPr>
          <w:rFonts w:ascii="仿宋_GB2312" w:eastAsia="仿宋_GB2312" w:hint="eastAsia"/>
          <w:sz w:val="30"/>
          <w:szCs w:val="30"/>
        </w:rPr>
        <w:t>人。主要用于</w:t>
      </w:r>
      <w:r>
        <w:rPr>
          <w:rFonts w:ascii="仿宋_GB2312" w:eastAsia="仿宋_GB2312" w:hint="eastAsia"/>
          <w:sz w:val="30"/>
          <w:szCs w:val="30"/>
          <w:highlight w:val="none"/>
          <w:lang w:val="en-US" w:eastAsia="zh-CN"/>
        </w:rPr>
        <w:t>完成</w:t>
      </w:r>
      <w:r>
        <w:rPr>
          <w:rFonts w:ascii="仿宋_GB2312" w:eastAsia="仿宋_GB2312" w:hint="eastAsia"/>
          <w:color w:val="auto"/>
          <w:sz w:val="30"/>
          <w:szCs w:val="30"/>
          <w:lang w:val="en-US" w:eastAsia="zh-CN"/>
        </w:rPr>
        <w:t>组织工作、解决党员困难和问题等</w:t>
      </w:r>
      <w:r>
        <w:rPr>
          <w:rFonts w:ascii="仿宋_GB2312" w:eastAsia="仿宋_GB2312" w:hint="eastAsia"/>
          <w:sz w:val="30"/>
          <w:szCs w:val="30"/>
        </w:rPr>
        <w:t>发生的接待支出。</w:t>
      </w:r>
    </w:p>
    <w:p>
      <w:pPr>
        <w:keepNext w:val="0"/>
        <w:keepLines w:val="0"/>
        <w:pageBreakBefore w:val="0"/>
        <w:numPr>
          <w:ilvl w:val="0"/>
          <w:numId w:val="0"/>
        </w:numPr>
        <w:kinsoku/>
        <w:wordWrap/>
        <w:overflowPunct/>
        <w:topLinePunct w:val="0"/>
        <w:autoSpaceDE/>
        <w:autoSpaceDN/>
        <w:bidi w:val="0"/>
        <w:spacing w:line="600" w:lineRule="exact"/>
        <w:ind w:firstLine="600" w:firstLineChars="200"/>
        <w:rPr>
          <w:rFonts w:ascii="仿宋_GB2312" w:eastAsia="仿宋_GB2312" w:hAnsi="Times New Roman" w:cs="Times New Roman" w:hint="default"/>
          <w:color w:val="FF0000"/>
          <w:sz w:val="30"/>
          <w:szCs w:val="30"/>
          <w:lang w:val="en-US" w:eastAsia="zh-CN"/>
        </w:rPr>
      </w:pPr>
    </w:p>
    <w:p>
      <w:pPr>
        <w:keepNext w:val="0"/>
        <w:keepLines w:val="0"/>
        <w:pageBreakBefore w:val="0"/>
        <w:widowControl/>
        <w:kinsoku/>
        <w:wordWrap/>
        <w:overflowPunct/>
        <w:topLinePunct w:val="0"/>
        <w:autoSpaceDE/>
        <w:autoSpaceDN/>
        <w:bidi w:val="0"/>
        <w:snapToGrid w:val="0"/>
        <w:spacing w:line="360" w:lineRule="auto"/>
        <w:ind w:firstLine="640" w:firstLineChars="200"/>
        <w:jc w:val="left"/>
        <w:outlineLvl w:val="0"/>
        <w:rPr>
          <w:rFonts w:ascii="仿宋_GB2312" w:eastAsia="仿宋_GB2312" w:hint="eastAsia"/>
          <w:sz w:val="32"/>
          <w:szCs w:val="32"/>
        </w:rPr>
      </w:pPr>
      <w:r>
        <w:rPr>
          <w:rFonts w:ascii="黑体" w:eastAsia="黑体" w:hAnsi="黑体" w:cs="方正小标宋简体" w:hint="eastAsia"/>
          <w:sz w:val="32"/>
          <w:szCs w:val="32"/>
        </w:rPr>
        <w:t xml:space="preserve">第四部分  </w:t>
      </w:r>
      <w:r>
        <w:rPr>
          <w:rFonts w:ascii="黑体" w:eastAsia="黑体" w:hAnsi="黑体" w:hint="eastAsia"/>
          <w:sz w:val="32"/>
          <w:szCs w:val="32"/>
        </w:rPr>
        <w:t>其他重要事项及相关口径情况说明</w:t>
      </w:r>
    </w:p>
    <w:p>
      <w:pPr>
        <w:keepNext w:val="0"/>
        <w:keepLines w:val="0"/>
        <w:pageBreakBefore w:val="0"/>
        <w:kinsoku/>
        <w:wordWrap/>
        <w:overflowPunct/>
        <w:topLinePunct w:val="0"/>
        <w:autoSpaceDE/>
        <w:autoSpaceDN/>
        <w:bidi w:val="0"/>
        <w:ind w:firstLine="600" w:firstLineChars="200"/>
        <w:jc w:val="left"/>
        <w:outlineLvl w:val="1"/>
        <w:rPr>
          <w:rFonts w:ascii="黑体" w:eastAsia="黑体" w:hAnsi="黑体" w:cs="黑体" w:hint="eastAsia"/>
          <w:sz w:val="30"/>
          <w:szCs w:val="30"/>
        </w:rPr>
      </w:pPr>
      <w:r>
        <w:rPr>
          <w:rFonts w:ascii="黑体" w:eastAsia="黑体" w:hAnsi="黑体" w:cs="黑体" w:hint="eastAsia"/>
          <w:sz w:val="30"/>
          <w:szCs w:val="30"/>
        </w:rPr>
        <w:t>一</w:t>
      </w:r>
      <w:r>
        <w:rPr>
          <w:rFonts w:ascii="黑体" w:eastAsia="黑体" w:hAnsi="黑体" w:cs="黑体" w:hint="eastAsia"/>
          <w:sz w:val="30"/>
          <w:szCs w:val="30"/>
          <w:lang w:eastAsia="zh-CN"/>
        </w:rPr>
        <w:t>、</w:t>
      </w:r>
      <w:r>
        <w:rPr>
          <w:rFonts w:ascii="黑体" w:eastAsia="黑体" w:hAnsi="黑体" w:cs="黑体" w:hint="eastAsia"/>
          <w:sz w:val="30"/>
          <w:szCs w:val="30"/>
        </w:rPr>
        <w:t>机关运行经费支出情况</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sz w:val="30"/>
          <w:szCs w:val="30"/>
        </w:rPr>
      </w:pPr>
      <w:r>
        <w:rPr>
          <w:rFonts w:ascii="仿宋_GB2312" w:eastAsia="仿宋_GB2312" w:hint="eastAsia"/>
          <w:sz w:val="30"/>
          <w:szCs w:val="30"/>
        </w:rPr>
        <w:t>中国共产党昆明市盘龙区委员会组织部</w:t>
      </w:r>
      <w:r>
        <w:rPr>
          <w:rFonts w:ascii="仿宋_GB2312" w:eastAsia="仿宋_GB2312" w:hAnsi="黑体" w:cs="方正小标宋简体" w:hint="eastAsia"/>
          <w:sz w:val="30"/>
          <w:szCs w:val="30"/>
        </w:rPr>
        <w:t>部门</w:t>
      </w:r>
      <w:r>
        <w:rPr>
          <w:rFonts w:ascii="仿宋_GB2312" w:eastAsia="仿宋_GB2312" w:hAnsi="黑体" w:cs="方正小标宋简体" w:hint="eastAsia"/>
          <w:sz w:val="30"/>
          <w:szCs w:val="30"/>
          <w:lang w:val="en-US" w:eastAsia="zh-CN"/>
        </w:rPr>
        <w:t>2021</w:t>
      </w:r>
      <w:r>
        <w:rPr>
          <w:rFonts w:ascii="仿宋_GB2312" w:eastAsia="仿宋_GB2312" w:hAnsi="黑体" w:cs="方正小标宋简体" w:hint="eastAsia"/>
          <w:sz w:val="30"/>
          <w:szCs w:val="30"/>
        </w:rPr>
        <w:t>年机关运行经费支出</w:t>
      </w:r>
      <w:r>
        <w:rPr>
          <w:rFonts w:ascii="仿宋_GB2312" w:eastAsia="仿宋_GB2312" w:hint="eastAsia"/>
          <w:sz w:val="30"/>
          <w:szCs w:val="30"/>
          <w:lang w:val="en-US" w:eastAsia="zh-CN"/>
        </w:rPr>
        <w:t>77.21</w:t>
      </w:r>
      <w:r>
        <w:rPr>
          <w:rFonts w:ascii="仿宋_GB2312" w:eastAsia="仿宋_GB2312" w:hAnsi="黑体" w:cs="方正小标宋简体" w:hint="eastAsia"/>
          <w:sz w:val="30"/>
          <w:szCs w:val="30"/>
        </w:rPr>
        <w:t>万元，</w:t>
      </w:r>
      <w:r>
        <w:rPr>
          <w:rFonts w:ascii="仿宋_GB2312" w:eastAsia="仿宋_GB2312" w:hint="eastAsia"/>
          <w:sz w:val="30"/>
          <w:szCs w:val="30"/>
          <w:lang w:val="en-US" w:eastAsia="zh-CN"/>
        </w:rPr>
        <w:t>与上年对比</w:t>
      </w:r>
      <w:r>
        <w:rPr>
          <w:rFonts w:ascii="仿宋_GB2312" w:eastAsia="仿宋_GB2312" w:hint="eastAsia"/>
          <w:color w:val="auto"/>
          <w:sz w:val="30"/>
          <w:szCs w:val="30"/>
          <w:lang w:eastAsia="zh-CN"/>
        </w:rPr>
        <w:t>减少</w:t>
      </w:r>
      <w:r>
        <w:rPr>
          <w:rFonts w:ascii="仿宋_GB2312" w:eastAsia="仿宋_GB2312" w:hint="eastAsia"/>
          <w:color w:val="auto"/>
          <w:sz w:val="30"/>
          <w:szCs w:val="30"/>
          <w:lang w:val="en-US" w:eastAsia="zh-CN"/>
        </w:rPr>
        <w:t>1.88</w:t>
      </w:r>
      <w:r>
        <w:rPr>
          <w:rFonts w:ascii="仿宋_GB2312" w:eastAsia="仿宋_GB2312" w:hint="eastAsia"/>
          <w:color w:val="auto"/>
          <w:sz w:val="30"/>
          <w:szCs w:val="30"/>
        </w:rPr>
        <w:t>万元，主要原因</w:t>
      </w:r>
      <w:r>
        <w:rPr>
          <w:rFonts w:ascii="仿宋_GB2312" w:eastAsia="仿宋_GB2312" w:hint="eastAsia"/>
          <w:color w:val="auto"/>
          <w:sz w:val="30"/>
          <w:szCs w:val="30"/>
          <w:lang w:val="en-US" w:eastAsia="zh-CN"/>
        </w:rPr>
        <w:t>是：</w:t>
      </w:r>
      <w:r>
        <w:rPr>
          <w:rFonts w:ascii="仿宋_GB2312" w:eastAsia="仿宋_GB2312" w:hAnsi="微软雅黑" w:cs="仿宋_GB2312" w:hint="eastAsia"/>
          <w:i w:val="0"/>
          <w:iCs w:val="0"/>
          <w:caps w:val="0"/>
          <w:spacing w:val="0"/>
          <w:kern w:val="0"/>
          <w:sz w:val="30"/>
          <w:szCs w:val="30"/>
          <w:shd w:val="clear" w:color="auto" w:fill="FFFFFF"/>
        </w:rPr>
        <w:t>单位厉行节约，严格控制经费支出</w:t>
      </w:r>
      <w:r>
        <w:rPr>
          <w:rFonts w:ascii="仿宋_GB2312" w:eastAsia="仿宋_GB2312" w:hAnsi="黑体" w:cs="方正小标宋简体" w:hint="eastAsia"/>
          <w:sz w:val="30"/>
          <w:szCs w:val="30"/>
        </w:rPr>
        <w:t>。部门机关运行经费主要用于</w:t>
      </w:r>
      <w:r>
        <w:rPr>
          <w:rFonts w:ascii="仿宋_GB2312" w:eastAsia="仿宋_GB2312" w:hint="eastAsia"/>
          <w:color w:val="auto"/>
          <w:sz w:val="30"/>
          <w:szCs w:val="30"/>
          <w:lang w:val="en-US" w:eastAsia="zh-CN"/>
        </w:rPr>
        <w:t>日常公用经费支出，包括：办公费、水费、电费、邮电费、培训费、劳务费、委托业务费、工会经费、福利费、公务用车运行维护费等</w:t>
      </w:r>
      <w:r>
        <w:rPr>
          <w:rFonts w:ascii="仿宋_GB2312" w:eastAsia="仿宋_GB2312" w:hAnsi="黑体" w:cs="方正小标宋简体" w:hint="eastAsia"/>
          <w:sz w:val="30"/>
          <w:szCs w:val="30"/>
        </w:rPr>
        <w:t>。</w:t>
      </w:r>
    </w:p>
    <w:p>
      <w:pPr>
        <w:keepNext w:val="0"/>
        <w:keepLines w:val="0"/>
        <w:pageBreakBefore w:val="0"/>
        <w:numPr>
          <w:ilvl w:val="0"/>
          <w:numId w:val="0"/>
        </w:numPr>
        <w:kinsoku/>
        <w:wordWrap/>
        <w:overflowPunct/>
        <w:topLinePunct w:val="0"/>
        <w:autoSpaceDE/>
        <w:autoSpaceDN/>
        <w:bidi w:val="0"/>
        <w:spacing w:line="600" w:lineRule="exact"/>
        <w:ind w:firstLine="600" w:firstLineChars="200"/>
        <w:rPr>
          <w:rFonts w:ascii="仿宋_GB2312" w:eastAsia="仿宋_GB2312" w:hAnsi="Times New Roman" w:cs="Times New Roman" w:hint="default"/>
          <w:color w:val="FF0000"/>
          <w:sz w:val="30"/>
          <w:szCs w:val="30"/>
          <w:lang w:val="en-US" w:eastAsia="zh-CN"/>
        </w:rPr>
      </w:pPr>
    </w:p>
    <w:p>
      <w:pPr>
        <w:keepNext w:val="0"/>
        <w:keepLines w:val="0"/>
        <w:pageBreakBefore w:val="0"/>
        <w:widowControl/>
        <w:kinsoku/>
        <w:wordWrap/>
        <w:overflowPunct/>
        <w:topLinePunct w:val="0"/>
        <w:autoSpaceDE/>
        <w:autoSpaceDN/>
        <w:bidi w:val="0"/>
        <w:ind w:firstLine="600" w:firstLineChars="200"/>
        <w:outlineLvl w:val="1"/>
        <w:rPr>
          <w:rFonts w:ascii="黑体" w:eastAsia="黑体" w:hAnsi="黑体" w:cs="黑体" w:hint="eastAsia"/>
          <w:color w:val="000000"/>
          <w:kern w:val="0"/>
          <w:sz w:val="30"/>
          <w:szCs w:val="30"/>
        </w:rPr>
      </w:pPr>
      <w:r>
        <w:rPr>
          <w:rFonts w:ascii="黑体" w:eastAsia="黑体" w:hAnsi="黑体" w:cs="黑体" w:hint="eastAsia"/>
          <w:color w:val="000000"/>
          <w:kern w:val="0"/>
          <w:sz w:val="30"/>
          <w:szCs w:val="30"/>
          <w:lang w:eastAsia="zh-CN"/>
        </w:rPr>
        <w:t>二、</w:t>
      </w:r>
      <w:r>
        <w:rPr>
          <w:rFonts w:ascii="黑体" w:eastAsia="黑体" w:hAnsi="黑体" w:cs="黑体" w:hint="eastAsia"/>
          <w:color w:val="000000"/>
          <w:kern w:val="0"/>
          <w:sz w:val="30"/>
          <w:szCs w:val="30"/>
        </w:rPr>
        <w:t>国有资产占用情况</w:t>
      </w:r>
    </w:p>
    <w:p>
      <w:pPr>
        <w:keepNext w:val="0"/>
        <w:keepLines w:val="0"/>
        <w:pageBreakBefore w:val="0"/>
        <w:widowControl/>
        <w:kinsoku/>
        <w:wordWrap/>
        <w:overflowPunct/>
        <w:topLinePunct w:val="0"/>
        <w:autoSpaceDE/>
        <w:autoSpaceDN/>
        <w:bidi w:val="0"/>
        <w:ind w:firstLine="600" w:firstLineChars="200"/>
        <w:rPr>
          <w:rFonts w:ascii="仿宋_GB2312" w:eastAsia="仿宋_GB2312" w:hAnsi="黑体" w:cs="方正小标宋简体" w:hint="eastAsia"/>
          <w:color w:val="000000"/>
          <w:kern w:val="0"/>
          <w:sz w:val="30"/>
          <w:szCs w:val="30"/>
        </w:rPr>
      </w:pPr>
      <w:r>
        <w:rPr>
          <w:rFonts w:ascii="仿宋_GB2312" w:eastAsia="仿宋_GB2312" w:hAnsi="黑体" w:cs="方正小标宋简体" w:hint="eastAsia"/>
          <w:color w:val="000000"/>
          <w:kern w:val="0"/>
          <w:sz w:val="30"/>
          <w:szCs w:val="30"/>
        </w:rPr>
        <w:t>截至</w:t>
      </w:r>
      <w:r>
        <w:rPr>
          <w:rFonts w:ascii="仿宋_GB2312" w:eastAsia="仿宋_GB2312" w:hAnsi="黑体" w:cs="方正小标宋简体" w:hint="eastAsia"/>
          <w:color w:val="000000"/>
          <w:kern w:val="0"/>
          <w:sz w:val="30"/>
          <w:szCs w:val="30"/>
          <w:lang w:val="en-US" w:eastAsia="zh-CN"/>
        </w:rPr>
        <w:t>2021</w:t>
      </w:r>
      <w:r>
        <w:rPr>
          <w:rFonts w:ascii="仿宋_GB2312" w:eastAsia="仿宋_GB2312" w:hAnsi="黑体" w:cs="方正小标宋简体" w:hint="eastAsia"/>
          <w:color w:val="000000"/>
          <w:kern w:val="0"/>
          <w:sz w:val="30"/>
          <w:szCs w:val="30"/>
        </w:rPr>
        <w:t>年</w:t>
      </w:r>
      <w:r>
        <w:rPr>
          <w:rFonts w:ascii="仿宋_GB2312" w:eastAsia="仿宋_GB2312" w:hAnsi="黑体" w:cs="方正小标宋简体" w:hint="eastAsia"/>
          <w:color w:val="000000"/>
          <w:kern w:val="0"/>
          <w:sz w:val="30"/>
          <w:szCs w:val="30"/>
          <w:lang w:val="en-US" w:eastAsia="zh-CN"/>
        </w:rPr>
        <w:t>12</w:t>
      </w:r>
      <w:r>
        <w:rPr>
          <w:rFonts w:ascii="仿宋_GB2312" w:eastAsia="仿宋_GB2312" w:hAnsi="黑体" w:cs="方正小标宋简体" w:hint="eastAsia"/>
          <w:color w:val="000000"/>
          <w:kern w:val="0"/>
          <w:sz w:val="30"/>
          <w:szCs w:val="30"/>
        </w:rPr>
        <w:t>月</w:t>
      </w:r>
      <w:r>
        <w:rPr>
          <w:rFonts w:ascii="仿宋_GB2312" w:eastAsia="仿宋_GB2312" w:hAnsi="黑体" w:cs="方正小标宋简体" w:hint="eastAsia"/>
          <w:color w:val="000000"/>
          <w:kern w:val="0"/>
          <w:sz w:val="30"/>
          <w:szCs w:val="30"/>
          <w:lang w:val="en-US" w:eastAsia="zh-CN"/>
        </w:rPr>
        <w:t>31</w:t>
      </w:r>
      <w:r>
        <w:rPr>
          <w:rFonts w:ascii="仿宋_GB2312" w:eastAsia="仿宋_GB2312" w:hAnsi="黑体" w:cs="方正小标宋简体" w:hint="eastAsia"/>
          <w:color w:val="000000"/>
          <w:kern w:val="0"/>
          <w:sz w:val="30"/>
          <w:szCs w:val="30"/>
        </w:rPr>
        <w:t>日，</w:t>
      </w:r>
      <w:r>
        <w:rPr>
          <w:rFonts w:ascii="仿宋_GB2312" w:eastAsia="仿宋_GB2312" w:hint="eastAsia"/>
          <w:sz w:val="30"/>
          <w:szCs w:val="30"/>
        </w:rPr>
        <w:t>中国共产党昆明市盘龙区委员会组织部</w:t>
      </w:r>
      <w:r>
        <w:rPr>
          <w:rFonts w:ascii="仿宋_GB2312" w:eastAsia="仿宋_GB2312" w:hAnsi="黑体" w:cs="方正小标宋简体" w:hint="eastAsia"/>
          <w:color w:val="000000"/>
          <w:kern w:val="0"/>
          <w:sz w:val="30"/>
          <w:szCs w:val="30"/>
        </w:rPr>
        <w:t>部门资产总额</w:t>
      </w:r>
      <w:r>
        <w:rPr>
          <w:rFonts w:ascii="仿宋_GB2312" w:eastAsia="仿宋_GB2312" w:hAnsi="黑体" w:cs="方正小标宋简体" w:hint="eastAsia"/>
          <w:color w:val="000000"/>
          <w:kern w:val="0"/>
          <w:sz w:val="30"/>
          <w:szCs w:val="30"/>
          <w:lang w:val="en-US" w:eastAsia="zh-CN"/>
        </w:rPr>
        <w:t>692.97</w:t>
      </w:r>
      <w:r>
        <w:rPr>
          <w:rFonts w:ascii="仿宋_GB2312" w:eastAsia="仿宋_GB2312" w:hAnsi="黑体" w:cs="方正小标宋简体" w:hint="eastAsia"/>
          <w:color w:val="000000"/>
          <w:kern w:val="0"/>
          <w:sz w:val="30"/>
          <w:szCs w:val="30"/>
        </w:rPr>
        <w:t>万元，其中，流动资产</w:t>
      </w:r>
      <w:r>
        <w:rPr>
          <w:rFonts w:ascii="仿宋_GB2312" w:eastAsia="仿宋_GB2312" w:hAnsi="黑体" w:cs="方正小标宋简体" w:hint="eastAsia"/>
          <w:color w:val="000000"/>
          <w:kern w:val="0"/>
          <w:sz w:val="30"/>
          <w:szCs w:val="30"/>
          <w:lang w:val="en-US" w:eastAsia="zh-CN"/>
        </w:rPr>
        <w:t>328.93</w:t>
      </w:r>
      <w:r>
        <w:rPr>
          <w:rFonts w:ascii="仿宋_GB2312" w:eastAsia="仿宋_GB2312" w:hAnsi="黑体" w:cs="方正小标宋简体" w:hint="eastAsia"/>
          <w:color w:val="000000"/>
          <w:kern w:val="0"/>
          <w:sz w:val="30"/>
          <w:szCs w:val="30"/>
        </w:rPr>
        <w:t>万元，固定资产</w:t>
      </w:r>
      <w:r>
        <w:rPr>
          <w:rFonts w:ascii="仿宋_GB2312" w:eastAsia="仿宋_GB2312" w:hAnsi="黑体" w:cs="方正小标宋简体" w:hint="eastAsia"/>
          <w:color w:val="000000"/>
          <w:kern w:val="0"/>
          <w:sz w:val="30"/>
          <w:szCs w:val="30"/>
          <w:lang w:val="en-US" w:eastAsia="zh-CN"/>
        </w:rPr>
        <w:t>364.04</w:t>
      </w:r>
      <w:r>
        <w:rPr>
          <w:rFonts w:ascii="仿宋_GB2312" w:eastAsia="仿宋_GB2312" w:hAnsi="黑体" w:cs="方正小标宋简体" w:hint="eastAsia"/>
          <w:color w:val="000000"/>
          <w:kern w:val="0"/>
          <w:sz w:val="30"/>
          <w:szCs w:val="30"/>
        </w:rPr>
        <w:t>万元，对外投资及有价证券</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万元，在建工程</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万元，无形资产</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万元，其他资产</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万元（具体内容详见附表）。与上年相比，本年资产总额</w:t>
      </w:r>
      <w:r>
        <w:rPr>
          <w:rFonts w:ascii="仿宋_GB2312" w:eastAsia="仿宋_GB2312" w:hAnsi="黑体" w:cs="方正小标宋简体" w:hint="eastAsia"/>
          <w:color w:val="000000"/>
          <w:kern w:val="0"/>
          <w:sz w:val="30"/>
          <w:szCs w:val="30"/>
          <w:lang w:eastAsia="zh-CN"/>
        </w:rPr>
        <w:t>减少</w:t>
      </w:r>
      <w:r>
        <w:rPr>
          <w:rFonts w:ascii="仿宋_GB2312" w:eastAsia="仿宋_GB2312" w:hAnsi="黑体" w:cs="方正小标宋简体" w:hint="eastAsia"/>
          <w:color w:val="000000"/>
          <w:kern w:val="0"/>
          <w:sz w:val="30"/>
          <w:szCs w:val="30"/>
          <w:lang w:val="en-US" w:eastAsia="zh-CN"/>
        </w:rPr>
        <w:t>154.45</w:t>
      </w:r>
      <w:r>
        <w:rPr>
          <w:rFonts w:ascii="仿宋_GB2312" w:eastAsia="仿宋_GB2312" w:hAnsi="黑体" w:cs="方正小标宋简体" w:hint="eastAsia"/>
          <w:color w:val="000000"/>
          <w:kern w:val="0"/>
          <w:sz w:val="30"/>
          <w:szCs w:val="30"/>
        </w:rPr>
        <w:t>万元，其中固定资产增加</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万元。处置房屋建筑物</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平方米，账面原值</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万元；处置车辆</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辆，账面原值</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万元；报废报损资产</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项，账面原值</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万元，实现资产处置收入</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万元；出租房屋</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平方米，账面原值</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万元，实现资产使用收入</w:t>
      </w:r>
      <w:r>
        <w:rPr>
          <w:rFonts w:ascii="仿宋_GB2312" w:eastAsia="仿宋_GB2312" w:hAnsi="黑体" w:cs="方正小标宋简体" w:hint="eastAsia"/>
          <w:color w:val="000000"/>
          <w:kern w:val="0"/>
          <w:sz w:val="30"/>
          <w:szCs w:val="30"/>
          <w:lang w:val="en-US" w:eastAsia="zh-CN"/>
        </w:rPr>
        <w:t>0.00</w:t>
      </w:r>
      <w:r>
        <w:rPr>
          <w:rFonts w:ascii="仿宋_GB2312" w:eastAsia="仿宋_GB2312" w:hAnsi="黑体" w:cs="方正小标宋简体" w:hint="eastAsia"/>
          <w:color w:val="000000"/>
          <w:kern w:val="0"/>
          <w:sz w:val="30"/>
          <w:szCs w:val="30"/>
        </w:rPr>
        <w:t>万元。</w:t>
      </w:r>
    </w:p>
    <w:tbl>
      <w:tblPr>
        <w:tblStyle w:val="TableNormal"/>
        <w:tblpPr w:leftFromText="180" w:rightFromText="180" w:topFromText="100" w:bottomFromText="100" w:vertAnchor="text" w:horzAnchor="page" w:tblpX="534" w:tblpY="490"/>
        <w:tblOverlap w:val="never"/>
        <w:tblW w:w="10770" w:type="dxa"/>
        <w:tblInd w:w="0" w:type="dxa"/>
        <w:tblLayout w:type="fixed"/>
        <w:tblCellMar>
          <w:top w:w="0" w:type="dxa"/>
          <w:left w:w="0" w:type="dxa"/>
          <w:bottom w:w="0" w:type="dxa"/>
          <w:right w:w="0" w:type="dxa"/>
        </w:tblCellMar>
      </w:tblPr>
      <w:tblGrid>
        <w:gridCol w:w="715"/>
        <w:gridCol w:w="546"/>
        <w:gridCol w:w="700"/>
        <w:gridCol w:w="684"/>
        <w:gridCol w:w="701"/>
        <w:gridCol w:w="498"/>
        <w:gridCol w:w="769"/>
        <w:gridCol w:w="67"/>
        <w:gridCol w:w="865"/>
        <w:gridCol w:w="331"/>
        <w:gridCol w:w="643"/>
        <w:gridCol w:w="196"/>
        <w:gridCol w:w="978"/>
        <w:gridCol w:w="979"/>
        <w:gridCol w:w="360"/>
        <w:gridCol w:w="618"/>
        <w:gridCol w:w="360"/>
        <w:gridCol w:w="142"/>
        <w:gridCol w:w="476"/>
        <w:gridCol w:w="142"/>
      </w:tblGrid>
      <w:tr>
        <w:tblPrEx>
          <w:tblW w:w="10770" w:type="dxa"/>
          <w:tblInd w:w="0" w:type="dxa"/>
          <w:tblLayout w:type="fixed"/>
          <w:tblCellMar>
            <w:top w:w="0" w:type="dxa"/>
            <w:left w:w="0" w:type="dxa"/>
            <w:bottom w:w="0" w:type="dxa"/>
            <w:right w:w="0" w:type="dxa"/>
          </w:tblCellMar>
        </w:tblPrEx>
        <w:trPr>
          <w:trHeight w:val="495"/>
        </w:trPr>
        <w:tc>
          <w:tcPr>
            <w:tcW w:w="10628" w:type="dxa"/>
            <w:gridSpan w:val="19"/>
            <w:tcBorders>
              <w:top w:val="nil"/>
              <w:left w:val="nil"/>
              <w:bottom w:val="nil"/>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仿宋_GB2312" w:eastAsia="仿宋_GB2312" w:hAnsi="方正小标宋_GBK" w:cs="方正小标宋_GBK" w:hint="eastAsia"/>
                <w:b/>
                <w:color w:val="000000"/>
                <w:kern w:val="0"/>
                <w:sz w:val="30"/>
                <w:szCs w:val="30"/>
                <w:lang w:bidi="ar"/>
              </w:rPr>
              <w:t>国有资产占有使用情况表</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trHeight w:val="347"/>
        </w:trPr>
        <w:tc>
          <w:tcPr>
            <w:tcW w:w="4680" w:type="dxa"/>
            <w:gridSpan w:val="8"/>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textAlignment w:val="center"/>
              <w:rPr>
                <w:rFonts w:ascii="宋体" w:hAnsi="宋体" w:cs="宋体"/>
                <w:color w:val="000000"/>
                <w:kern w:val="0"/>
                <w:sz w:val="24"/>
                <w:szCs w:val="24"/>
              </w:rPr>
            </w:pPr>
            <w:r>
              <w:rPr>
                <w:rFonts w:ascii="宋体" w:hAnsi="宋体" w:cs="宋体" w:hint="eastAsia"/>
                <w:color w:val="000000"/>
                <w:kern w:val="0"/>
                <w:sz w:val="20"/>
                <w:szCs w:val="20"/>
              </w:rPr>
              <w:t> </w:t>
            </w:r>
          </w:p>
        </w:tc>
        <w:tc>
          <w:tcPr>
            <w:tcW w:w="865"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974" w:type="dxa"/>
            <w:gridSpan w:val="2"/>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196"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978"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979" w:type="dxa"/>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1956" w:type="dxa"/>
            <w:gridSpan w:val="5"/>
            <w:tcBorders>
              <w:top w:val="nil"/>
              <w:left w:val="nil"/>
              <w:bottom w:val="single" w:sz="4" w:space="0" w:color="808080"/>
              <w:right w:val="nil"/>
            </w:tcBorders>
            <w:shd w:val="clear" w:color="auto" w:fill="FFFFFF"/>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单位：万元</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trHeight w:val="415"/>
        </w:trPr>
        <w:tc>
          <w:tcPr>
            <w:tcW w:w="715"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项目</w:t>
            </w:r>
          </w:p>
        </w:tc>
        <w:tc>
          <w:tcPr>
            <w:tcW w:w="546"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行次</w:t>
            </w:r>
          </w:p>
        </w:tc>
        <w:tc>
          <w:tcPr>
            <w:tcW w:w="700"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资产总额</w:t>
            </w:r>
          </w:p>
        </w:tc>
        <w:tc>
          <w:tcPr>
            <w:tcW w:w="684"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流动资产</w:t>
            </w:r>
          </w:p>
        </w:tc>
        <w:tc>
          <w:tcPr>
            <w:tcW w:w="4070" w:type="dxa"/>
            <w:gridSpan w:val="8"/>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固定资产</w:t>
            </w:r>
          </w:p>
        </w:tc>
        <w:tc>
          <w:tcPr>
            <w:tcW w:w="978"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对外投资/有价证券</w:t>
            </w:r>
          </w:p>
        </w:tc>
        <w:tc>
          <w:tcPr>
            <w:tcW w:w="979"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在建工程</w:t>
            </w:r>
          </w:p>
        </w:tc>
        <w:tc>
          <w:tcPr>
            <w:tcW w:w="978" w:type="dxa"/>
            <w:gridSpan w:val="2"/>
            <w:vMerge w:val="restart"/>
            <w:tcBorders>
              <w:top w:val="nil"/>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无形资产</w:t>
            </w:r>
          </w:p>
        </w:tc>
        <w:tc>
          <w:tcPr>
            <w:tcW w:w="978" w:type="dxa"/>
            <w:gridSpan w:val="3"/>
            <w:vMerge w:val="restart"/>
            <w:tcBorders>
              <w:top w:val="nil"/>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其他资产</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trHeight w:val="345"/>
        </w:trPr>
        <w:tc>
          <w:tcPr>
            <w:tcW w:w="715"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546"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0"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684"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1"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小计</w:t>
            </w:r>
          </w:p>
        </w:tc>
        <w:tc>
          <w:tcPr>
            <w:tcW w:w="498"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房屋构筑物</w:t>
            </w:r>
          </w:p>
        </w:tc>
        <w:tc>
          <w:tcPr>
            <w:tcW w:w="769" w:type="dxa"/>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车辆</w:t>
            </w:r>
          </w:p>
        </w:tc>
        <w:tc>
          <w:tcPr>
            <w:tcW w:w="1263" w:type="dxa"/>
            <w:gridSpan w:val="3"/>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单价200万以上大型设备</w:t>
            </w:r>
          </w:p>
        </w:tc>
        <w:tc>
          <w:tcPr>
            <w:tcW w:w="839" w:type="dxa"/>
            <w:gridSpan w:val="2"/>
            <w:vMerge w:val="restart"/>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其他固定资产</w:t>
            </w:r>
          </w:p>
        </w:tc>
        <w:tc>
          <w:tcPr>
            <w:tcW w:w="978"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9"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2"/>
            <w:vMerge/>
            <w:tcBorders>
              <w:top w:val="nil"/>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3"/>
            <w:vMerge/>
            <w:tcBorders>
              <w:top w:val="nil"/>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trHeight w:val="395"/>
        </w:trPr>
        <w:tc>
          <w:tcPr>
            <w:tcW w:w="715"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546"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0"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684"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01"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498"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769"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263" w:type="dxa"/>
            <w:gridSpan w:val="3"/>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839" w:type="dxa"/>
            <w:gridSpan w:val="2"/>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9" w:type="dxa"/>
            <w:vMerge/>
            <w:tcBorders>
              <w:top w:val="single" w:sz="4" w:space="0" w:color="000000"/>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2"/>
            <w:vMerge/>
            <w:tcBorders>
              <w:top w:val="nil"/>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978" w:type="dxa"/>
            <w:gridSpan w:val="3"/>
            <w:vMerge/>
            <w:tcBorders>
              <w:top w:val="nil"/>
              <w:left w:val="single" w:sz="4" w:space="0" w:color="000000"/>
              <w:bottom w:val="single" w:sz="4" w:space="0" w:color="000000"/>
              <w:right w:val="single" w:sz="4" w:space="0" w:color="000000"/>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trHeight w:val="594"/>
        </w:trPr>
        <w:tc>
          <w:tcPr>
            <w:tcW w:w="715"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栏次</w:t>
            </w:r>
          </w:p>
        </w:tc>
        <w:tc>
          <w:tcPr>
            <w:tcW w:w="546"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宋体" w:hAnsi="宋体" w:cs="宋体" w:hint="eastAsia"/>
                <w:color w:val="000000"/>
                <w:kern w:val="0"/>
                <w:sz w:val="20"/>
                <w:szCs w:val="20"/>
              </w:rPr>
              <w:t> </w:t>
            </w:r>
          </w:p>
        </w:tc>
        <w:tc>
          <w:tcPr>
            <w:tcW w:w="700"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w:t>
            </w:r>
          </w:p>
        </w:tc>
        <w:tc>
          <w:tcPr>
            <w:tcW w:w="684"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2</w:t>
            </w:r>
          </w:p>
        </w:tc>
        <w:tc>
          <w:tcPr>
            <w:tcW w:w="701"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3</w:t>
            </w:r>
          </w:p>
        </w:tc>
        <w:tc>
          <w:tcPr>
            <w:tcW w:w="49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4</w:t>
            </w:r>
          </w:p>
        </w:tc>
        <w:tc>
          <w:tcPr>
            <w:tcW w:w="76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5</w:t>
            </w:r>
          </w:p>
        </w:tc>
        <w:tc>
          <w:tcPr>
            <w:tcW w:w="1263" w:type="dxa"/>
            <w:gridSpan w:val="3"/>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6</w:t>
            </w:r>
          </w:p>
        </w:tc>
        <w:tc>
          <w:tcPr>
            <w:tcW w:w="839"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7</w:t>
            </w:r>
          </w:p>
        </w:tc>
        <w:tc>
          <w:tcPr>
            <w:tcW w:w="97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8</w:t>
            </w:r>
          </w:p>
        </w:tc>
        <w:tc>
          <w:tcPr>
            <w:tcW w:w="97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9</w:t>
            </w:r>
          </w:p>
        </w:tc>
        <w:tc>
          <w:tcPr>
            <w:tcW w:w="978"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10</w:t>
            </w:r>
          </w:p>
        </w:tc>
        <w:tc>
          <w:tcPr>
            <w:tcW w:w="978" w:type="dxa"/>
            <w:gridSpan w:val="3"/>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11</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trHeight w:val="456"/>
        </w:trPr>
        <w:tc>
          <w:tcPr>
            <w:tcW w:w="715"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合计</w:t>
            </w:r>
          </w:p>
        </w:tc>
        <w:tc>
          <w:tcPr>
            <w:tcW w:w="546"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szCs w:val="24"/>
              </w:rPr>
            </w:pPr>
            <w:r>
              <w:rPr>
                <w:rFonts w:ascii="宋体" w:hAnsi="宋体" w:cs="宋体" w:hint="eastAsia"/>
                <w:color w:val="000000"/>
                <w:kern w:val="0"/>
                <w:sz w:val="20"/>
                <w:szCs w:val="20"/>
                <w:lang w:bidi="ar"/>
              </w:rPr>
              <w:t>1</w:t>
            </w:r>
          </w:p>
        </w:tc>
        <w:tc>
          <w:tcPr>
            <w:tcW w:w="700"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eastAsia="宋体" w:hAnsi="宋体" w:cs="宋体" w:hint="eastAsia"/>
                <w:color w:val="000000"/>
                <w:kern w:val="0"/>
                <w:sz w:val="20"/>
                <w:szCs w:val="20"/>
                <w:lang w:val="en-US" w:eastAsia="zh-CN"/>
              </w:rPr>
            </w:pPr>
          </w:p>
          <w:p>
            <w:pPr>
              <w:keepNext w:val="0"/>
              <w:keepLines w:val="0"/>
              <w:pageBreakBefore w:val="0"/>
              <w:widowControl/>
              <w:kinsoku/>
              <w:wordWrap/>
              <w:overflowPunct/>
              <w:topLinePunct w:val="0"/>
              <w:autoSpaceDE/>
              <w:autoSpaceDN/>
              <w:bidi w:val="0"/>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lang w:val="en-US" w:eastAsia="zh-CN"/>
              </w:rPr>
              <w:t>692.97</w:t>
            </w:r>
            <w:r>
              <w:rPr>
                <w:rFonts w:ascii="宋体" w:eastAsia="宋体" w:hAnsi="宋体" w:cs="宋体" w:hint="eastAsia"/>
                <w:color w:val="000000"/>
                <w:kern w:val="0"/>
                <w:sz w:val="20"/>
                <w:szCs w:val="20"/>
              </w:rPr>
              <w:t> </w:t>
            </w:r>
          </w:p>
        </w:tc>
        <w:tc>
          <w:tcPr>
            <w:tcW w:w="684"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eastAsia="宋体" w:hAnsi="宋体" w:cs="宋体" w:hint="eastAsia"/>
                <w:color w:val="000000"/>
                <w:kern w:val="0"/>
                <w:sz w:val="20"/>
                <w:szCs w:val="20"/>
                <w:lang w:val="en-US" w:eastAsia="zh-CN"/>
              </w:rPr>
            </w:pPr>
          </w:p>
          <w:p>
            <w:pPr>
              <w:keepNext w:val="0"/>
              <w:keepLines w:val="0"/>
              <w:pageBreakBefore w:val="0"/>
              <w:widowControl/>
              <w:kinsoku/>
              <w:wordWrap/>
              <w:overflowPunct/>
              <w:topLinePunct w:val="0"/>
              <w:autoSpaceDE/>
              <w:autoSpaceDN/>
              <w:bidi w:val="0"/>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lang w:val="en-US" w:eastAsia="zh-CN"/>
              </w:rPr>
              <w:t>328.93</w:t>
            </w:r>
            <w:r>
              <w:rPr>
                <w:rFonts w:ascii="宋体" w:eastAsia="宋体" w:hAnsi="宋体" w:cs="宋体" w:hint="eastAsia"/>
                <w:color w:val="000000"/>
                <w:kern w:val="0"/>
                <w:sz w:val="20"/>
                <w:szCs w:val="20"/>
              </w:rPr>
              <w:t> </w:t>
            </w:r>
          </w:p>
        </w:tc>
        <w:tc>
          <w:tcPr>
            <w:tcW w:w="701"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eastAsia="宋体" w:hAnsi="宋体" w:cs="宋体" w:hint="eastAsia"/>
                <w:color w:val="000000"/>
                <w:kern w:val="0"/>
                <w:sz w:val="20"/>
                <w:szCs w:val="20"/>
              </w:rPr>
            </w:pPr>
          </w:p>
          <w:p>
            <w:pPr>
              <w:keepNext w:val="0"/>
              <w:keepLines w:val="0"/>
              <w:pageBreakBefore w:val="0"/>
              <w:widowControl/>
              <w:kinsoku/>
              <w:wordWrap/>
              <w:overflowPunct/>
              <w:topLinePunct w:val="0"/>
              <w:autoSpaceDE/>
              <w:autoSpaceDN/>
              <w:bidi w:val="0"/>
              <w:jc w:val="right"/>
              <w:rPr>
                <w:rFonts w:ascii="宋体" w:eastAsia="宋体" w:hAnsi="宋体" w:cs="宋体" w:hint="eastAsia"/>
                <w:color w:val="000000"/>
                <w:kern w:val="0"/>
                <w:sz w:val="20"/>
                <w:szCs w:val="20"/>
              </w:rPr>
            </w:pPr>
            <w:r>
              <w:rPr>
                <w:rFonts w:ascii="宋体" w:eastAsia="宋体" w:hAnsi="宋体" w:cs="宋体" w:hint="eastAsia"/>
                <w:color w:val="000000"/>
                <w:kern w:val="0"/>
                <w:sz w:val="20"/>
                <w:szCs w:val="20"/>
              </w:rPr>
              <w:t>364.04 </w:t>
            </w:r>
          </w:p>
        </w:tc>
        <w:tc>
          <w:tcPr>
            <w:tcW w:w="49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76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eastAsia="宋体" w:hAnsi="宋体" w:cs="宋体" w:hint="eastAsia"/>
                <w:color w:val="000000"/>
                <w:kern w:val="0"/>
                <w:sz w:val="20"/>
                <w:szCs w:val="20"/>
              </w:rPr>
              <w:t>23.18</w:t>
            </w:r>
            <w:r>
              <w:rPr>
                <w:rFonts w:ascii="宋体" w:hAnsi="宋体" w:cs="宋体" w:hint="eastAsia"/>
                <w:color w:val="000000"/>
                <w:kern w:val="0"/>
                <w:sz w:val="20"/>
                <w:szCs w:val="20"/>
              </w:rPr>
              <w:t> </w:t>
            </w:r>
          </w:p>
        </w:tc>
        <w:tc>
          <w:tcPr>
            <w:tcW w:w="1263" w:type="dxa"/>
            <w:gridSpan w:val="3"/>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839"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eastAsia="宋体" w:hAnsi="宋体" w:cs="宋体" w:hint="eastAsia"/>
                <w:color w:val="000000"/>
                <w:kern w:val="0"/>
                <w:sz w:val="20"/>
                <w:szCs w:val="20"/>
              </w:rPr>
              <w:t>340.86</w:t>
            </w:r>
            <w:r>
              <w:rPr>
                <w:rFonts w:ascii="宋体" w:hAnsi="宋体" w:cs="宋体" w:hint="eastAsia"/>
                <w:color w:val="000000"/>
                <w:kern w:val="0"/>
                <w:sz w:val="20"/>
                <w:szCs w:val="20"/>
              </w:rPr>
              <w:t> </w:t>
            </w:r>
          </w:p>
        </w:tc>
        <w:tc>
          <w:tcPr>
            <w:tcW w:w="978"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979" w:type="dxa"/>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978" w:type="dxa"/>
            <w:gridSpan w:val="2"/>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978" w:type="dxa"/>
            <w:gridSpan w:val="3"/>
            <w:tcBorders>
              <w:top w:val="single" w:sz="4" w:space="0" w:color="000000"/>
              <w:left w:val="single" w:sz="4" w:space="0" w:color="000000"/>
              <w:bottom w:val="single" w:sz="4" w:space="0" w:color="000000"/>
              <w:right w:val="single" w:sz="4" w:space="0" w:color="00000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right"/>
              <w:rPr>
                <w:rFonts w:ascii="宋体" w:hAnsi="宋体" w:cs="宋体"/>
                <w:color w:val="000000"/>
                <w:kern w:val="0"/>
                <w:sz w:val="24"/>
                <w:szCs w:val="24"/>
              </w:rPr>
            </w:pPr>
            <w:r>
              <w:rPr>
                <w:rFonts w:ascii="宋体" w:hAnsi="宋体" w:cs="宋体" w:hint="eastAsia"/>
                <w:color w:val="000000"/>
                <w:kern w:val="0"/>
                <w:sz w:val="20"/>
                <w:szCs w:val="20"/>
              </w:rPr>
              <w:t> </w:t>
            </w: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gridAfter w:val="2"/>
          <w:wAfter w:w="618" w:type="dxa"/>
          <w:trHeight w:val="259"/>
        </w:trPr>
        <w:tc>
          <w:tcPr>
            <w:tcW w:w="8672" w:type="dxa"/>
            <w:gridSpan w:val="14"/>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4"/>
                <w:szCs w:val="24"/>
              </w:rPr>
            </w:pPr>
          </w:p>
        </w:tc>
        <w:tc>
          <w:tcPr>
            <w:tcW w:w="360" w:type="dxa"/>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rPr>
                <w:rFonts w:ascii="宋体" w:hAnsi="宋体" w:cs="宋体"/>
                <w:color w:val="000000"/>
                <w:kern w:val="0"/>
                <w:sz w:val="20"/>
                <w:lang w:bidi="ar"/>
              </w:rPr>
            </w:pPr>
          </w:p>
        </w:tc>
        <w:tc>
          <w:tcPr>
            <w:tcW w:w="978" w:type="dxa"/>
            <w:gridSpan w:val="2"/>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p>
        </w:tc>
        <w:tc>
          <w:tcPr>
            <w:tcW w:w="142" w:type="dxa"/>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jc w:val="left"/>
              <w:rPr>
                <w:rFonts w:ascii="宋体" w:hAnsi="宋体" w:cs="宋体"/>
                <w:color w:val="000000"/>
                <w:kern w:val="0"/>
                <w:sz w:val="17"/>
                <w:szCs w:val="17"/>
              </w:rPr>
            </w:pPr>
          </w:p>
        </w:tc>
      </w:tr>
      <w:tr>
        <w:tblPrEx>
          <w:tblW w:w="10770" w:type="dxa"/>
          <w:tblInd w:w="0" w:type="dxa"/>
          <w:tblLayout w:type="fixed"/>
          <w:tblCellMar>
            <w:top w:w="0" w:type="dxa"/>
            <w:left w:w="0" w:type="dxa"/>
            <w:bottom w:w="0" w:type="dxa"/>
            <w:right w:w="0" w:type="dxa"/>
          </w:tblCellMar>
        </w:tblPrEx>
        <w:trPr>
          <w:trHeight w:val="495"/>
        </w:trPr>
        <w:tc>
          <w:tcPr>
            <w:tcW w:w="9650" w:type="dxa"/>
            <w:gridSpan w:val="16"/>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ind w:firstLine="400" w:firstLineChars="200"/>
              <w:rPr>
                <w:rFonts w:ascii="宋体" w:eastAsia="宋体" w:hAnsi="宋体" w:cs="宋体" w:hint="eastAsia"/>
                <w:color w:val="000000"/>
                <w:kern w:val="0"/>
                <w:sz w:val="20"/>
                <w:szCs w:val="20"/>
                <w:lang w:eastAsia="zh-CN"/>
              </w:rPr>
            </w:pPr>
            <w:r>
              <w:rPr>
                <w:rFonts w:ascii="宋体" w:hAnsi="宋体" w:cs="宋体" w:hint="eastAsia"/>
                <w:color w:val="000000"/>
                <w:kern w:val="0"/>
                <w:sz w:val="20"/>
                <w:szCs w:val="20"/>
              </w:rPr>
              <w:t>填报说明：1.资产总额＝流动资产＋固定资产＋对外投资／有价证券＋在建工程＋无形资产＋其他资产</w:t>
            </w:r>
            <w:r>
              <w:rPr>
                <w:rFonts w:ascii="宋体" w:hAnsi="宋体" w:cs="宋体" w:hint="eastAsia"/>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ascii="宋体" w:hAnsi="宋体" w:cs="宋体" w:hint="eastAsia"/>
                <w:color w:val="000000"/>
                <w:kern w:val="0"/>
                <w:sz w:val="20"/>
                <w:szCs w:val="20"/>
              </w:rPr>
            </w:pPr>
            <w:r>
              <w:rPr>
                <w:rFonts w:ascii="宋体" w:hAnsi="宋体" w:cs="宋体" w:hint="eastAsia"/>
                <w:color w:val="000000"/>
                <w:kern w:val="0"/>
                <w:sz w:val="20"/>
                <w:szCs w:val="20"/>
              </w:rPr>
              <w:t>固定资产＝房屋构筑物＋车辆＋单价200万元以上大型设备＋其他固定资产</w:t>
            </w:r>
            <w:r>
              <w:rPr>
                <w:rFonts w:ascii="宋体" w:hAnsi="宋体" w:cs="宋体" w:hint="eastAsia"/>
                <w:color w:val="000000"/>
                <w:kern w:val="0"/>
                <w:sz w:val="20"/>
                <w:szCs w:val="20"/>
                <w:lang w:eastAsia="zh-CN"/>
              </w:rPr>
              <w:t>；</w:t>
            </w:r>
          </w:p>
          <w:p>
            <w:pPr>
              <w:keepNext w:val="0"/>
              <w:keepLines w:val="0"/>
              <w:pageBreakBefore w:val="0"/>
              <w:widowControl/>
              <w:numPr>
                <w:ilvl w:val="0"/>
                <w:numId w:val="1"/>
              </w:numPr>
              <w:kinsoku/>
              <w:wordWrap/>
              <w:overflowPunct/>
              <w:topLinePunct w:val="0"/>
              <w:autoSpaceDE/>
              <w:autoSpaceDN/>
              <w:bidi w:val="0"/>
              <w:ind w:firstLine="1400" w:firstLineChars="700"/>
              <w:rPr>
                <w:rFonts w:ascii="宋体" w:hAnsi="宋体" w:cs="宋体" w:hint="eastAsia"/>
                <w:color w:val="000000"/>
                <w:kern w:val="0"/>
                <w:sz w:val="20"/>
                <w:szCs w:val="20"/>
              </w:rPr>
            </w:pPr>
            <w:r>
              <w:rPr>
                <w:rFonts w:ascii="宋体" w:hAnsi="宋体" w:cs="宋体" w:hint="eastAsia"/>
                <w:color w:val="000000"/>
                <w:kern w:val="0"/>
                <w:sz w:val="20"/>
                <w:szCs w:val="20"/>
                <w:lang w:eastAsia="zh-CN"/>
              </w:rPr>
              <w:t>填报金额为资产“账面原值”。</w:t>
            </w:r>
          </w:p>
        </w:tc>
        <w:tc>
          <w:tcPr>
            <w:tcW w:w="978" w:type="dxa"/>
            <w:gridSpan w:val="3"/>
            <w:tcBorders>
              <w:top w:val="nil"/>
              <w:left w:val="nil"/>
              <w:bottom w:val="nil"/>
              <w:right w:val="nil"/>
            </w:tcBorders>
            <w:noWrap w:val="0"/>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left"/>
              <w:rPr>
                <w:rFonts w:ascii="宋体" w:hAnsi="宋体" w:cs="宋体"/>
                <w:color w:val="000000"/>
                <w:kern w:val="0"/>
                <w:sz w:val="24"/>
                <w:szCs w:val="24"/>
              </w:rPr>
            </w:pPr>
            <w:r>
              <w:rPr>
                <w:rFonts w:ascii="Arial" w:hAnsi="Arial" w:cs="Arial"/>
                <w:color w:val="000000"/>
                <w:kern w:val="0"/>
                <w:sz w:val="20"/>
                <w:szCs w:val="20"/>
              </w:rPr>
              <w:t> </w:t>
            </w:r>
          </w:p>
        </w:tc>
        <w:tc>
          <w:tcPr>
            <w:tcW w:w="142" w:type="dxa"/>
            <w:noWrap w:val="0"/>
            <w:vAlign w:val="center"/>
          </w:tcPr>
          <w:p>
            <w:pPr>
              <w:keepNext w:val="0"/>
              <w:keepLines w:val="0"/>
              <w:pageBreakBefore w:val="0"/>
              <w:widowControl/>
              <w:kinsoku/>
              <w:wordWrap/>
              <w:overflowPunct/>
              <w:topLinePunct w:val="0"/>
              <w:autoSpaceDE/>
              <w:autoSpaceDN/>
              <w:bidi w:val="0"/>
              <w:jc w:val="left"/>
              <w:rPr>
                <w:rFonts w:ascii="Times New Roman" w:eastAsia="Times New Roman" w:hAnsi="Times New Roman"/>
                <w:kern w:val="0"/>
                <w:sz w:val="20"/>
                <w:szCs w:val="20"/>
              </w:rPr>
            </w:pPr>
          </w:p>
        </w:tc>
      </w:tr>
    </w:tbl>
    <w:p>
      <w:pPr>
        <w:rPr>
          <w:rFonts w:hint="eastAsia"/>
          <w:lang w:eastAsia="zh-CN"/>
        </w:rPr>
      </w:pPr>
    </w:p>
    <w:p>
      <w:pPr>
        <w:keepNext w:val="0"/>
        <w:keepLines w:val="0"/>
        <w:pageBreakBefore w:val="0"/>
        <w:kinsoku/>
        <w:wordWrap/>
        <w:overflowPunct/>
        <w:topLinePunct w:val="0"/>
        <w:autoSpaceDE/>
        <w:autoSpaceDN/>
        <w:bidi w:val="0"/>
        <w:ind w:firstLine="600" w:firstLineChars="200"/>
        <w:jc w:val="left"/>
        <w:outlineLvl w:val="1"/>
        <w:rPr>
          <w:rFonts w:ascii="黑体" w:eastAsia="黑体" w:hAnsi="黑体" w:cs="黑体" w:hint="eastAsia"/>
          <w:sz w:val="30"/>
          <w:szCs w:val="30"/>
        </w:rPr>
      </w:pPr>
      <w:r>
        <w:rPr>
          <w:rFonts w:ascii="黑体" w:eastAsia="黑体" w:hAnsi="黑体" w:cs="黑体" w:hint="eastAsia"/>
          <w:sz w:val="30"/>
          <w:szCs w:val="30"/>
          <w:lang w:eastAsia="zh-CN"/>
        </w:rPr>
        <w:t>三、</w:t>
      </w:r>
      <w:r>
        <w:rPr>
          <w:rFonts w:ascii="黑体" w:eastAsia="黑体" w:hAnsi="黑体" w:cs="黑体" w:hint="eastAsia"/>
          <w:sz w:val="30"/>
          <w:szCs w:val="30"/>
        </w:rPr>
        <w:t>政府采购支出情况</w:t>
      </w:r>
    </w:p>
    <w:p>
      <w:pPr>
        <w:keepNext w:val="0"/>
        <w:keepLines w:val="0"/>
        <w:pageBreakBefore w:val="0"/>
        <w:kinsoku/>
        <w:wordWrap/>
        <w:overflowPunct/>
        <w:topLinePunct w:val="0"/>
        <w:autoSpaceDE/>
        <w:autoSpaceDN/>
        <w:bidi w:val="0"/>
        <w:ind w:firstLine="600" w:firstLineChars="200"/>
        <w:rPr>
          <w:rFonts w:ascii="仿宋_GB2312" w:eastAsia="仿宋_GB2312" w:hAnsi="黑体" w:cs="方正小标宋简体" w:hint="default"/>
          <w:color w:val="FF0000"/>
          <w:sz w:val="30"/>
          <w:szCs w:val="30"/>
          <w:lang w:val="en-US" w:eastAsia="zh-CN"/>
        </w:rPr>
      </w:pPr>
      <w:r>
        <w:rPr>
          <w:rFonts w:ascii="仿宋_GB2312" w:eastAsia="仿宋_GB2312" w:hAnsi="仿宋_GB2312" w:cs="仿宋_GB2312" w:hint="eastAsia"/>
          <w:sz w:val="30"/>
          <w:szCs w:val="30"/>
          <w:lang w:val="en-US" w:eastAsia="zh-CN"/>
        </w:rPr>
        <w:t>2021年度，部门政府采购支出总额3.89万元，其中：政府采购货物支出1.31万元；政府采购工程支出0.00万元；政府采购服务支出2.58万元。授予中小企业合同金额0.00万元，占政府采购支出总额的0.00%。</w:t>
      </w:r>
    </w:p>
    <w:p>
      <w:pPr>
        <w:keepNext w:val="0"/>
        <w:keepLines w:val="0"/>
        <w:pageBreakBefore w:val="0"/>
        <w:kinsoku/>
        <w:wordWrap/>
        <w:overflowPunct/>
        <w:topLinePunct w:val="0"/>
        <w:autoSpaceDE/>
        <w:autoSpaceDN/>
        <w:bidi w:val="0"/>
        <w:ind w:firstLine="600" w:firstLineChars="200"/>
        <w:jc w:val="left"/>
        <w:outlineLvl w:val="1"/>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四、部门绩效自评情况</w:t>
      </w:r>
    </w:p>
    <w:p>
      <w:pPr>
        <w:keepNext w:val="0"/>
        <w:keepLines w:val="0"/>
        <w:pageBreakBefore w:val="0"/>
        <w:widowControl/>
        <w:kinsoku/>
        <w:wordWrap/>
        <w:overflowPunct/>
        <w:topLinePunct w:val="0"/>
        <w:autoSpaceDE/>
        <w:autoSpaceDN/>
        <w:bidi w:val="0"/>
        <w:snapToGrid w:val="0"/>
        <w:spacing w:line="360" w:lineRule="auto"/>
        <w:ind w:firstLine="600"/>
        <w:jc w:val="left"/>
        <w:rPr>
          <w:rFonts w:ascii="仿宋_GB2312" w:eastAsia="仿宋_GB2312" w:hAnsi="仿宋_GB2312" w:cs="仿宋_GB2312" w:hint="eastAsia"/>
          <w:sz w:val="30"/>
          <w:szCs w:val="30"/>
          <w:highlight w:val="none"/>
          <w:lang w:val="en-US" w:eastAsia="zh-CN"/>
        </w:rPr>
      </w:pPr>
      <w:r>
        <w:rPr>
          <w:rFonts w:ascii="仿宋_GB2312" w:eastAsia="仿宋_GB2312" w:hAnsi="仿宋_GB2312" w:cs="仿宋_GB2312" w:hint="eastAsia"/>
          <w:sz w:val="30"/>
          <w:szCs w:val="30"/>
          <w:lang w:val="en-US" w:eastAsia="zh-CN"/>
        </w:rPr>
        <w:t>部门绩效自评情况详见附表</w:t>
      </w:r>
      <w:r>
        <w:rPr>
          <w:rFonts w:ascii="仿宋_GB2312" w:eastAsia="仿宋_GB2312" w:hAnsi="仿宋_GB2312" w:cs="仿宋_GB2312" w:hint="eastAsia"/>
          <w:sz w:val="30"/>
          <w:szCs w:val="30"/>
          <w:highlight w:val="none"/>
          <w:lang w:val="en-US" w:eastAsia="zh-CN"/>
        </w:rPr>
        <w:t>（附表10—附表12）。</w:t>
      </w: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五、其他重要事项情况说明</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default"/>
          <w:color w:val="auto"/>
          <w:sz w:val="30"/>
          <w:szCs w:val="30"/>
          <w:lang w:val="en-US" w:eastAsia="zh-CN"/>
        </w:rPr>
      </w:pPr>
      <w:r>
        <w:rPr>
          <w:rFonts w:ascii="仿宋_GB2312" w:eastAsia="仿宋_GB2312" w:hAnsi="黑体" w:cs="方正小标宋简体" w:hint="eastAsia"/>
          <w:color w:val="auto"/>
          <w:sz w:val="30"/>
          <w:szCs w:val="30"/>
          <w:lang w:val="en-US" w:eastAsia="zh-CN"/>
        </w:rPr>
        <w:t>我单位无其他重要事项情况说明</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FF0000"/>
          <w:sz w:val="30"/>
          <w:szCs w:val="30"/>
        </w:rPr>
      </w:pPr>
    </w:p>
    <w:p>
      <w:pPr>
        <w:keepNext w:val="0"/>
        <w:keepLines w:val="0"/>
        <w:pageBreakBefore w:val="0"/>
        <w:widowControl/>
        <w:kinsoku/>
        <w:wordWrap/>
        <w:overflowPunct/>
        <w:topLinePunct w:val="0"/>
        <w:autoSpaceDE/>
        <w:autoSpaceDN/>
        <w:bidi w:val="0"/>
        <w:snapToGrid w:val="0"/>
        <w:spacing w:line="360" w:lineRule="auto"/>
        <w:ind w:firstLine="600" w:firstLineChars="200"/>
        <w:jc w:val="left"/>
        <w:outlineLvl w:val="1"/>
        <w:rPr>
          <w:rFonts w:ascii="黑体" w:eastAsia="黑体" w:hAnsi="黑体" w:cs="黑体" w:hint="eastAsia"/>
          <w:sz w:val="30"/>
          <w:szCs w:val="30"/>
          <w:lang w:val="en-US" w:eastAsia="zh-CN"/>
        </w:rPr>
      </w:pPr>
      <w:r>
        <w:rPr>
          <w:rFonts w:ascii="黑体" w:eastAsia="黑体" w:hAnsi="黑体" w:cs="黑体" w:hint="eastAsia"/>
          <w:sz w:val="30"/>
          <w:szCs w:val="30"/>
          <w:lang w:val="en-US" w:eastAsia="zh-CN"/>
        </w:rPr>
        <w:t>六、相关口径说明</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（一）</w:t>
      </w:r>
      <w:r>
        <w:rPr>
          <w:rFonts w:ascii="仿宋_GB2312" w:eastAsia="仿宋_GB2312" w:hAnsi="黑体" w:cs="方正小标宋简体" w:hint="eastAsia"/>
          <w:sz w:val="30"/>
          <w:szCs w:val="30"/>
        </w:rPr>
        <w:t>基本支出中人员经费包括工资福利支出和对个人和家庭的补助，公用</w:t>
      </w:r>
      <w:r>
        <w:rPr>
          <w:rFonts w:ascii="仿宋_GB2312" w:eastAsia="仿宋_GB2312" w:hAnsi="黑体" w:cs="方正小标宋简体" w:hint="eastAsia"/>
          <w:sz w:val="30"/>
          <w:szCs w:val="30"/>
          <w:lang w:eastAsia="zh-CN"/>
        </w:rPr>
        <w:t>经费</w:t>
      </w:r>
      <w:r>
        <w:rPr>
          <w:rFonts w:ascii="仿宋_GB2312" w:eastAsia="仿宋_GB2312" w:hAnsi="黑体" w:cs="方正小标宋简体" w:hint="eastAsia"/>
          <w:sz w:val="30"/>
          <w:szCs w:val="30"/>
        </w:rPr>
        <w:t>包括商品和服务支出、资本性支出等人员经费以外的支出。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（二）</w:t>
      </w:r>
      <w:r>
        <w:rPr>
          <w:rFonts w:ascii="仿宋_GB2312" w:eastAsia="仿宋_GB2312" w:hAnsi="黑体" w:cs="方正小标宋简体" w:hint="eastAsia"/>
          <w:sz w:val="30"/>
          <w:szCs w:val="30"/>
        </w:rPr>
        <w:t>机关运行经费指行政单位和参照公务员法管理的事业单位使用一般公共预算财政拨款安排的基本支出中的公用经费支出</w:t>
      </w:r>
      <w:r>
        <w:rPr>
          <w:rFonts w:ascii="仿宋_GB2312" w:eastAsia="仿宋_GB2312" w:hAnsi="黑体" w:cs="方正小标宋简体" w:hint="eastAsia"/>
          <w:sz w:val="30"/>
          <w:szCs w:val="30"/>
          <w:lang w:eastAsia="zh-CN"/>
        </w:rPr>
        <w:t>。</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sz w:val="30"/>
          <w:szCs w:val="30"/>
          <w:highlight w:val="none"/>
        </w:rPr>
      </w:pPr>
      <w:r>
        <w:rPr>
          <w:rFonts w:ascii="仿宋_GB2312" w:eastAsia="仿宋_GB2312" w:hAnsi="黑体" w:cs="方正小标宋简体" w:hint="eastAsia"/>
          <w:sz w:val="30"/>
          <w:szCs w:val="30"/>
          <w:lang w:eastAsia="zh-CN"/>
        </w:rPr>
        <w:t>（三）</w:t>
      </w:r>
      <w:r>
        <w:rPr>
          <w:rFonts w:ascii="仿宋_GB2312" w:eastAsia="仿宋_GB2312" w:hAnsi="黑体" w:cs="方正小标宋简体" w:hint="eastAsia"/>
          <w:sz w:val="30"/>
          <w:szCs w:val="30"/>
        </w:rPr>
        <w:t>按照党中央、国务院有关文件及部门预算管理有关规定，“三公”经费包括因公出国（境）费、公务用车购置及运行维护费、公务接待费。</w:t>
      </w:r>
      <w:r>
        <w:rPr>
          <w:rFonts w:ascii="仿宋_GB2312" w:eastAsia="仿宋_GB2312" w:hAnsi="黑体" w:cs="方正小标宋简体" w:hint="eastAsia"/>
          <w:sz w:val="30"/>
          <w:szCs w:val="30"/>
          <w:highlight w:val="none"/>
        </w:rPr>
        <w:t>其中：因公出国（境）费，指单位公务出国（境）的国际旅费、国外城市间交通费、住宿费、伙食费、培训费、公杂费等支出；公务用车购置费，指公务用车购置支出（含车辆购置税</w:t>
      </w:r>
      <w:r>
        <w:rPr>
          <w:rFonts w:ascii="仿宋_GB2312" w:eastAsia="仿宋_GB2312" w:hAnsi="黑体" w:cs="方正小标宋简体" w:hint="eastAsia"/>
          <w:sz w:val="30"/>
          <w:szCs w:val="30"/>
          <w:highlight w:val="none"/>
          <w:lang w:eastAsia="zh-CN"/>
        </w:rPr>
        <w:t>、牌照费</w:t>
      </w:r>
      <w:r>
        <w:rPr>
          <w:rFonts w:ascii="仿宋_GB2312" w:eastAsia="仿宋_GB2312" w:hAnsi="黑体" w:cs="方正小标宋简体" w:hint="eastAsia"/>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sz w:val="30"/>
          <w:szCs w:val="30"/>
        </w:rPr>
      </w:pPr>
      <w:r>
        <w:rPr>
          <w:rFonts w:ascii="仿宋_GB2312" w:eastAsia="仿宋_GB2312" w:hAnsi="黑体" w:cs="方正小标宋简体" w:hint="eastAsia"/>
          <w:sz w:val="30"/>
          <w:szCs w:val="30"/>
          <w:lang w:eastAsia="zh-CN"/>
        </w:rPr>
        <w:t>（四）</w:t>
      </w:r>
      <w:r>
        <w:rPr>
          <w:rFonts w:ascii="仿宋_GB2312" w:eastAsia="仿宋_GB2312" w:hAnsi="黑体" w:cs="方正小标宋简体" w:hint="eastAsia"/>
          <w:sz w:val="30"/>
          <w:szCs w:val="30"/>
        </w:rPr>
        <w:t>“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keepNext w:val="0"/>
        <w:keepLines w:val="0"/>
        <w:pageBreakBefore w:val="0"/>
        <w:kinsoku/>
        <w:wordWrap/>
        <w:overflowPunct/>
        <w:topLinePunct w:val="0"/>
        <w:autoSpaceDE/>
        <w:autoSpaceDN/>
        <w:bidi w:val="0"/>
        <w:jc w:val="center"/>
        <w:outlineLvl w:val="0"/>
        <w:rPr>
          <w:rFonts w:ascii="黑体" w:eastAsia="黑体" w:hAnsi="黑体" w:cs="方正小标宋简体" w:hint="eastAsia"/>
          <w:sz w:val="32"/>
          <w:szCs w:val="32"/>
        </w:rPr>
      </w:pPr>
      <w:r>
        <w:rPr>
          <w:rFonts w:ascii="黑体" w:eastAsia="黑体" w:hAnsi="黑体" w:cs="方正小标宋简体" w:hint="eastAsia"/>
          <w:sz w:val="32"/>
          <w:szCs w:val="32"/>
        </w:rPr>
        <w:t>第</w:t>
      </w:r>
      <w:r>
        <w:rPr>
          <w:rFonts w:ascii="黑体" w:eastAsia="黑体" w:hAnsi="黑体" w:cs="方正小标宋简体" w:hint="eastAsia"/>
          <w:sz w:val="32"/>
          <w:szCs w:val="32"/>
          <w:lang w:eastAsia="zh-CN"/>
        </w:rPr>
        <w:t>五</w:t>
      </w:r>
      <w:r>
        <w:rPr>
          <w:rFonts w:ascii="黑体" w:eastAsia="黑体" w:hAnsi="黑体" w:cs="方正小标宋简体" w:hint="eastAsia"/>
          <w:sz w:val="32"/>
          <w:szCs w:val="32"/>
        </w:rPr>
        <w:t>部分  名词解释</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因公出国（境）费反映单位工作人员公务出国（境）的国际旅费、住宿费、伙食费、培训费、杂费等支出。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公务用车购置及运行费反映单位公务用车购置费及租用费、燃料费、维修费、过路过桥费、保险费、安全奖励费用等支出。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公务用车反映用于履行公务的机动车辆，包括领导干部专车、一般公务用车和执法执勤用车。</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公务接待费反映单位按规定开支的各类公务接待（含外宾接待）支出。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组织事务反映中国共产党组织部门的支出。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一般行政管理事务经费反映行政单位(包括实行公务员管理的事业单位)未独立设置项级科目的其他项目支出。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其他组织事务支出经费反映其他用于中国共产党组织部门的事务支出。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科技成果转化与扩散经费反映促进科技成果转化为现实生产力的应用、推广支出。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auto"/>
          <w:sz w:val="30"/>
          <w:szCs w:val="30"/>
          <w:lang w:eastAsia="zh-CN"/>
        </w:rPr>
      </w:pPr>
      <w:r>
        <w:rPr>
          <w:rFonts w:ascii="仿宋_GB2312" w:eastAsia="仿宋_GB2312" w:hAnsi="黑体" w:cs="方正小标宋简体" w:hint="eastAsia"/>
          <w:color w:val="auto"/>
          <w:sz w:val="30"/>
          <w:szCs w:val="30"/>
          <w:lang w:eastAsia="zh-CN"/>
        </w:rPr>
        <w:t>离退休人员管理机构经费反映离退休人员管理机构的支出。</w:t>
      </w: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FF0000"/>
          <w:sz w:val="30"/>
          <w:szCs w:val="30"/>
          <w:lang w:eastAsia="zh-CN"/>
        </w:rPr>
      </w:pPr>
    </w:p>
    <w:p>
      <w:pPr>
        <w:keepNext w:val="0"/>
        <w:keepLines w:val="0"/>
        <w:pageBreakBefore w:val="0"/>
        <w:kinsoku/>
        <w:wordWrap/>
        <w:overflowPunct/>
        <w:topLinePunct w:val="0"/>
        <w:autoSpaceDE/>
        <w:autoSpaceDN/>
        <w:bidi w:val="0"/>
        <w:ind w:firstLine="600" w:firstLineChars="200"/>
        <w:jc w:val="left"/>
        <w:rPr>
          <w:rFonts w:ascii="仿宋_GB2312" w:eastAsia="仿宋_GB2312" w:hAnsi="黑体" w:cs="方正小标宋简体" w:hint="eastAsia"/>
          <w:color w:val="FF0000"/>
          <w:sz w:val="30"/>
          <w:szCs w:val="30"/>
          <w:lang w:eastAsia="zh-CN"/>
        </w:rPr>
      </w:pPr>
    </w:p>
    <w:p/>
    <w:p>
      <w:pPr>
        <w:rPr>
          <w:rFonts w:ascii="Arial" w:eastAsia="Arial" w:hAnsi="Arial" w:cs="Arial"/>
          <w:b/>
          <w:sz w:val="36"/>
        </w:rPr>
      </w:pPr>
      <w:r>
        <w:rPr>
          <w:rFonts w:ascii="Arial" w:eastAsia="Arial" w:hAnsi="Arial" w:cs="Arial"/>
          <w:b/>
          <w:sz w:val="36"/>
        </w:rPr>
        <w:t>监督索引号53010300120301111</w:t>
      </w:r>
    </w:p>
    <w:sectPr>
      <w:headerReference w:type="default" r:id="rId5"/>
      <w:footerReference w:type="even" r:id="rId6"/>
      <w:footerReference w:type="default" r:id="rId7"/>
      <w:pgSz w:w="11906" w:h="16838"/>
      <w:pgMar w:top="2098" w:right="1418" w:bottom="1588" w:left="1644" w:header="851" w:footer="992" w:gutter="0"/>
      <w:pgNumType w:fmt="numberInDash"/>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pStyle w:val="Footer"/>
                            <w:rPr>
                              <w:rStyle w:val="PageNumber"/>
                            </w:rPr>
                          </w:pPr>
                          <w:r>
                            <w:rPr>
                              <w:sz w:val="28"/>
                              <w:szCs w:val="28"/>
                            </w:rPr>
                            <w:fldChar w:fldCharType="begin"/>
                          </w:r>
                          <w:r>
                            <w:rPr>
                              <w:rStyle w:val="PageNumber"/>
                              <w:sz w:val="28"/>
                              <w:szCs w:val="28"/>
                            </w:rPr>
                            <w:instrText xml:space="preserve">PAGE  </w:instrText>
                          </w:r>
                          <w:r>
                            <w:rPr>
                              <w:sz w:val="28"/>
                              <w:szCs w:val="28"/>
                            </w:rPr>
                            <w:fldChar w:fldCharType="separate"/>
                          </w:r>
                          <w:r>
                            <w:rPr>
                              <w:rStyle w:val="PageNumber"/>
                              <w:sz w:val="28"/>
                              <w:szCs w:val="28"/>
                            </w:rPr>
                            <w:t>8</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outside;mso-position-horizontal-relative:margin;mso-width-relative:page;mso-wrap-style:none;position:absolute;z-index:251659264" coordsize="21600,21600" filled="f" stroked="f">
              <o:lock v:ext="edit" aspectratio="f"/>
              <v:textbox style="mso-fit-shape-to-text:t" inset="0,0,0,0">
                <w:txbxContent>
                  <w:p>
                    <w:pPr>
                      <w:pStyle w:val="Footer"/>
                      <w:rPr>
                        <w:rStyle w:val="PageNumber"/>
                      </w:rPr>
                    </w:pPr>
                    <w:r>
                      <w:rPr>
                        <w:sz w:val="28"/>
                        <w:szCs w:val="28"/>
                      </w:rPr>
                      <w:fldChar w:fldCharType="begin"/>
                    </w:r>
                    <w:r>
                      <w:rPr>
                        <w:rStyle w:val="PageNumber"/>
                        <w:sz w:val="28"/>
                        <w:szCs w:val="28"/>
                      </w:rPr>
                      <w:instrText xml:space="preserve">PAGE  </w:instrText>
                    </w:r>
                    <w:r>
                      <w:rPr>
                        <w:sz w:val="28"/>
                        <w:szCs w:val="28"/>
                      </w:rPr>
                      <w:fldChar w:fldCharType="separate"/>
                    </w:r>
                    <w:r>
                      <w:rPr>
                        <w:rStyle w:val="PageNumber"/>
                        <w:sz w:val="28"/>
                        <w:szCs w:val="28"/>
                      </w:rPr>
                      <w:t>8</w:t>
                    </w:r>
                    <w:r>
                      <w:rPr>
                        <w:sz w:val="28"/>
                        <w:szCs w:val="2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78A1DF"/>
    <w:multiLevelType w:val="singleLevel"/>
    <w:tmpl w:val="FF78A1DF"/>
    <w:lvl w:ilvl="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82BF5"/>
    <w:rsid w:val="0BF71884"/>
    <w:rsid w:val="202B7171"/>
    <w:rsid w:val="2B482BF5"/>
    <w:rsid w:val="41D00C05"/>
    <w:rsid w:val="5E1225C4"/>
    <w:rsid w:val="612D107F"/>
    <w:rsid w:val="73C017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qFormat="1"/>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qFormat/>
    <w:pPr>
      <w:spacing w:before="93" w:beforeLines="30"/>
    </w:pPr>
    <w:rPr>
      <w:rFonts w:ascii="仿宋_GB2312" w:eastAsia="仿宋_GB2312"/>
      <w:sz w:val="30"/>
    </w:rPr>
  </w:style>
  <w:style w:type="paragraph" w:styleId="NormalIndent">
    <w:name w:val="Normal Indent"/>
    <w:basedOn w:val="Normal"/>
    <w:qFormat/>
    <w:pPr>
      <w:ind w:firstLine="420"/>
    </w:p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adjustRightInd w:val="0"/>
      <w:snapToGrid w:val="0"/>
      <w:spacing w:beforeAutospacing="1" w:afterAutospacing="1"/>
      <w:jc w:val="left"/>
    </w:pPr>
    <w:rPr>
      <w:rFonts w:ascii="Tahoma" w:eastAsia="微软雅黑" w:hAnsi="Tahoma" w:cs="Times New Roman"/>
      <w:kern w:val="0"/>
      <w:sz w:val="24"/>
      <w:szCs w:val="22"/>
    </w:rPr>
  </w:style>
  <w:style w:type="character" w:styleId="PageNumber">
    <w:name w:val="page number"/>
    <w:basedOn w:val="DefaultParagraphFont"/>
    <w:qFormat/>
  </w:style>
  <w:style w:type="character" w:styleId="FollowedHyperlink">
    <w:name w:val="FollowedHyperlink"/>
    <w:basedOn w:val="DefaultParagraphFont"/>
    <w:qFormat/>
    <w:rPr>
      <w:color w:val="800080"/>
      <w:u w:val="single"/>
    </w:rPr>
  </w:style>
  <w:style w:type="paragraph" w:customStyle="1" w:styleId="Normal1">
    <w:name w:val="Normal1"/>
    <w:qFormat/>
    <w:pPr>
      <w:widowControl w:val="0"/>
      <w:jc w:val="both"/>
    </w:pPr>
    <w:rPr>
      <w:rFonts w:ascii="Calibri" w:eastAsia="宋体" w:hAnsi="Calibri" w:cs="Times New Roman"/>
      <w:kern w:val="2"/>
      <w:sz w:val="21"/>
      <w:szCs w:val="21"/>
      <w:lang w:val="en-US" w:eastAsia="zh-CN" w:bidi="ar-SA"/>
    </w:rPr>
  </w:style>
  <w:style w:type="paragraph" w:customStyle="1" w:styleId="Char">
    <w:name w:val="普通(网站) Char"/>
    <w:basedOn w:val="Normal"/>
    <w:pPr>
      <w:spacing w:before="0" w:beforeAutospacing="1" w:after="0" w:afterAutospacing="1"/>
      <w:ind w:left="0" w:right="0"/>
      <w:jc w:val="left"/>
    </w:pPr>
    <w:rPr>
      <w:rFonts w:ascii="宋体" w:eastAsia="宋体" w:hAnsi="宋体" w:cs="宋体" w:hint="eastAsia"/>
      <w:kern w:val="0"/>
      <w:sz w:val="24"/>
      <w:szCs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0</Words>
  <Characters>0</Characters>
  <Application>Microsoft Office Word</Application>
  <DocSecurity>0</DocSecurity>
  <Lines>0</Lines>
  <Paragraphs>0</Paragraphs>
  <ScaleCrop>false</ScaleCrop>
  <Company>其他...</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cp:lastPrinted>2022-10-26T04:30:07Z</cp:lastPrinted>
  <dcterms:created xsi:type="dcterms:W3CDTF">2022-10-24T08:38:00Z</dcterms:created>
  <dcterms:modified xsi:type="dcterms:W3CDTF">2022-10-26T04:30:11Z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