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昆明市盘龙区住房和城乡建设局2021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般公共预算财政拨款“三公”经费支出部门决算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1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1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1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1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sz w:val="30"/>
          <w:szCs w:val="30"/>
        </w:rPr>
        <w:t>一般公共预算财政拨款“三公”经费支出决算情况说明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2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(一)</w:t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楷体" w:hAnsi="楷体" w:eastAsia="楷体"/>
          <w:sz w:val="30"/>
          <w:szCs w:val="30"/>
        </w:rPr>
        <w:t>一般公共预算财政拨款“三公”经费支出决算总体情况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default" w:ascii="仿宋_GB2312" w:hAnsi="Times New Roman" w:eastAsia="仿宋_GB2312" w:cs="Times New Roman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昆明市盘龙区住房和城乡建设局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color w:val="000000"/>
          <w:sz w:val="30"/>
          <w:szCs w:val="30"/>
        </w:rPr>
        <w:t>年度一般公共预算财政拨款“三公”经费支出预算为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81.52</w:t>
      </w:r>
      <w:r>
        <w:rPr>
          <w:rFonts w:hint="eastAsia" w:ascii="仿宋_GB2312" w:eastAsia="仿宋_GB2312"/>
          <w:color w:val="000000"/>
          <w:sz w:val="30"/>
          <w:szCs w:val="30"/>
        </w:rPr>
        <w:t>万元，支出决算为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29.92</w:t>
      </w:r>
      <w:r>
        <w:rPr>
          <w:rFonts w:hint="eastAsia" w:ascii="仿宋_GB2312" w:eastAsia="仿宋_GB2312"/>
          <w:color w:val="000000"/>
          <w:sz w:val="30"/>
          <w:szCs w:val="30"/>
        </w:rPr>
        <w:t>万元，完成预算的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36.7</w:t>
      </w:r>
      <w:r>
        <w:rPr>
          <w:rFonts w:hint="eastAsia" w:ascii="仿宋_GB2312" w:eastAsia="仿宋_GB2312"/>
          <w:color w:val="000000"/>
          <w:sz w:val="30"/>
          <w:szCs w:val="30"/>
        </w:rPr>
        <w:t>%。其中：因公出国（境）费支出决算为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0"/>
          <w:szCs w:val="30"/>
        </w:rPr>
        <w:t>万元，完成预算的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0"/>
          <w:szCs w:val="30"/>
        </w:rPr>
        <w:t>%；公务用车购置及运行费支出决算为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29.92</w:t>
      </w:r>
      <w:r>
        <w:rPr>
          <w:rFonts w:hint="eastAsia" w:ascii="仿宋_GB2312" w:eastAsia="仿宋_GB2312"/>
          <w:color w:val="000000"/>
          <w:sz w:val="30"/>
          <w:szCs w:val="30"/>
        </w:rPr>
        <w:t>万元，完成预算的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36.7</w:t>
      </w:r>
      <w:r>
        <w:rPr>
          <w:rFonts w:hint="eastAsia" w:ascii="仿宋_GB2312" w:eastAsia="仿宋_GB2312"/>
          <w:color w:val="000000"/>
          <w:sz w:val="30"/>
          <w:szCs w:val="30"/>
        </w:rPr>
        <w:t>%；公务接待费支出决算为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0"/>
          <w:szCs w:val="30"/>
        </w:rPr>
        <w:t>万元，完成预算的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0"/>
          <w:szCs w:val="30"/>
        </w:rPr>
        <w:t>%。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color w:val="000000"/>
          <w:sz w:val="30"/>
          <w:szCs w:val="30"/>
        </w:rPr>
        <w:t>年度一般公共预算财政拨款“三公”经费支出决算数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小</w:t>
      </w:r>
      <w:r>
        <w:rPr>
          <w:rFonts w:hint="eastAsia" w:ascii="仿宋_GB2312" w:eastAsia="仿宋_GB2312"/>
          <w:color w:val="000000"/>
          <w:sz w:val="30"/>
          <w:szCs w:val="30"/>
        </w:rPr>
        <w:t>于预算数的主要原因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  <w:lang w:val="en-US" w:eastAsia="zh-CN"/>
        </w:rPr>
        <w:t>是：</w:t>
      </w:r>
      <w:r>
        <w:rPr>
          <w:rFonts w:hint="eastAsia" w:ascii="仿宋_GB2312" w:eastAsia="仿宋_GB2312"/>
          <w:color w:val="000000"/>
          <w:sz w:val="30"/>
          <w:szCs w:val="30"/>
          <w:highlight w:val="none"/>
          <w:lang w:eastAsia="zh-CN"/>
        </w:rPr>
        <w:t>年初预算按照事业在职人数扣减公务车辆和工勤人员数量核定金额，年度内根据实际工作情况报销费用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  <w:u w:val="none"/>
        </w:rPr>
        <w:t>年度一般公共预算财政拨款“三公”经费支出决算数比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2020</w:t>
      </w:r>
      <w:r>
        <w:rPr>
          <w:rFonts w:hint="eastAsia" w:ascii="仿宋_GB2312" w:eastAsia="仿宋_GB2312"/>
          <w:sz w:val="30"/>
          <w:szCs w:val="30"/>
          <w:u w:val="none"/>
        </w:rPr>
        <w:t>年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增加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28.52</w:t>
      </w:r>
      <w:r>
        <w:rPr>
          <w:rFonts w:hint="eastAsia" w:ascii="仿宋_GB2312" w:eastAsia="仿宋_GB2312"/>
          <w:sz w:val="30"/>
          <w:szCs w:val="30"/>
          <w:u w:val="none"/>
        </w:rPr>
        <w:t>万元，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增幅比例较大（上年“三公经费支出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1.4万元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”）</w:t>
      </w:r>
      <w:r>
        <w:rPr>
          <w:rFonts w:hint="eastAsia" w:ascii="仿宋_GB2312" w:eastAsia="仿宋_GB2312"/>
          <w:sz w:val="30"/>
          <w:szCs w:val="30"/>
          <w:u w:val="none"/>
        </w:rPr>
        <w:t>。其中：因公出国（境）费支出决算增加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none"/>
        </w:rPr>
        <w:t>万元，增长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none"/>
        </w:rPr>
        <w:t>%；公务用车购置及运行费支出决算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28.52</w:t>
      </w:r>
      <w:r>
        <w:rPr>
          <w:rFonts w:hint="eastAsia" w:ascii="仿宋_GB2312" w:eastAsia="仿宋_GB2312"/>
          <w:sz w:val="30"/>
          <w:szCs w:val="30"/>
          <w:u w:val="none"/>
        </w:rPr>
        <w:t>万元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，增幅比例较大</w:t>
      </w:r>
      <w:r>
        <w:rPr>
          <w:rFonts w:hint="eastAsia" w:ascii="仿宋_GB2312" w:eastAsia="仿宋_GB2312"/>
          <w:sz w:val="30"/>
          <w:szCs w:val="30"/>
          <w:u w:val="none"/>
        </w:rPr>
        <w:t>；公务接待费支出决算增加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none"/>
        </w:rPr>
        <w:t>万元，增长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  <w:u w:val="none"/>
        </w:rPr>
        <w:t>%。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  <w:u w:val="none"/>
        </w:rPr>
        <w:t>年度一般公共预算财政拨款“三公”经费支出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较上年</w:t>
      </w:r>
      <w:r>
        <w:rPr>
          <w:rFonts w:hint="eastAsia" w:ascii="仿宋_GB2312" w:eastAsia="仿宋_GB2312"/>
          <w:sz w:val="30"/>
          <w:szCs w:val="30"/>
          <w:u w:val="none"/>
        </w:rPr>
        <w:t>决算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支出</w:t>
      </w:r>
      <w:r>
        <w:rPr>
          <w:rFonts w:hint="eastAsia" w:ascii="仿宋_GB2312" w:eastAsia="仿宋_GB2312"/>
          <w:color w:val="000000"/>
          <w:sz w:val="30"/>
          <w:szCs w:val="30"/>
          <w:u w:val="none"/>
          <w:lang w:val="en-US" w:eastAsia="zh-CN"/>
        </w:rPr>
        <w:t>增加</w:t>
      </w:r>
      <w:r>
        <w:rPr>
          <w:rFonts w:hint="eastAsia" w:ascii="仿宋_GB2312" w:eastAsia="仿宋_GB2312"/>
          <w:sz w:val="30"/>
          <w:szCs w:val="30"/>
          <w:u w:val="none"/>
        </w:rPr>
        <w:t>的主要原因</w:t>
      </w:r>
      <w:r>
        <w:rPr>
          <w:rFonts w:hint="eastAsia" w:ascii="仿宋_GB2312" w:eastAsia="仿宋_GB2312"/>
          <w:sz w:val="30"/>
          <w:szCs w:val="30"/>
          <w:highlight w:val="none"/>
          <w:u w:val="none"/>
          <w:lang w:val="en-US" w:eastAsia="zh-CN"/>
        </w:rPr>
        <w:t>是：本级部门无增长趋势，下属单位上年无三公经费列支，本年根据工作需要填报“三公”经费，致使增幅比例较大</w:t>
      </w:r>
      <w:r>
        <w:rPr>
          <w:rFonts w:hint="eastAsia" w:ascii="仿宋_GB2312" w:eastAsia="仿宋_GB2312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outlineLvl w:val="2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  <w:lang w:eastAsia="zh-CN"/>
        </w:rPr>
        <w:t>二、</w:t>
      </w:r>
      <w:r>
        <w:rPr>
          <w:rFonts w:hint="eastAsia" w:ascii="楷体" w:hAnsi="楷体" w:eastAsia="楷体"/>
          <w:sz w:val="30"/>
          <w:szCs w:val="30"/>
        </w:rPr>
        <w:t>一般公共预算财政拨款“三公”经费支出决算具体情况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2021</w:t>
      </w:r>
      <w:r>
        <w:rPr>
          <w:rFonts w:hint="eastAsia" w:ascii="仿宋_GB2312" w:eastAsia="仿宋_GB2312"/>
          <w:sz w:val="30"/>
          <w:szCs w:val="30"/>
        </w:rPr>
        <w:t>年度一般公共预算财政拨款“三公”经费支出决算中，因公出国（境）费支出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%；公务用车购置及运行维护费支出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29.92</w:t>
      </w:r>
      <w:r>
        <w:rPr>
          <w:rFonts w:hint="eastAsia" w:ascii="仿宋_GB2312" w:eastAsia="仿宋_GB2312"/>
          <w:sz w:val="30"/>
          <w:szCs w:val="30"/>
        </w:rPr>
        <w:t>万元，占</w:t>
      </w:r>
      <w:r>
        <w:rPr>
          <w:rFonts w:hint="eastAsia" w:ascii="仿宋_GB2312" w:eastAsia="仿宋_GB2312"/>
          <w:sz w:val="30"/>
          <w:szCs w:val="30"/>
          <w:lang w:eastAsia="zh-CN"/>
        </w:rPr>
        <w:t>预算数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36.7</w:t>
      </w:r>
      <w:r>
        <w:rPr>
          <w:rFonts w:hint="eastAsia" w:ascii="仿宋_GB2312" w:eastAsia="仿宋_GB2312"/>
          <w:sz w:val="30"/>
          <w:szCs w:val="30"/>
        </w:rPr>
        <w:t>%；公务接待费支出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%。具体情况如下：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default" w:ascii="仿宋_GB2312" w:hAnsi="Times New Roman" w:eastAsia="仿宋_GB2312" w:cs="Times New Roman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1.因公出国（境）费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万元，共安排因公出国（境）团组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个，累计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2. 公务用车购置及运行维护费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29.92</w:t>
      </w:r>
      <w:r>
        <w:rPr>
          <w:rFonts w:hint="eastAsia" w:ascii="仿宋_GB2312" w:eastAsia="仿宋_GB2312"/>
          <w:sz w:val="30"/>
          <w:szCs w:val="30"/>
        </w:rPr>
        <w:t>万元。其中：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公务用车购置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万元，购置车辆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hAnsi="Times New Roman" w:eastAsia="仿宋_GB2312" w:cs="Times New Roman"/>
          <w:color w:val="FF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公务用车运行维护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29.92</w:t>
      </w:r>
      <w:r>
        <w:rPr>
          <w:rFonts w:hint="eastAsia" w:ascii="仿宋_GB2312" w:eastAsia="仿宋_GB2312"/>
          <w:sz w:val="30"/>
          <w:szCs w:val="30"/>
        </w:rPr>
        <w:t>万元，开支一般公共预算财政拨款的公务用车保有量为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辆。主要用于</w:t>
      </w:r>
      <w:r>
        <w:rPr>
          <w:rFonts w:hint="eastAsia" w:ascii="仿宋_GB2312" w:eastAsia="仿宋_GB2312"/>
          <w:sz w:val="30"/>
          <w:szCs w:val="30"/>
          <w:highlight w:val="none"/>
        </w:rPr>
        <w:t>保障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人防工作、工程监管等</w:t>
      </w:r>
      <w:r>
        <w:rPr>
          <w:rFonts w:hint="eastAsia" w:ascii="仿宋_GB2312" w:eastAsia="仿宋_GB2312"/>
          <w:sz w:val="30"/>
          <w:szCs w:val="30"/>
        </w:rPr>
        <w:t>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发生的公务用车</w:t>
      </w:r>
      <w:r>
        <w:rPr>
          <w:rFonts w:hint="eastAsia" w:ascii="仿宋_GB2312" w:eastAsia="仿宋_GB2312"/>
          <w:sz w:val="30"/>
          <w:szCs w:val="30"/>
        </w:rPr>
        <w:t>燃料费、维修费、过路过桥费、保险费</w:t>
      </w:r>
      <w:r>
        <w:rPr>
          <w:rFonts w:hint="eastAsia" w:ascii="仿宋_GB2312" w:eastAsia="仿宋_GB2312"/>
          <w:sz w:val="30"/>
          <w:szCs w:val="30"/>
          <w:lang w:eastAsia="zh-CN"/>
        </w:rPr>
        <w:t>；其中：下属单位车辆在此表中没有反映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3.公务接待费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万元。其中：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国内接待费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万元（其中：外事接待费支出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万元），共安排国内公务接待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批次（其中：外事接待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批次），接待人次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人（其中：外事接待人次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国（境）外接待费</w:t>
      </w:r>
      <w:r>
        <w:rPr>
          <w:rFonts w:hint="eastAsia" w:ascii="仿宋_GB2312" w:eastAsia="仿宋_GB2312"/>
          <w:sz w:val="30"/>
          <w:szCs w:val="30"/>
        </w:rPr>
        <w:t>支出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万元，共安排国（境）外公务接待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批次，接待人次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>人。</w:t>
      </w:r>
    </w:p>
    <w:p>
      <w:pPr>
        <w:pStyle w:val="2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另外，“三公”经费支出预决算差异率较大原因分析，年初根据事业人员数量和公务用车数量进行经费申请，年度内根据实际工作开展情况进行经费申请报销。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jaVu Sans">
    <w:altName w:val="Verdan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4644"/>
    <w:rsid w:val="2FCA46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2022-11-16T02:33:00Z</dcterms:created>
  <dc:creator>Administrator</dc:creator>
  <cp:lastModifiedBy>Administrator</cp:lastModifiedBy>
  <dcterms:modified xsi:type="dcterms:W3CDTF">2022-11-16T02:34:51Z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