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Arial" w:hAnsi="Arial" w:eastAsia="Arial" w:cs="Arial"/>
          <w:b/>
          <w:sz w:val="36"/>
        </w:rPr>
      </w:pPr>
      <w:r>
        <w:rPr>
          <w:rFonts w:ascii="Arial" w:hAnsi="Arial" w:eastAsia="Arial" w:cs="Arial"/>
          <w:b/>
          <w:sz w:val="36"/>
        </w:rPr>
        <w:t>监督索引号53010300163401000</w:t>
      </w:r>
    </w:p>
    <w:p>
      <w:pPr>
        <w:keepNext w:val="0"/>
        <w:keepLines w:val="0"/>
        <w:pageBreakBefore w:val="0"/>
        <w:kinsoku/>
        <w:wordWrap/>
        <w:overflowPunct/>
        <w:topLinePunct w:val="0"/>
        <w:autoSpaceDE/>
        <w:autoSpaceDN/>
        <w:bidi w:val="0"/>
        <w:jc w:val="center"/>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color w:val="auto"/>
          <w:sz w:val="36"/>
          <w:szCs w:val="36"/>
          <w:highlight w:val="none"/>
          <w:lang w:eastAsia="zh-CN"/>
        </w:rPr>
        <w:t>昆明市盘龙区信访局</w:t>
      </w:r>
      <w:r>
        <w:rPr>
          <w:rFonts w:hint="eastAsia" w:ascii="方正小标宋简体" w:hAnsi="方正小标宋简体" w:eastAsia="方正小标宋简体" w:cs="方正小标宋简体"/>
          <w:color w:val="auto"/>
          <w:sz w:val="36"/>
          <w:szCs w:val="36"/>
          <w:highlight w:val="none"/>
          <w:lang w:val="en-US" w:eastAsia="zh-CN"/>
        </w:rPr>
        <w:t>2</w:t>
      </w:r>
      <w:r>
        <w:rPr>
          <w:rFonts w:hint="eastAsia" w:ascii="方正小标宋简体" w:hAnsi="方正小标宋简体" w:eastAsia="方正小标宋简体" w:cs="方正小标宋简体"/>
          <w:sz w:val="36"/>
          <w:szCs w:val="36"/>
          <w:lang w:val="en-US" w:eastAsia="zh-CN"/>
        </w:rPr>
        <w:t>021</w:t>
      </w:r>
      <w:r>
        <w:rPr>
          <w:rFonts w:hint="eastAsia" w:ascii="方正小标宋简体" w:hAnsi="方正小标宋简体" w:eastAsia="方正小标宋简体" w:cs="方正小标宋简体"/>
          <w:sz w:val="36"/>
          <w:szCs w:val="36"/>
        </w:rPr>
        <w:t>年度部门决算</w:t>
      </w:r>
    </w:p>
    <w:p>
      <w:pPr>
        <w:keepNext w:val="0"/>
        <w:keepLines w:val="0"/>
        <w:pageBreakBefore w:val="0"/>
        <w:kinsoku/>
        <w:wordWrap/>
        <w:overflowPunct/>
        <w:topLinePunct w:val="0"/>
        <w:autoSpaceDE/>
        <w:autoSpaceDN/>
        <w:bidi w:val="0"/>
        <w:jc w:val="center"/>
        <w:rPr>
          <w:rFonts w:hint="eastAsia" w:ascii="方正小标宋简体" w:hAnsi="方正小标宋简体" w:eastAsia="方正小标宋简体" w:cs="方正小标宋简体"/>
          <w:sz w:val="36"/>
          <w:szCs w:val="36"/>
          <w:lang w:eastAsia="zh-CN"/>
        </w:rPr>
      </w:pPr>
      <w:r>
        <w:rPr>
          <w:rFonts w:hint="eastAsia" w:ascii="方正小标宋简体" w:hAnsi="方正小标宋简体" w:eastAsia="方正小标宋简体" w:cs="方正小标宋简体"/>
          <w:sz w:val="36"/>
          <w:szCs w:val="36"/>
          <w:lang w:eastAsia="zh-CN"/>
        </w:rPr>
        <w:t>目录</w:t>
      </w:r>
    </w:p>
    <w:p>
      <w:pPr>
        <w:keepNext w:val="0"/>
        <w:keepLines w:val="0"/>
        <w:pageBreakBefore w:val="0"/>
        <w:kinsoku/>
        <w:wordWrap/>
        <w:overflowPunct/>
        <w:topLinePunct w:val="0"/>
        <w:autoSpaceDE/>
        <w:autoSpaceDN/>
        <w:bidi w:val="0"/>
        <w:jc w:val="left"/>
        <w:rPr>
          <w:rFonts w:hint="eastAsia" w:ascii="黑体" w:hAnsi="黑体" w:eastAsia="黑体"/>
          <w:sz w:val="30"/>
          <w:szCs w:val="30"/>
        </w:rPr>
      </w:pPr>
    </w:p>
    <w:p>
      <w:pPr>
        <w:keepNext w:val="0"/>
        <w:keepLines w:val="0"/>
        <w:pageBreakBefore w:val="0"/>
        <w:kinsoku/>
        <w:wordWrap/>
        <w:overflowPunct/>
        <w:topLinePunct w:val="0"/>
        <w:autoSpaceDE/>
        <w:autoSpaceDN/>
        <w:bidi w:val="0"/>
        <w:jc w:val="left"/>
        <w:outlineLvl w:val="0"/>
        <w:rPr>
          <w:rFonts w:hint="eastAsia" w:ascii="黑体" w:hAnsi="黑体" w:eastAsia="黑体"/>
          <w:sz w:val="30"/>
          <w:szCs w:val="30"/>
        </w:rPr>
      </w:pPr>
      <w:r>
        <w:rPr>
          <w:rFonts w:hint="eastAsia" w:ascii="黑体" w:hAnsi="黑体" w:eastAsia="黑体"/>
          <w:sz w:val="30"/>
          <w:szCs w:val="30"/>
        </w:rPr>
        <w:t xml:space="preserve">第一部分  </w:t>
      </w:r>
      <w:r>
        <w:rPr>
          <w:rFonts w:hint="eastAsia" w:ascii="黑体" w:hAnsi="黑体" w:eastAsia="黑体"/>
          <w:sz w:val="30"/>
          <w:szCs w:val="30"/>
          <w:lang w:eastAsia="zh-CN"/>
        </w:rPr>
        <w:t>昆明市盘龙区信访局</w:t>
      </w:r>
      <w:r>
        <w:rPr>
          <w:rFonts w:hint="eastAsia" w:ascii="黑体" w:hAnsi="黑体" w:eastAsia="黑体"/>
          <w:sz w:val="30"/>
          <w:szCs w:val="30"/>
        </w:rPr>
        <w:t>概况</w:t>
      </w:r>
    </w:p>
    <w:p>
      <w:pPr>
        <w:keepNext w:val="0"/>
        <w:keepLines w:val="0"/>
        <w:pageBreakBefore w:val="0"/>
        <w:kinsoku/>
        <w:wordWrap/>
        <w:overflowPunct/>
        <w:topLinePunct w:val="0"/>
        <w:autoSpaceDE/>
        <w:autoSpaceDN/>
        <w:bidi w:val="0"/>
        <w:spacing w:line="240" w:lineRule="atLeast"/>
        <w:jc w:val="left"/>
        <w:rPr>
          <w:rFonts w:hint="eastAsia" w:ascii="楷体" w:hAnsi="楷体" w:eastAsia="楷体"/>
          <w:sz w:val="30"/>
          <w:szCs w:val="30"/>
        </w:rPr>
      </w:pPr>
      <w:r>
        <w:rPr>
          <w:rFonts w:hint="eastAsia" w:ascii="楷体" w:hAnsi="楷体" w:eastAsia="楷体"/>
          <w:sz w:val="30"/>
          <w:szCs w:val="30"/>
        </w:rPr>
        <w:t>一、主要职能</w:t>
      </w:r>
    </w:p>
    <w:p>
      <w:pPr>
        <w:keepNext w:val="0"/>
        <w:keepLines w:val="0"/>
        <w:pageBreakBefore w:val="0"/>
        <w:kinsoku/>
        <w:wordWrap/>
        <w:overflowPunct/>
        <w:topLinePunct w:val="0"/>
        <w:autoSpaceDE/>
        <w:autoSpaceDN/>
        <w:bidi w:val="0"/>
        <w:spacing w:line="240" w:lineRule="atLeast"/>
        <w:jc w:val="left"/>
        <w:rPr>
          <w:rFonts w:hint="eastAsia" w:ascii="楷体" w:hAnsi="楷体" w:eastAsia="楷体"/>
          <w:sz w:val="30"/>
          <w:szCs w:val="30"/>
        </w:rPr>
      </w:pPr>
      <w:r>
        <w:rPr>
          <w:rFonts w:hint="eastAsia" w:ascii="楷体" w:hAnsi="楷体" w:eastAsia="楷体"/>
          <w:sz w:val="30"/>
          <w:szCs w:val="30"/>
        </w:rPr>
        <w:t>二、部门基本情况</w:t>
      </w:r>
    </w:p>
    <w:p>
      <w:pPr>
        <w:keepNext w:val="0"/>
        <w:keepLines w:val="0"/>
        <w:pageBreakBefore w:val="0"/>
        <w:kinsoku/>
        <w:wordWrap/>
        <w:overflowPunct/>
        <w:topLinePunct w:val="0"/>
        <w:autoSpaceDE/>
        <w:autoSpaceDN/>
        <w:bidi w:val="0"/>
        <w:jc w:val="left"/>
        <w:outlineLvl w:val="0"/>
        <w:rPr>
          <w:rFonts w:hint="eastAsia" w:ascii="黑体" w:hAnsi="黑体" w:eastAsia="黑体"/>
          <w:sz w:val="30"/>
          <w:szCs w:val="30"/>
        </w:rPr>
      </w:pPr>
      <w:r>
        <w:rPr>
          <w:rFonts w:hint="eastAsia" w:ascii="黑体" w:hAnsi="黑体" w:eastAsia="黑体"/>
          <w:sz w:val="30"/>
          <w:szCs w:val="30"/>
        </w:rPr>
        <w:t xml:space="preserve">第二部分  </w:t>
      </w:r>
      <w:r>
        <w:rPr>
          <w:rFonts w:hint="eastAsia" w:ascii="黑体" w:hAnsi="黑体" w:eastAsia="黑体"/>
          <w:sz w:val="30"/>
          <w:szCs w:val="30"/>
          <w:lang w:val="en-US" w:eastAsia="zh-CN"/>
        </w:rPr>
        <w:t>2021</w:t>
      </w:r>
      <w:r>
        <w:rPr>
          <w:rFonts w:hint="eastAsia" w:ascii="黑体" w:hAnsi="黑体" w:eastAsia="黑体"/>
          <w:sz w:val="30"/>
          <w:szCs w:val="30"/>
        </w:rPr>
        <w:t>年度部门决算表</w:t>
      </w:r>
    </w:p>
    <w:p>
      <w:pPr>
        <w:keepNext w:val="0"/>
        <w:keepLines w:val="0"/>
        <w:pageBreakBefore w:val="0"/>
        <w:kinsoku/>
        <w:wordWrap/>
        <w:overflowPunct/>
        <w:topLinePunct w:val="0"/>
        <w:autoSpaceDE/>
        <w:autoSpaceDN/>
        <w:bidi w:val="0"/>
        <w:jc w:val="left"/>
        <w:rPr>
          <w:rFonts w:hint="eastAsia" w:ascii="楷体" w:hAnsi="楷体" w:eastAsia="楷体"/>
          <w:sz w:val="30"/>
          <w:szCs w:val="30"/>
        </w:rPr>
      </w:pPr>
      <w:r>
        <w:rPr>
          <w:rFonts w:hint="eastAsia" w:ascii="楷体" w:hAnsi="楷体" w:eastAsia="楷体"/>
          <w:sz w:val="30"/>
          <w:szCs w:val="30"/>
        </w:rPr>
        <w:t>一、收入支出决算总表</w:t>
      </w:r>
    </w:p>
    <w:p>
      <w:pPr>
        <w:keepNext w:val="0"/>
        <w:keepLines w:val="0"/>
        <w:pageBreakBefore w:val="0"/>
        <w:kinsoku/>
        <w:wordWrap/>
        <w:overflowPunct/>
        <w:topLinePunct w:val="0"/>
        <w:autoSpaceDE/>
        <w:autoSpaceDN/>
        <w:bidi w:val="0"/>
        <w:jc w:val="left"/>
        <w:rPr>
          <w:rFonts w:hint="eastAsia" w:ascii="楷体" w:hAnsi="楷体" w:eastAsia="楷体"/>
          <w:sz w:val="30"/>
          <w:szCs w:val="30"/>
        </w:rPr>
      </w:pPr>
      <w:r>
        <w:rPr>
          <w:rFonts w:hint="eastAsia" w:ascii="楷体" w:hAnsi="楷体" w:eastAsia="楷体"/>
          <w:sz w:val="30"/>
          <w:szCs w:val="30"/>
        </w:rPr>
        <w:t>二、收入决算表</w:t>
      </w:r>
    </w:p>
    <w:p>
      <w:pPr>
        <w:keepNext w:val="0"/>
        <w:keepLines w:val="0"/>
        <w:pageBreakBefore w:val="0"/>
        <w:kinsoku/>
        <w:wordWrap/>
        <w:overflowPunct/>
        <w:topLinePunct w:val="0"/>
        <w:autoSpaceDE/>
        <w:autoSpaceDN/>
        <w:bidi w:val="0"/>
        <w:jc w:val="left"/>
        <w:rPr>
          <w:rFonts w:hint="eastAsia" w:ascii="楷体" w:hAnsi="楷体" w:eastAsia="楷体"/>
          <w:sz w:val="30"/>
          <w:szCs w:val="30"/>
        </w:rPr>
      </w:pPr>
      <w:r>
        <w:rPr>
          <w:rFonts w:hint="eastAsia" w:ascii="楷体" w:hAnsi="楷体" w:eastAsia="楷体"/>
          <w:sz w:val="30"/>
          <w:szCs w:val="30"/>
        </w:rPr>
        <w:t>三、支出决算表</w:t>
      </w:r>
    </w:p>
    <w:p>
      <w:pPr>
        <w:keepNext w:val="0"/>
        <w:keepLines w:val="0"/>
        <w:pageBreakBefore w:val="0"/>
        <w:kinsoku/>
        <w:wordWrap/>
        <w:overflowPunct/>
        <w:topLinePunct w:val="0"/>
        <w:autoSpaceDE/>
        <w:autoSpaceDN/>
        <w:bidi w:val="0"/>
        <w:jc w:val="left"/>
        <w:rPr>
          <w:rFonts w:hint="eastAsia" w:ascii="楷体" w:hAnsi="楷体" w:eastAsia="楷体"/>
          <w:sz w:val="30"/>
          <w:szCs w:val="30"/>
        </w:rPr>
      </w:pPr>
      <w:r>
        <w:rPr>
          <w:rFonts w:hint="eastAsia" w:ascii="楷体" w:hAnsi="楷体" w:eastAsia="楷体"/>
          <w:sz w:val="30"/>
          <w:szCs w:val="30"/>
        </w:rPr>
        <w:t>四、财政拨款收入支出决算总表</w:t>
      </w:r>
    </w:p>
    <w:p>
      <w:pPr>
        <w:keepNext w:val="0"/>
        <w:keepLines w:val="0"/>
        <w:pageBreakBefore w:val="0"/>
        <w:kinsoku/>
        <w:wordWrap/>
        <w:overflowPunct/>
        <w:topLinePunct w:val="0"/>
        <w:autoSpaceDE/>
        <w:autoSpaceDN/>
        <w:bidi w:val="0"/>
        <w:jc w:val="left"/>
        <w:rPr>
          <w:rFonts w:hint="eastAsia" w:ascii="楷体" w:hAnsi="楷体" w:eastAsia="楷体"/>
          <w:sz w:val="30"/>
          <w:szCs w:val="30"/>
        </w:rPr>
      </w:pPr>
      <w:r>
        <w:rPr>
          <w:rFonts w:hint="eastAsia" w:ascii="楷体" w:hAnsi="楷体" w:eastAsia="楷体"/>
          <w:sz w:val="30"/>
          <w:szCs w:val="30"/>
        </w:rPr>
        <w:t>五、一般公共预算财政拨款收入支出决算表</w:t>
      </w:r>
    </w:p>
    <w:p>
      <w:pPr>
        <w:keepNext w:val="0"/>
        <w:keepLines w:val="0"/>
        <w:pageBreakBefore w:val="0"/>
        <w:kinsoku/>
        <w:wordWrap/>
        <w:overflowPunct/>
        <w:topLinePunct w:val="0"/>
        <w:autoSpaceDE/>
        <w:autoSpaceDN/>
        <w:bidi w:val="0"/>
        <w:jc w:val="left"/>
        <w:rPr>
          <w:rFonts w:hint="eastAsia" w:ascii="楷体" w:hAnsi="楷体" w:eastAsia="楷体"/>
          <w:sz w:val="30"/>
          <w:szCs w:val="30"/>
        </w:rPr>
      </w:pPr>
      <w:r>
        <w:rPr>
          <w:rFonts w:hint="eastAsia" w:ascii="楷体" w:hAnsi="楷体" w:eastAsia="楷体"/>
          <w:sz w:val="30"/>
          <w:szCs w:val="30"/>
        </w:rPr>
        <w:t>六、一般公共预算财政拨款基本支出决算表</w:t>
      </w:r>
    </w:p>
    <w:p>
      <w:pPr>
        <w:keepNext w:val="0"/>
        <w:keepLines w:val="0"/>
        <w:pageBreakBefore w:val="0"/>
        <w:kinsoku/>
        <w:wordWrap/>
        <w:overflowPunct/>
        <w:topLinePunct w:val="0"/>
        <w:autoSpaceDE/>
        <w:autoSpaceDN/>
        <w:bidi w:val="0"/>
        <w:jc w:val="left"/>
        <w:rPr>
          <w:rFonts w:hint="eastAsia" w:ascii="楷体" w:hAnsi="楷体" w:eastAsia="楷体"/>
          <w:sz w:val="30"/>
          <w:szCs w:val="30"/>
        </w:rPr>
      </w:pPr>
      <w:r>
        <w:rPr>
          <w:rFonts w:hint="eastAsia" w:ascii="楷体" w:hAnsi="楷体" w:eastAsia="楷体"/>
          <w:sz w:val="30"/>
          <w:szCs w:val="30"/>
        </w:rPr>
        <w:t>七、政府性基金预算财政拨款收入支出决算表</w:t>
      </w:r>
    </w:p>
    <w:p>
      <w:pPr>
        <w:keepNext w:val="0"/>
        <w:keepLines w:val="0"/>
        <w:pageBreakBefore w:val="0"/>
        <w:kinsoku/>
        <w:wordWrap/>
        <w:overflowPunct/>
        <w:topLinePunct w:val="0"/>
        <w:autoSpaceDE/>
        <w:autoSpaceDN/>
        <w:bidi w:val="0"/>
        <w:jc w:val="left"/>
        <w:rPr>
          <w:rFonts w:hint="eastAsia" w:ascii="楷体" w:hAnsi="楷体" w:eastAsia="楷体"/>
          <w:sz w:val="30"/>
          <w:szCs w:val="30"/>
          <w:lang w:val="en-US" w:eastAsia="zh-CN"/>
        </w:rPr>
      </w:pPr>
      <w:r>
        <w:rPr>
          <w:rFonts w:hint="eastAsia" w:ascii="楷体" w:hAnsi="楷体" w:eastAsia="楷体"/>
          <w:sz w:val="30"/>
          <w:szCs w:val="30"/>
          <w:lang w:val="en-US" w:eastAsia="zh-CN"/>
        </w:rPr>
        <w:t>八、国有资本经营预算财政拨款收入支出决算表</w:t>
      </w:r>
    </w:p>
    <w:p>
      <w:pPr>
        <w:keepNext w:val="0"/>
        <w:keepLines w:val="0"/>
        <w:pageBreakBefore w:val="0"/>
        <w:kinsoku/>
        <w:wordWrap/>
        <w:overflowPunct/>
        <w:topLinePunct w:val="0"/>
        <w:autoSpaceDE/>
        <w:autoSpaceDN/>
        <w:bidi w:val="0"/>
        <w:jc w:val="left"/>
        <w:rPr>
          <w:rFonts w:hint="eastAsia" w:ascii="楷体" w:hAnsi="楷体" w:eastAsia="楷体"/>
          <w:sz w:val="30"/>
          <w:szCs w:val="30"/>
        </w:rPr>
      </w:pPr>
      <w:r>
        <w:rPr>
          <w:rFonts w:hint="eastAsia" w:ascii="楷体" w:hAnsi="楷体" w:eastAsia="楷体"/>
          <w:sz w:val="30"/>
          <w:szCs w:val="30"/>
          <w:lang w:eastAsia="zh-CN"/>
        </w:rPr>
        <w:t>九</w:t>
      </w:r>
      <w:r>
        <w:rPr>
          <w:rFonts w:hint="eastAsia" w:ascii="楷体" w:hAnsi="楷体" w:eastAsia="楷体"/>
          <w:sz w:val="30"/>
          <w:szCs w:val="30"/>
        </w:rPr>
        <w:t>、“三公”经费、行政参公单位机关运行经费情况表</w:t>
      </w:r>
    </w:p>
    <w:p>
      <w:pPr>
        <w:keepNext w:val="0"/>
        <w:keepLines w:val="0"/>
        <w:pageBreakBefore w:val="0"/>
        <w:kinsoku/>
        <w:wordWrap/>
        <w:overflowPunct/>
        <w:topLinePunct w:val="0"/>
        <w:autoSpaceDE/>
        <w:autoSpaceDN/>
        <w:bidi w:val="0"/>
        <w:jc w:val="left"/>
        <w:outlineLvl w:val="0"/>
        <w:rPr>
          <w:rFonts w:hint="eastAsia" w:ascii="黑体" w:hAnsi="黑体" w:eastAsia="黑体"/>
          <w:sz w:val="30"/>
          <w:szCs w:val="30"/>
        </w:rPr>
      </w:pPr>
      <w:r>
        <w:rPr>
          <w:rFonts w:hint="eastAsia" w:ascii="黑体" w:hAnsi="黑体" w:eastAsia="黑体"/>
          <w:sz w:val="30"/>
          <w:szCs w:val="30"/>
        </w:rPr>
        <w:t>第三部</w:t>
      </w:r>
      <w:r>
        <w:rPr>
          <w:rFonts w:hint="eastAsia" w:ascii="黑体" w:hAnsi="黑体" w:eastAsia="黑体"/>
          <w:sz w:val="30"/>
          <w:szCs w:val="30"/>
          <w:lang w:eastAsia="zh-CN"/>
        </w:rPr>
        <w:t>分</w:t>
      </w:r>
      <w:r>
        <w:rPr>
          <w:rFonts w:hint="eastAsia" w:ascii="黑体" w:hAnsi="黑体" w:eastAsia="黑体"/>
          <w:sz w:val="30"/>
          <w:szCs w:val="30"/>
        </w:rPr>
        <w:t xml:space="preserve">  </w:t>
      </w:r>
      <w:r>
        <w:rPr>
          <w:rFonts w:hint="eastAsia" w:ascii="黑体" w:hAnsi="黑体" w:eastAsia="黑体"/>
          <w:sz w:val="30"/>
          <w:szCs w:val="30"/>
          <w:lang w:val="en-US" w:eastAsia="zh-CN"/>
        </w:rPr>
        <w:t>2021</w:t>
      </w:r>
      <w:r>
        <w:rPr>
          <w:rFonts w:hint="eastAsia" w:ascii="黑体" w:hAnsi="黑体" w:eastAsia="黑体"/>
          <w:sz w:val="30"/>
          <w:szCs w:val="30"/>
        </w:rPr>
        <w:t>年度部门决算情况说明</w:t>
      </w:r>
    </w:p>
    <w:p>
      <w:pPr>
        <w:keepNext w:val="0"/>
        <w:keepLines w:val="0"/>
        <w:pageBreakBefore w:val="0"/>
        <w:kinsoku/>
        <w:wordWrap/>
        <w:overflowPunct/>
        <w:topLinePunct w:val="0"/>
        <w:autoSpaceDE/>
        <w:autoSpaceDN/>
        <w:bidi w:val="0"/>
        <w:jc w:val="left"/>
        <w:rPr>
          <w:rFonts w:hint="eastAsia" w:ascii="楷体" w:hAnsi="楷体" w:eastAsia="楷体"/>
          <w:sz w:val="30"/>
          <w:szCs w:val="30"/>
        </w:rPr>
      </w:pPr>
      <w:r>
        <w:rPr>
          <w:rFonts w:hint="eastAsia" w:ascii="楷体" w:hAnsi="楷体" w:eastAsia="楷体"/>
          <w:sz w:val="30"/>
          <w:szCs w:val="30"/>
        </w:rPr>
        <w:t>一、收入决算情况说明</w:t>
      </w:r>
    </w:p>
    <w:p>
      <w:pPr>
        <w:keepNext w:val="0"/>
        <w:keepLines w:val="0"/>
        <w:pageBreakBefore w:val="0"/>
        <w:kinsoku/>
        <w:wordWrap/>
        <w:overflowPunct/>
        <w:topLinePunct w:val="0"/>
        <w:autoSpaceDE/>
        <w:autoSpaceDN/>
        <w:bidi w:val="0"/>
        <w:jc w:val="left"/>
        <w:rPr>
          <w:rFonts w:hint="eastAsia" w:ascii="楷体" w:hAnsi="楷体" w:eastAsia="楷体"/>
          <w:sz w:val="30"/>
          <w:szCs w:val="30"/>
        </w:rPr>
      </w:pPr>
      <w:r>
        <w:rPr>
          <w:rFonts w:hint="eastAsia" w:ascii="楷体" w:hAnsi="楷体" w:eastAsia="楷体"/>
          <w:sz w:val="30"/>
          <w:szCs w:val="30"/>
        </w:rPr>
        <w:t>二、支出决算情况说明</w:t>
      </w:r>
    </w:p>
    <w:p>
      <w:pPr>
        <w:keepNext w:val="0"/>
        <w:keepLines w:val="0"/>
        <w:pageBreakBefore w:val="0"/>
        <w:kinsoku/>
        <w:wordWrap/>
        <w:overflowPunct/>
        <w:topLinePunct w:val="0"/>
        <w:autoSpaceDE/>
        <w:autoSpaceDN/>
        <w:bidi w:val="0"/>
        <w:jc w:val="left"/>
        <w:rPr>
          <w:rFonts w:hint="eastAsia" w:ascii="楷体" w:hAnsi="楷体" w:eastAsia="楷体"/>
          <w:sz w:val="30"/>
          <w:szCs w:val="30"/>
        </w:rPr>
      </w:pPr>
      <w:r>
        <w:rPr>
          <w:rFonts w:hint="eastAsia" w:ascii="楷体" w:hAnsi="楷体" w:eastAsia="楷体"/>
          <w:sz w:val="30"/>
          <w:szCs w:val="30"/>
        </w:rPr>
        <w:t>三、一般公共预算财政拨款支出决算情况说明</w:t>
      </w:r>
    </w:p>
    <w:p>
      <w:pPr>
        <w:keepNext w:val="0"/>
        <w:keepLines w:val="0"/>
        <w:pageBreakBefore w:val="0"/>
        <w:widowControl/>
        <w:kinsoku/>
        <w:wordWrap/>
        <w:overflowPunct/>
        <w:topLinePunct w:val="0"/>
        <w:autoSpaceDE/>
        <w:autoSpaceDN/>
        <w:bidi w:val="0"/>
        <w:snapToGrid w:val="0"/>
        <w:spacing w:line="360" w:lineRule="auto"/>
        <w:jc w:val="left"/>
        <w:rPr>
          <w:rFonts w:hint="eastAsia" w:ascii="楷体" w:hAnsi="楷体" w:eastAsia="楷体"/>
          <w:sz w:val="30"/>
          <w:szCs w:val="30"/>
        </w:rPr>
      </w:pPr>
      <w:r>
        <w:rPr>
          <w:rFonts w:hint="eastAsia" w:ascii="楷体" w:hAnsi="楷体" w:eastAsia="楷体"/>
          <w:sz w:val="30"/>
          <w:szCs w:val="30"/>
        </w:rPr>
        <w:t>四、一般公共预算财政拨款“三公”经费支出决算情况说明</w:t>
      </w:r>
    </w:p>
    <w:p>
      <w:pPr>
        <w:keepNext w:val="0"/>
        <w:keepLines w:val="0"/>
        <w:pageBreakBefore w:val="0"/>
        <w:widowControl/>
        <w:kinsoku/>
        <w:wordWrap/>
        <w:overflowPunct/>
        <w:topLinePunct w:val="0"/>
        <w:autoSpaceDE/>
        <w:autoSpaceDN/>
        <w:bidi w:val="0"/>
        <w:snapToGrid w:val="0"/>
        <w:spacing w:line="360" w:lineRule="auto"/>
        <w:jc w:val="left"/>
        <w:outlineLvl w:val="0"/>
        <w:rPr>
          <w:rFonts w:hint="eastAsia" w:ascii="黑体" w:hAnsi="黑体" w:eastAsia="黑体"/>
          <w:sz w:val="30"/>
          <w:szCs w:val="30"/>
        </w:rPr>
      </w:pPr>
      <w:r>
        <w:rPr>
          <w:rFonts w:hint="eastAsia" w:ascii="黑体" w:hAnsi="黑体" w:eastAsia="黑体"/>
          <w:sz w:val="30"/>
          <w:szCs w:val="30"/>
          <w:lang w:eastAsia="zh-CN"/>
        </w:rPr>
        <w:t>第四部分</w:t>
      </w:r>
      <w:r>
        <w:rPr>
          <w:rFonts w:hint="eastAsia" w:ascii="楷体" w:hAnsi="楷体" w:eastAsia="楷体"/>
          <w:sz w:val="30"/>
          <w:szCs w:val="30"/>
          <w:lang w:val="en-US" w:eastAsia="zh-CN"/>
        </w:rPr>
        <w:t xml:space="preserve">  </w:t>
      </w:r>
      <w:r>
        <w:rPr>
          <w:rFonts w:hint="eastAsia" w:ascii="黑体" w:hAnsi="黑体" w:eastAsia="黑体"/>
          <w:sz w:val="30"/>
          <w:szCs w:val="30"/>
        </w:rPr>
        <w:t>其他重要事项及相关口径情况说明</w:t>
      </w:r>
    </w:p>
    <w:p>
      <w:pPr>
        <w:keepNext w:val="0"/>
        <w:keepLines w:val="0"/>
        <w:pageBreakBefore w:val="0"/>
        <w:kinsoku/>
        <w:wordWrap/>
        <w:overflowPunct/>
        <w:topLinePunct w:val="0"/>
        <w:autoSpaceDE/>
        <w:autoSpaceDN/>
        <w:bidi w:val="0"/>
        <w:jc w:val="left"/>
        <w:outlineLvl w:val="1"/>
        <w:rPr>
          <w:rFonts w:hint="eastAsia" w:ascii="楷体" w:hAnsi="楷体" w:eastAsia="楷体"/>
          <w:sz w:val="30"/>
          <w:szCs w:val="30"/>
          <w:lang w:eastAsia="zh-CN"/>
        </w:rPr>
      </w:pPr>
      <w:r>
        <w:rPr>
          <w:rFonts w:hint="eastAsia" w:ascii="楷体" w:hAnsi="楷体" w:eastAsia="楷体"/>
          <w:sz w:val="30"/>
          <w:szCs w:val="30"/>
          <w:lang w:eastAsia="zh-CN"/>
        </w:rPr>
        <w:t>一、</w:t>
      </w:r>
      <w:r>
        <w:rPr>
          <w:rFonts w:hint="eastAsia" w:ascii="楷体" w:hAnsi="楷体" w:eastAsia="楷体"/>
          <w:sz w:val="30"/>
          <w:szCs w:val="30"/>
        </w:rPr>
        <w:t>机关运行经费支出情况</w:t>
      </w:r>
    </w:p>
    <w:p>
      <w:pPr>
        <w:keepNext w:val="0"/>
        <w:keepLines w:val="0"/>
        <w:pageBreakBefore w:val="0"/>
        <w:kinsoku/>
        <w:wordWrap/>
        <w:overflowPunct/>
        <w:topLinePunct w:val="0"/>
        <w:autoSpaceDE/>
        <w:autoSpaceDN/>
        <w:bidi w:val="0"/>
        <w:jc w:val="left"/>
        <w:outlineLvl w:val="1"/>
        <w:rPr>
          <w:rFonts w:hint="eastAsia" w:ascii="楷体" w:hAnsi="楷体" w:eastAsia="楷体"/>
          <w:sz w:val="30"/>
          <w:szCs w:val="30"/>
          <w:lang w:eastAsia="zh-CN"/>
        </w:rPr>
      </w:pPr>
      <w:r>
        <w:rPr>
          <w:rFonts w:hint="eastAsia" w:ascii="楷体" w:hAnsi="楷体" w:eastAsia="楷体"/>
          <w:sz w:val="30"/>
          <w:szCs w:val="30"/>
          <w:lang w:eastAsia="zh-CN"/>
        </w:rPr>
        <w:t>二、</w:t>
      </w:r>
      <w:r>
        <w:rPr>
          <w:rFonts w:hint="eastAsia" w:ascii="楷体" w:hAnsi="楷体" w:eastAsia="楷体"/>
          <w:sz w:val="30"/>
          <w:szCs w:val="30"/>
        </w:rPr>
        <w:t>国有资产占用情况</w:t>
      </w:r>
    </w:p>
    <w:p>
      <w:pPr>
        <w:keepNext w:val="0"/>
        <w:keepLines w:val="0"/>
        <w:pageBreakBefore w:val="0"/>
        <w:kinsoku/>
        <w:wordWrap/>
        <w:overflowPunct/>
        <w:topLinePunct w:val="0"/>
        <w:autoSpaceDE/>
        <w:autoSpaceDN/>
        <w:bidi w:val="0"/>
        <w:jc w:val="left"/>
        <w:outlineLvl w:val="1"/>
        <w:rPr>
          <w:rFonts w:hint="eastAsia" w:ascii="楷体" w:hAnsi="楷体" w:eastAsia="楷体"/>
          <w:sz w:val="30"/>
          <w:szCs w:val="30"/>
          <w:lang w:eastAsia="zh-CN"/>
        </w:rPr>
      </w:pPr>
      <w:r>
        <w:rPr>
          <w:rFonts w:hint="eastAsia" w:ascii="楷体" w:hAnsi="楷体" w:eastAsia="楷体"/>
          <w:sz w:val="30"/>
          <w:szCs w:val="30"/>
          <w:lang w:eastAsia="zh-CN"/>
        </w:rPr>
        <w:t>三、</w:t>
      </w:r>
      <w:r>
        <w:rPr>
          <w:rFonts w:hint="eastAsia" w:ascii="楷体" w:hAnsi="楷体" w:eastAsia="楷体"/>
          <w:sz w:val="30"/>
          <w:szCs w:val="30"/>
        </w:rPr>
        <w:t>政府采购支出情况</w:t>
      </w:r>
    </w:p>
    <w:p>
      <w:pPr>
        <w:keepNext w:val="0"/>
        <w:keepLines w:val="0"/>
        <w:pageBreakBefore w:val="0"/>
        <w:kinsoku/>
        <w:wordWrap/>
        <w:overflowPunct/>
        <w:topLinePunct w:val="0"/>
        <w:autoSpaceDE/>
        <w:autoSpaceDN/>
        <w:bidi w:val="0"/>
        <w:jc w:val="left"/>
        <w:outlineLvl w:val="1"/>
        <w:rPr>
          <w:rFonts w:hint="eastAsia" w:ascii="楷体" w:hAnsi="楷体" w:eastAsia="楷体"/>
          <w:sz w:val="30"/>
          <w:szCs w:val="30"/>
          <w:lang w:val="en-US" w:eastAsia="zh-CN"/>
        </w:rPr>
      </w:pPr>
      <w:r>
        <w:rPr>
          <w:rFonts w:hint="eastAsia" w:ascii="楷体" w:hAnsi="楷体" w:eastAsia="楷体"/>
          <w:sz w:val="30"/>
          <w:szCs w:val="30"/>
          <w:lang w:eastAsia="zh-CN"/>
        </w:rPr>
        <w:t>四、</w:t>
      </w:r>
      <w:r>
        <w:rPr>
          <w:rFonts w:hint="eastAsia" w:ascii="楷体" w:hAnsi="楷体" w:eastAsia="楷体"/>
          <w:sz w:val="30"/>
          <w:szCs w:val="30"/>
          <w:lang w:val="en-US" w:eastAsia="zh-CN"/>
        </w:rPr>
        <w:t>部门绩效自评情况</w:t>
      </w:r>
    </w:p>
    <w:p>
      <w:pPr>
        <w:keepNext w:val="0"/>
        <w:keepLines w:val="0"/>
        <w:pageBreakBefore w:val="0"/>
        <w:kinsoku/>
        <w:wordWrap/>
        <w:overflowPunct/>
        <w:topLinePunct w:val="0"/>
        <w:autoSpaceDE/>
        <w:autoSpaceDN/>
        <w:bidi w:val="0"/>
        <w:jc w:val="left"/>
        <w:rPr>
          <w:rFonts w:hint="eastAsia" w:ascii="楷体" w:hAnsi="楷体" w:eastAsia="楷体"/>
          <w:sz w:val="30"/>
          <w:szCs w:val="30"/>
          <w:lang w:val="en-US" w:eastAsia="zh-CN"/>
        </w:rPr>
      </w:pPr>
      <w:r>
        <w:rPr>
          <w:rFonts w:hint="eastAsia" w:ascii="楷体" w:hAnsi="楷体" w:eastAsia="楷体"/>
          <w:sz w:val="30"/>
          <w:szCs w:val="30"/>
          <w:lang w:val="en-US" w:eastAsia="zh-CN"/>
        </w:rPr>
        <w:t>（一）</w:t>
      </w:r>
      <w:r>
        <w:rPr>
          <w:rFonts w:hint="eastAsia" w:ascii="楷体" w:hAnsi="楷体" w:eastAsia="楷体"/>
          <w:sz w:val="30"/>
          <w:szCs w:val="30"/>
          <w:lang w:eastAsia="zh-CN"/>
        </w:rPr>
        <w:t>部门整体支出绩效自评情况</w:t>
      </w:r>
    </w:p>
    <w:p>
      <w:pPr>
        <w:keepNext w:val="0"/>
        <w:keepLines w:val="0"/>
        <w:pageBreakBefore w:val="0"/>
        <w:kinsoku/>
        <w:wordWrap/>
        <w:overflowPunct/>
        <w:topLinePunct w:val="0"/>
        <w:autoSpaceDE/>
        <w:autoSpaceDN/>
        <w:bidi w:val="0"/>
        <w:jc w:val="left"/>
        <w:rPr>
          <w:rFonts w:hint="eastAsia" w:ascii="楷体" w:hAnsi="楷体" w:eastAsia="楷体"/>
          <w:sz w:val="30"/>
          <w:szCs w:val="30"/>
          <w:lang w:val="en-US" w:eastAsia="zh-CN"/>
        </w:rPr>
      </w:pPr>
      <w:r>
        <w:rPr>
          <w:rFonts w:hint="eastAsia" w:ascii="楷体" w:hAnsi="楷体" w:eastAsia="楷体"/>
          <w:sz w:val="30"/>
          <w:szCs w:val="30"/>
          <w:lang w:val="en-US" w:eastAsia="zh-CN"/>
        </w:rPr>
        <w:t>（二）</w:t>
      </w:r>
      <w:r>
        <w:rPr>
          <w:rFonts w:hint="eastAsia" w:ascii="楷体" w:hAnsi="楷体" w:eastAsia="楷体"/>
          <w:sz w:val="30"/>
          <w:szCs w:val="30"/>
          <w:lang w:eastAsia="zh-CN"/>
        </w:rPr>
        <w:t>部门整体支出绩效自评表</w:t>
      </w:r>
    </w:p>
    <w:p>
      <w:pPr>
        <w:keepNext w:val="0"/>
        <w:keepLines w:val="0"/>
        <w:pageBreakBefore w:val="0"/>
        <w:kinsoku/>
        <w:wordWrap/>
        <w:overflowPunct/>
        <w:topLinePunct w:val="0"/>
        <w:autoSpaceDE/>
        <w:autoSpaceDN/>
        <w:bidi w:val="0"/>
        <w:jc w:val="left"/>
        <w:rPr>
          <w:rFonts w:hint="eastAsia" w:ascii="楷体" w:hAnsi="楷体" w:eastAsia="楷体"/>
          <w:sz w:val="30"/>
          <w:szCs w:val="30"/>
          <w:lang w:val="en-US" w:eastAsia="zh-CN"/>
        </w:rPr>
      </w:pPr>
      <w:r>
        <w:rPr>
          <w:rFonts w:hint="eastAsia" w:ascii="楷体" w:hAnsi="楷体" w:eastAsia="楷体"/>
          <w:sz w:val="30"/>
          <w:szCs w:val="30"/>
          <w:lang w:val="en-US" w:eastAsia="zh-CN"/>
        </w:rPr>
        <w:t>（三）项目支出绩效自评表</w:t>
      </w:r>
    </w:p>
    <w:p>
      <w:pPr>
        <w:keepNext w:val="0"/>
        <w:keepLines w:val="0"/>
        <w:pageBreakBefore w:val="0"/>
        <w:kinsoku/>
        <w:wordWrap/>
        <w:overflowPunct/>
        <w:topLinePunct w:val="0"/>
        <w:autoSpaceDE/>
        <w:autoSpaceDN/>
        <w:bidi w:val="0"/>
        <w:jc w:val="left"/>
        <w:outlineLvl w:val="1"/>
        <w:rPr>
          <w:rFonts w:hint="eastAsia" w:ascii="楷体" w:hAnsi="楷体" w:eastAsia="楷体"/>
          <w:sz w:val="30"/>
          <w:szCs w:val="30"/>
          <w:lang w:eastAsia="zh-CN"/>
        </w:rPr>
      </w:pPr>
      <w:r>
        <w:rPr>
          <w:rFonts w:hint="eastAsia" w:ascii="楷体" w:hAnsi="楷体" w:eastAsia="楷体"/>
          <w:sz w:val="30"/>
          <w:szCs w:val="30"/>
          <w:lang w:eastAsia="zh-CN"/>
        </w:rPr>
        <w:t>五、</w:t>
      </w:r>
      <w:r>
        <w:rPr>
          <w:rFonts w:hint="eastAsia" w:ascii="楷体" w:hAnsi="楷体" w:eastAsia="楷体"/>
          <w:sz w:val="30"/>
          <w:szCs w:val="30"/>
          <w:lang w:val="en-US" w:eastAsia="zh-CN"/>
        </w:rPr>
        <w:t>其他重要事项情况说明</w:t>
      </w:r>
    </w:p>
    <w:p>
      <w:pPr>
        <w:keepNext w:val="0"/>
        <w:keepLines w:val="0"/>
        <w:pageBreakBefore w:val="0"/>
        <w:widowControl/>
        <w:kinsoku/>
        <w:wordWrap/>
        <w:overflowPunct/>
        <w:topLinePunct w:val="0"/>
        <w:autoSpaceDE/>
        <w:autoSpaceDN/>
        <w:bidi w:val="0"/>
        <w:snapToGrid w:val="0"/>
        <w:spacing w:line="360" w:lineRule="auto"/>
        <w:jc w:val="left"/>
        <w:outlineLvl w:val="0"/>
        <w:rPr>
          <w:rFonts w:hint="eastAsia" w:ascii="黑体" w:hAnsi="黑体" w:eastAsia="黑体"/>
          <w:sz w:val="30"/>
          <w:szCs w:val="30"/>
        </w:rPr>
      </w:pPr>
      <w:r>
        <w:rPr>
          <w:rFonts w:hint="eastAsia" w:ascii="黑体" w:hAnsi="黑体" w:eastAsia="黑体"/>
          <w:sz w:val="30"/>
          <w:szCs w:val="30"/>
        </w:rPr>
        <w:t>第</w:t>
      </w:r>
      <w:r>
        <w:rPr>
          <w:rFonts w:hint="eastAsia" w:ascii="黑体" w:hAnsi="黑体" w:eastAsia="黑体"/>
          <w:sz w:val="30"/>
          <w:szCs w:val="30"/>
          <w:lang w:eastAsia="zh-CN"/>
        </w:rPr>
        <w:t>五</w:t>
      </w:r>
      <w:r>
        <w:rPr>
          <w:rFonts w:hint="eastAsia" w:ascii="黑体" w:hAnsi="黑体" w:eastAsia="黑体"/>
          <w:sz w:val="30"/>
          <w:szCs w:val="30"/>
        </w:rPr>
        <w:t>部分  名词解释</w:t>
      </w:r>
    </w:p>
    <w:p>
      <w:pPr>
        <w:keepNext w:val="0"/>
        <w:keepLines w:val="0"/>
        <w:pageBreakBefore w:val="0"/>
        <w:kinsoku/>
        <w:wordWrap/>
        <w:overflowPunct/>
        <w:topLinePunct w:val="0"/>
        <w:autoSpaceDE/>
        <w:autoSpaceDN/>
        <w:bidi w:val="0"/>
        <w:jc w:val="center"/>
        <w:rPr>
          <w:rFonts w:hint="eastAsia" w:ascii="黑体" w:hAnsi="黑体" w:eastAsia="黑体"/>
          <w:sz w:val="32"/>
          <w:szCs w:val="32"/>
        </w:rPr>
      </w:pPr>
    </w:p>
    <w:p>
      <w:pPr>
        <w:keepNext w:val="0"/>
        <w:keepLines w:val="0"/>
        <w:pageBreakBefore w:val="0"/>
        <w:kinsoku/>
        <w:wordWrap/>
        <w:overflowPunct/>
        <w:topLinePunct w:val="0"/>
        <w:autoSpaceDE/>
        <w:autoSpaceDN/>
        <w:bidi w:val="0"/>
        <w:jc w:val="center"/>
        <w:rPr>
          <w:rFonts w:hint="eastAsia" w:ascii="黑体" w:hAnsi="黑体" w:eastAsia="黑体"/>
          <w:sz w:val="32"/>
          <w:szCs w:val="32"/>
        </w:rPr>
      </w:pPr>
    </w:p>
    <w:p>
      <w:pPr>
        <w:keepNext w:val="0"/>
        <w:keepLines w:val="0"/>
        <w:pageBreakBefore w:val="0"/>
        <w:kinsoku/>
        <w:wordWrap/>
        <w:overflowPunct/>
        <w:topLinePunct w:val="0"/>
        <w:autoSpaceDE/>
        <w:autoSpaceDN/>
        <w:bidi w:val="0"/>
        <w:jc w:val="both"/>
        <w:rPr>
          <w:rFonts w:hint="eastAsia" w:ascii="黑体" w:hAnsi="黑体" w:eastAsia="黑体"/>
          <w:sz w:val="32"/>
          <w:szCs w:val="32"/>
        </w:rPr>
      </w:pPr>
    </w:p>
    <w:p>
      <w:pPr>
        <w:keepNext w:val="0"/>
        <w:keepLines w:val="0"/>
        <w:pageBreakBefore w:val="0"/>
        <w:kinsoku/>
        <w:wordWrap/>
        <w:overflowPunct/>
        <w:topLinePunct w:val="0"/>
        <w:autoSpaceDE/>
        <w:autoSpaceDN/>
        <w:bidi w:val="0"/>
        <w:jc w:val="center"/>
        <w:outlineLvl w:val="0"/>
        <w:rPr>
          <w:rFonts w:hint="eastAsia" w:ascii="黑体" w:hAnsi="黑体" w:eastAsia="黑体"/>
          <w:sz w:val="32"/>
          <w:szCs w:val="32"/>
        </w:rPr>
      </w:pPr>
      <w:r>
        <w:rPr>
          <w:rFonts w:hint="eastAsia" w:ascii="黑体" w:hAnsi="黑体" w:eastAsia="黑体"/>
          <w:sz w:val="32"/>
          <w:szCs w:val="32"/>
        </w:rPr>
        <w:t>第一部分  昆明市盘龙区信访局概况</w:t>
      </w:r>
    </w:p>
    <w:p>
      <w:pPr>
        <w:keepNext w:val="0"/>
        <w:keepLines w:val="0"/>
        <w:pageBreakBefore w:val="0"/>
        <w:kinsoku/>
        <w:wordWrap/>
        <w:overflowPunct/>
        <w:topLinePunct w:val="0"/>
        <w:autoSpaceDE/>
        <w:autoSpaceDN/>
        <w:bidi w:val="0"/>
        <w:spacing w:line="600" w:lineRule="exact"/>
        <w:ind w:firstLine="600" w:firstLineChars="200"/>
        <w:outlineLvl w:val="1"/>
        <w:rPr>
          <w:rFonts w:hint="eastAsia" w:ascii="黑体" w:hAnsi="黑体" w:eastAsia="黑体"/>
          <w:sz w:val="30"/>
          <w:szCs w:val="30"/>
        </w:rPr>
      </w:pPr>
      <w:r>
        <w:rPr>
          <w:rFonts w:hint="eastAsia" w:ascii="黑体" w:hAnsi="黑体" w:eastAsia="黑体"/>
          <w:sz w:val="30"/>
          <w:szCs w:val="30"/>
        </w:rPr>
        <w:t>一、主要职能</w:t>
      </w:r>
    </w:p>
    <w:p>
      <w:pPr>
        <w:keepNext w:val="0"/>
        <w:keepLines w:val="0"/>
        <w:pageBreakBefore w:val="0"/>
        <w:kinsoku/>
        <w:wordWrap/>
        <w:overflowPunct/>
        <w:topLinePunct w:val="0"/>
        <w:autoSpaceDE/>
        <w:autoSpaceDN/>
        <w:bidi w:val="0"/>
        <w:spacing w:line="600" w:lineRule="exact"/>
        <w:ind w:firstLine="600" w:firstLineChars="200"/>
        <w:outlineLvl w:val="2"/>
        <w:rPr>
          <w:rFonts w:hint="eastAsia" w:ascii="楷体" w:hAnsi="楷体" w:eastAsia="楷体"/>
          <w:sz w:val="30"/>
          <w:szCs w:val="30"/>
        </w:rPr>
      </w:pPr>
      <w:r>
        <w:rPr>
          <w:rFonts w:hint="eastAsia" w:ascii="楷体" w:hAnsi="楷体" w:eastAsia="楷体"/>
          <w:bCs/>
          <w:sz w:val="30"/>
          <w:szCs w:val="30"/>
        </w:rPr>
        <w:t>（一）主要职能</w:t>
      </w:r>
    </w:p>
    <w:p>
      <w:pPr>
        <w:keepNext w:val="0"/>
        <w:keepLines w:val="0"/>
        <w:pageBreakBefore w:val="0"/>
        <w:kinsoku/>
        <w:wordWrap/>
        <w:overflowPunct/>
        <w:topLinePunct w:val="0"/>
        <w:autoSpaceDE/>
        <w:autoSpaceDN/>
        <w:bidi w:val="0"/>
        <w:spacing w:line="600" w:lineRule="exact"/>
        <w:ind w:firstLine="600" w:firstLineChars="200"/>
        <w:outlineLvl w:val="2"/>
        <w:rPr>
          <w:rFonts w:hint="eastAsia" w:ascii="楷体" w:hAnsi="楷体" w:eastAsia="楷体"/>
          <w:bCs/>
          <w:sz w:val="30"/>
          <w:szCs w:val="30"/>
        </w:rPr>
      </w:pPr>
      <w:r>
        <w:rPr>
          <w:rFonts w:hint="eastAsia" w:ascii="楷体" w:hAnsi="楷体" w:eastAsia="楷体"/>
          <w:bCs/>
          <w:sz w:val="30"/>
          <w:szCs w:val="30"/>
        </w:rPr>
        <w:t>1、负责处理公民、法人及其他组织通过信访渠道给区委、区政府及领导同志的来信来电和网络信访事项，接待来访。</w:t>
      </w:r>
    </w:p>
    <w:p>
      <w:pPr>
        <w:keepNext w:val="0"/>
        <w:keepLines w:val="0"/>
        <w:pageBreakBefore w:val="0"/>
        <w:kinsoku/>
        <w:wordWrap/>
        <w:overflowPunct/>
        <w:topLinePunct w:val="0"/>
        <w:autoSpaceDE/>
        <w:autoSpaceDN/>
        <w:bidi w:val="0"/>
        <w:spacing w:line="600" w:lineRule="exact"/>
        <w:ind w:firstLine="600" w:firstLineChars="200"/>
        <w:outlineLvl w:val="2"/>
        <w:rPr>
          <w:rFonts w:hint="eastAsia" w:ascii="楷体" w:hAnsi="楷体" w:eastAsia="楷体"/>
          <w:bCs/>
          <w:sz w:val="30"/>
          <w:szCs w:val="30"/>
        </w:rPr>
      </w:pPr>
      <w:r>
        <w:rPr>
          <w:rFonts w:hint="eastAsia" w:ascii="楷体" w:hAnsi="楷体" w:eastAsia="楷体"/>
          <w:bCs/>
          <w:sz w:val="30"/>
          <w:szCs w:val="30"/>
        </w:rPr>
        <w:t>2、承办上级机关和区委、区政府领导同志转办、交办的信访事项，督促检查办理落实情况。</w:t>
      </w:r>
    </w:p>
    <w:p>
      <w:pPr>
        <w:keepNext w:val="0"/>
        <w:keepLines w:val="0"/>
        <w:pageBreakBefore w:val="0"/>
        <w:kinsoku/>
        <w:wordWrap/>
        <w:overflowPunct/>
        <w:topLinePunct w:val="0"/>
        <w:autoSpaceDE/>
        <w:autoSpaceDN/>
        <w:bidi w:val="0"/>
        <w:spacing w:line="600" w:lineRule="exact"/>
        <w:ind w:firstLine="600" w:firstLineChars="200"/>
        <w:outlineLvl w:val="2"/>
        <w:rPr>
          <w:rFonts w:hint="eastAsia" w:ascii="楷体" w:hAnsi="楷体" w:eastAsia="楷体"/>
          <w:bCs/>
          <w:sz w:val="30"/>
          <w:szCs w:val="30"/>
        </w:rPr>
      </w:pPr>
      <w:r>
        <w:rPr>
          <w:rFonts w:hint="eastAsia" w:ascii="楷体" w:hAnsi="楷体" w:eastAsia="楷体"/>
          <w:bCs/>
          <w:sz w:val="30"/>
          <w:szCs w:val="30"/>
        </w:rPr>
        <w:t>3、贯彻落实党中央、国务院、省、市、区党委政府关于信访工作决策部署，推进信访工作制度改革和信访法治化建设，总结推广工作经验，提出加强和改进信访工作的意见建议。</w:t>
      </w:r>
    </w:p>
    <w:p>
      <w:pPr>
        <w:keepNext w:val="0"/>
        <w:keepLines w:val="0"/>
        <w:pageBreakBefore w:val="0"/>
        <w:kinsoku/>
        <w:wordWrap/>
        <w:overflowPunct/>
        <w:topLinePunct w:val="0"/>
        <w:autoSpaceDE/>
        <w:autoSpaceDN/>
        <w:bidi w:val="0"/>
        <w:spacing w:line="600" w:lineRule="exact"/>
        <w:ind w:firstLine="600" w:firstLineChars="200"/>
        <w:outlineLvl w:val="2"/>
        <w:rPr>
          <w:rFonts w:hint="eastAsia" w:ascii="楷体" w:hAnsi="楷体" w:eastAsia="楷体"/>
          <w:bCs/>
          <w:sz w:val="30"/>
          <w:szCs w:val="30"/>
        </w:rPr>
      </w:pPr>
      <w:r>
        <w:rPr>
          <w:rFonts w:hint="eastAsia" w:ascii="楷体" w:hAnsi="楷体" w:eastAsia="楷体"/>
          <w:bCs/>
          <w:sz w:val="30"/>
          <w:szCs w:val="30"/>
        </w:rPr>
        <w:t>4、综合协调和指导全区信访工作，组织开展联合接访工作，交办、转送信访事项，承担信访事项督查督办、复查复核工作，协调、处理进京上访的处置工作。</w:t>
      </w:r>
    </w:p>
    <w:p>
      <w:pPr>
        <w:keepNext w:val="0"/>
        <w:keepLines w:val="0"/>
        <w:pageBreakBefore w:val="0"/>
        <w:kinsoku/>
        <w:wordWrap/>
        <w:overflowPunct/>
        <w:topLinePunct w:val="0"/>
        <w:autoSpaceDE/>
        <w:autoSpaceDN/>
        <w:bidi w:val="0"/>
        <w:spacing w:line="600" w:lineRule="exact"/>
        <w:ind w:firstLine="600" w:firstLineChars="200"/>
        <w:outlineLvl w:val="2"/>
        <w:rPr>
          <w:rFonts w:hint="eastAsia" w:ascii="楷体" w:hAnsi="楷体" w:eastAsia="楷体"/>
          <w:bCs/>
          <w:sz w:val="30"/>
          <w:szCs w:val="30"/>
        </w:rPr>
      </w:pPr>
      <w:r>
        <w:rPr>
          <w:rFonts w:hint="eastAsia" w:ascii="楷体" w:hAnsi="楷体" w:eastAsia="楷体"/>
          <w:bCs/>
          <w:sz w:val="30"/>
          <w:szCs w:val="30"/>
        </w:rPr>
        <w:t>5、制定信访问题排查化解制度并组织实施，推进依法分类处理信访诉求，开展人民建议征集工作，建立和完善信访信息汇集分析机制，及时反映倾向性、动态性信息和影响社会稳定的突出问题。</w:t>
      </w:r>
    </w:p>
    <w:p>
      <w:pPr>
        <w:keepNext w:val="0"/>
        <w:keepLines w:val="0"/>
        <w:pageBreakBefore w:val="0"/>
        <w:kinsoku/>
        <w:wordWrap/>
        <w:overflowPunct/>
        <w:topLinePunct w:val="0"/>
        <w:autoSpaceDE/>
        <w:autoSpaceDN/>
        <w:bidi w:val="0"/>
        <w:spacing w:line="600" w:lineRule="exact"/>
        <w:ind w:firstLine="600" w:firstLineChars="200"/>
        <w:outlineLvl w:val="2"/>
        <w:rPr>
          <w:rFonts w:hint="eastAsia" w:ascii="楷体" w:hAnsi="楷体" w:eastAsia="楷体"/>
          <w:bCs/>
          <w:sz w:val="30"/>
          <w:szCs w:val="30"/>
        </w:rPr>
      </w:pPr>
      <w:r>
        <w:rPr>
          <w:rFonts w:hint="eastAsia" w:ascii="楷体" w:hAnsi="楷体" w:eastAsia="楷体"/>
          <w:bCs/>
          <w:sz w:val="30"/>
          <w:szCs w:val="30"/>
        </w:rPr>
        <w:t>6、负责信访信息化建设，指导全区信访信息系统建设和应用工作。</w:t>
      </w:r>
    </w:p>
    <w:p>
      <w:pPr>
        <w:keepNext w:val="0"/>
        <w:keepLines w:val="0"/>
        <w:pageBreakBefore w:val="0"/>
        <w:kinsoku/>
        <w:wordWrap/>
        <w:overflowPunct/>
        <w:topLinePunct w:val="0"/>
        <w:autoSpaceDE/>
        <w:autoSpaceDN/>
        <w:bidi w:val="0"/>
        <w:spacing w:line="600" w:lineRule="exact"/>
        <w:ind w:firstLine="600" w:firstLineChars="200"/>
        <w:outlineLvl w:val="2"/>
        <w:rPr>
          <w:rFonts w:hint="eastAsia" w:ascii="楷体" w:hAnsi="楷体" w:eastAsia="楷体"/>
          <w:bCs/>
          <w:sz w:val="30"/>
          <w:szCs w:val="30"/>
        </w:rPr>
      </w:pPr>
      <w:r>
        <w:rPr>
          <w:rFonts w:hint="eastAsia" w:ascii="楷体" w:hAnsi="楷体" w:eastAsia="楷体"/>
          <w:bCs/>
          <w:sz w:val="30"/>
          <w:szCs w:val="30"/>
        </w:rPr>
        <w:t>7、负责信访工作宣传和信息发布，组织信访工作检查考评和干部教育培训工作。</w:t>
      </w:r>
    </w:p>
    <w:p>
      <w:pPr>
        <w:keepNext w:val="0"/>
        <w:keepLines w:val="0"/>
        <w:pageBreakBefore w:val="0"/>
        <w:kinsoku/>
        <w:wordWrap/>
        <w:overflowPunct/>
        <w:topLinePunct w:val="0"/>
        <w:autoSpaceDE/>
        <w:autoSpaceDN/>
        <w:bidi w:val="0"/>
        <w:spacing w:line="600" w:lineRule="exact"/>
        <w:ind w:firstLine="600" w:firstLineChars="200"/>
        <w:outlineLvl w:val="2"/>
        <w:rPr>
          <w:rFonts w:hint="eastAsia" w:ascii="楷体" w:hAnsi="楷体" w:eastAsia="楷体"/>
          <w:bCs/>
          <w:sz w:val="30"/>
          <w:szCs w:val="30"/>
        </w:rPr>
      </w:pPr>
      <w:r>
        <w:rPr>
          <w:rFonts w:hint="eastAsia" w:ascii="楷体" w:hAnsi="楷体" w:eastAsia="楷体"/>
          <w:bCs/>
          <w:sz w:val="30"/>
          <w:szCs w:val="30"/>
        </w:rPr>
        <w:t>8、承担区委信访工作联席会议办公室日常工作，督促落实联席会议决定事项；负责盘龙区信访事项复查复核委员会办公室日常工作。</w:t>
      </w:r>
    </w:p>
    <w:p>
      <w:pPr>
        <w:keepNext w:val="0"/>
        <w:keepLines w:val="0"/>
        <w:pageBreakBefore w:val="0"/>
        <w:kinsoku/>
        <w:wordWrap/>
        <w:overflowPunct/>
        <w:topLinePunct w:val="0"/>
        <w:autoSpaceDE/>
        <w:autoSpaceDN/>
        <w:bidi w:val="0"/>
        <w:spacing w:line="600" w:lineRule="exact"/>
        <w:ind w:firstLine="600" w:firstLineChars="200"/>
        <w:outlineLvl w:val="2"/>
        <w:rPr>
          <w:rFonts w:hint="eastAsia" w:ascii="楷体" w:hAnsi="楷体" w:eastAsia="楷体"/>
          <w:bCs/>
          <w:sz w:val="30"/>
          <w:szCs w:val="30"/>
        </w:rPr>
      </w:pPr>
      <w:r>
        <w:rPr>
          <w:rFonts w:hint="eastAsia" w:ascii="楷体" w:hAnsi="楷体" w:eastAsia="楷体"/>
          <w:bCs/>
          <w:sz w:val="30"/>
          <w:szCs w:val="30"/>
        </w:rPr>
        <w:t>9、完成区委、区政府和上级部门交办的其他任务。</w:t>
      </w:r>
    </w:p>
    <w:p>
      <w:pPr>
        <w:keepNext w:val="0"/>
        <w:keepLines w:val="0"/>
        <w:pageBreakBefore w:val="0"/>
        <w:kinsoku/>
        <w:wordWrap/>
        <w:overflowPunct/>
        <w:topLinePunct w:val="0"/>
        <w:autoSpaceDE/>
        <w:autoSpaceDN/>
        <w:bidi w:val="0"/>
        <w:spacing w:line="600" w:lineRule="exact"/>
        <w:ind w:firstLine="600" w:firstLineChars="200"/>
        <w:outlineLvl w:val="2"/>
        <w:rPr>
          <w:rFonts w:hint="eastAsia" w:ascii="楷体" w:hAnsi="楷体" w:eastAsia="楷体"/>
          <w:bCs/>
          <w:sz w:val="30"/>
          <w:szCs w:val="30"/>
        </w:rPr>
      </w:pPr>
      <w:r>
        <w:rPr>
          <w:rFonts w:hint="eastAsia" w:ascii="楷体" w:hAnsi="楷体" w:eastAsia="楷体"/>
          <w:bCs/>
          <w:sz w:val="30"/>
          <w:szCs w:val="30"/>
        </w:rPr>
        <w:t>（二）机构设置情况</w:t>
      </w:r>
    </w:p>
    <w:p>
      <w:pPr>
        <w:keepNext w:val="0"/>
        <w:keepLines w:val="0"/>
        <w:pageBreakBefore w:val="0"/>
        <w:kinsoku/>
        <w:wordWrap/>
        <w:overflowPunct/>
        <w:topLinePunct w:val="0"/>
        <w:autoSpaceDE/>
        <w:autoSpaceDN/>
        <w:bidi w:val="0"/>
        <w:spacing w:line="600" w:lineRule="exact"/>
        <w:ind w:firstLine="600" w:firstLineChars="200"/>
        <w:outlineLvl w:val="2"/>
        <w:rPr>
          <w:rFonts w:hint="eastAsia" w:ascii="楷体" w:hAnsi="楷体" w:eastAsia="楷体"/>
          <w:bCs/>
          <w:sz w:val="30"/>
          <w:szCs w:val="30"/>
        </w:rPr>
      </w:pPr>
      <w:r>
        <w:rPr>
          <w:rFonts w:hint="eastAsia" w:ascii="楷体" w:hAnsi="楷体" w:eastAsia="楷体"/>
          <w:bCs/>
          <w:sz w:val="30"/>
          <w:szCs w:val="30"/>
        </w:rPr>
        <w:t>昆明市盘龙区信访局设3个内设机构：</w:t>
      </w:r>
    </w:p>
    <w:p>
      <w:pPr>
        <w:keepNext w:val="0"/>
        <w:keepLines w:val="0"/>
        <w:pageBreakBefore w:val="0"/>
        <w:kinsoku/>
        <w:wordWrap/>
        <w:overflowPunct/>
        <w:topLinePunct w:val="0"/>
        <w:autoSpaceDE/>
        <w:autoSpaceDN/>
        <w:bidi w:val="0"/>
        <w:spacing w:line="600" w:lineRule="exact"/>
        <w:ind w:firstLine="600" w:firstLineChars="200"/>
        <w:outlineLvl w:val="2"/>
        <w:rPr>
          <w:rFonts w:hint="eastAsia" w:ascii="楷体" w:hAnsi="楷体" w:eastAsia="楷体"/>
          <w:bCs/>
          <w:sz w:val="30"/>
          <w:szCs w:val="30"/>
        </w:rPr>
      </w:pPr>
      <w:r>
        <w:rPr>
          <w:rFonts w:hint="eastAsia" w:ascii="楷体" w:hAnsi="楷体" w:eastAsia="楷体"/>
          <w:bCs/>
          <w:sz w:val="30"/>
          <w:szCs w:val="30"/>
        </w:rPr>
        <w:t>1、办公室。负责文电、会务、机要、档案等日常运转和综合协调工作；承担信息、保密、安全保卫、后勤、财务和资产管理等工作；负责党务、组织人事、机构编制、教育培训，指导工、青、妇开展各项工作；承担退休人员服务工作。</w:t>
      </w:r>
    </w:p>
    <w:p>
      <w:pPr>
        <w:keepNext w:val="0"/>
        <w:keepLines w:val="0"/>
        <w:pageBreakBefore w:val="0"/>
        <w:kinsoku/>
        <w:wordWrap/>
        <w:overflowPunct/>
        <w:topLinePunct w:val="0"/>
        <w:autoSpaceDE/>
        <w:autoSpaceDN/>
        <w:bidi w:val="0"/>
        <w:spacing w:line="600" w:lineRule="exact"/>
        <w:ind w:firstLine="600" w:firstLineChars="200"/>
        <w:outlineLvl w:val="2"/>
        <w:rPr>
          <w:rFonts w:hint="eastAsia" w:ascii="楷体" w:hAnsi="楷体" w:eastAsia="楷体"/>
          <w:bCs/>
          <w:sz w:val="30"/>
          <w:szCs w:val="30"/>
        </w:rPr>
      </w:pPr>
      <w:r>
        <w:rPr>
          <w:rFonts w:hint="eastAsia" w:ascii="楷体" w:hAnsi="楷体" w:eastAsia="楷体"/>
          <w:bCs/>
          <w:sz w:val="30"/>
          <w:szCs w:val="30"/>
        </w:rPr>
        <w:t>2、接访科（中共昆明市盘龙区委、昆明市盘龙区人民政府人民群众来访接待室）。负责群众来信来访接待工作和通过网络途径提出的信访事项，转办、交办来信来访重要事项；承办区委书记、区长人民网网民留言办理工作；负责指导检查全区群众来信和网络信访事项办理工作；负责协调指导全区信访信息系统建设和应用工作，承担“云南省信访信息系统”、“云南省视频接访系统”、信访局门户网站及微信、微博的建设和运维工作；负责信访数据统计和信访形势综合分析工作。</w:t>
      </w:r>
    </w:p>
    <w:p>
      <w:pPr>
        <w:keepNext w:val="0"/>
        <w:keepLines w:val="0"/>
        <w:pageBreakBefore w:val="0"/>
        <w:kinsoku/>
        <w:wordWrap/>
        <w:overflowPunct/>
        <w:topLinePunct w:val="0"/>
        <w:autoSpaceDE/>
        <w:autoSpaceDN/>
        <w:bidi w:val="0"/>
        <w:spacing w:line="600" w:lineRule="exact"/>
        <w:ind w:firstLine="600" w:firstLineChars="200"/>
        <w:outlineLvl w:val="2"/>
        <w:rPr>
          <w:rFonts w:hint="eastAsia" w:ascii="楷体" w:hAnsi="楷体" w:eastAsia="楷体"/>
          <w:bCs/>
          <w:sz w:val="30"/>
          <w:szCs w:val="30"/>
        </w:rPr>
      </w:pPr>
      <w:r>
        <w:rPr>
          <w:rFonts w:hint="eastAsia" w:ascii="楷体" w:hAnsi="楷体" w:eastAsia="楷体"/>
          <w:bCs/>
          <w:sz w:val="30"/>
          <w:szCs w:val="30"/>
        </w:rPr>
        <w:t>3、督查督办科。指导检查全区信访事项督查督办、复查复核和信访积案化解工作；统一受理区一级的信访事项复查、复核及听证申请；负责信访工作制度改革、信访法治化建设、依法分类处理信访诉求、综合文稿起草、对外宣传、政务公开和人民建议征集工作，提出加强和改进信访工作的建议；承担区委信访工作联席会议办公室日常工作；提出改进工作、完善政策、给予处分和违反信访工作纪律实施责任追究的建议。</w:t>
      </w:r>
    </w:p>
    <w:p>
      <w:pPr>
        <w:keepNext w:val="0"/>
        <w:keepLines w:val="0"/>
        <w:pageBreakBefore w:val="0"/>
        <w:kinsoku/>
        <w:wordWrap/>
        <w:overflowPunct/>
        <w:topLinePunct w:val="0"/>
        <w:autoSpaceDE/>
        <w:autoSpaceDN/>
        <w:bidi w:val="0"/>
        <w:spacing w:line="600" w:lineRule="exact"/>
        <w:ind w:firstLine="600" w:firstLineChars="200"/>
        <w:outlineLvl w:val="2"/>
        <w:rPr>
          <w:rFonts w:hint="eastAsia" w:ascii="楷体" w:hAnsi="楷体" w:eastAsia="楷体"/>
          <w:bCs/>
          <w:sz w:val="30"/>
          <w:szCs w:val="30"/>
        </w:rPr>
      </w:pPr>
      <w:r>
        <w:rPr>
          <w:rFonts w:hint="eastAsia" w:ascii="楷体" w:hAnsi="楷体" w:eastAsia="楷体"/>
          <w:bCs/>
          <w:sz w:val="30"/>
          <w:szCs w:val="30"/>
        </w:rPr>
        <w:t>（</w:t>
      </w:r>
      <w:r>
        <w:rPr>
          <w:rFonts w:hint="eastAsia" w:ascii="楷体" w:hAnsi="楷体" w:eastAsia="楷体"/>
          <w:bCs/>
          <w:sz w:val="30"/>
          <w:szCs w:val="30"/>
          <w:lang w:eastAsia="zh-CN"/>
        </w:rPr>
        <w:t>三</w:t>
      </w:r>
      <w:r>
        <w:rPr>
          <w:rFonts w:hint="eastAsia" w:ascii="楷体" w:hAnsi="楷体" w:eastAsia="楷体"/>
          <w:bCs/>
          <w:sz w:val="30"/>
          <w:szCs w:val="30"/>
        </w:rPr>
        <w:t>）</w:t>
      </w:r>
      <w:r>
        <w:rPr>
          <w:rFonts w:hint="eastAsia" w:ascii="楷体" w:hAnsi="楷体" w:eastAsia="楷体"/>
          <w:bCs/>
          <w:sz w:val="30"/>
          <w:szCs w:val="30"/>
          <w:lang w:val="en-US" w:eastAsia="zh-CN"/>
        </w:rPr>
        <w:t>2021</w:t>
      </w:r>
      <w:r>
        <w:rPr>
          <w:rFonts w:hint="eastAsia" w:ascii="楷体" w:hAnsi="楷体" w:eastAsia="楷体"/>
          <w:bCs/>
          <w:sz w:val="30"/>
          <w:szCs w:val="30"/>
        </w:rPr>
        <w:t>年度重点工作任务介绍</w:t>
      </w:r>
    </w:p>
    <w:p>
      <w:pPr>
        <w:keepNext w:val="0"/>
        <w:keepLines w:val="0"/>
        <w:pageBreakBefore w:val="0"/>
        <w:kinsoku/>
        <w:wordWrap/>
        <w:overflowPunct/>
        <w:topLinePunct w:val="0"/>
        <w:autoSpaceDE/>
        <w:autoSpaceDN/>
        <w:bidi w:val="0"/>
        <w:spacing w:line="600" w:lineRule="exact"/>
        <w:ind w:firstLine="600" w:firstLineChars="200"/>
        <w:outlineLvl w:val="2"/>
        <w:rPr>
          <w:rFonts w:hint="eastAsia" w:ascii="楷体" w:hAnsi="楷体" w:eastAsia="楷体"/>
          <w:bCs/>
          <w:sz w:val="30"/>
          <w:szCs w:val="30"/>
        </w:rPr>
      </w:pPr>
      <w:r>
        <w:rPr>
          <w:rFonts w:hint="eastAsia" w:ascii="楷体" w:hAnsi="楷体" w:eastAsia="楷体"/>
          <w:bCs/>
          <w:sz w:val="30"/>
          <w:szCs w:val="30"/>
          <w:lang w:val="en-US" w:eastAsia="zh-CN"/>
        </w:rPr>
        <w:t>1.高度重视，压实责任。</w:t>
      </w:r>
      <w:r>
        <w:rPr>
          <w:rFonts w:hint="default" w:ascii="楷体" w:hAnsi="楷体" w:eastAsia="楷体"/>
          <w:bCs/>
          <w:sz w:val="30"/>
          <w:szCs w:val="30"/>
          <w:lang w:val="en-US" w:eastAsia="zh-CN"/>
        </w:rPr>
        <w:t>一是继续压实党委（党组）书记对信访工作的主体责任，继续巩固“抓一把手、一把手抓”的工作格局；二是按照“谁主管、谁负责”的原则，加强分管领导牵头处理信访问题的责任，健全信访突出问题由职能部门专项工作组办理工作模式。</w:t>
      </w:r>
    </w:p>
    <w:p>
      <w:pPr>
        <w:keepNext w:val="0"/>
        <w:keepLines w:val="0"/>
        <w:pageBreakBefore w:val="0"/>
        <w:kinsoku/>
        <w:wordWrap/>
        <w:overflowPunct/>
        <w:topLinePunct w:val="0"/>
        <w:autoSpaceDE/>
        <w:autoSpaceDN/>
        <w:bidi w:val="0"/>
        <w:spacing w:line="600" w:lineRule="exact"/>
        <w:ind w:firstLine="600" w:firstLineChars="200"/>
        <w:outlineLvl w:val="2"/>
        <w:rPr>
          <w:rFonts w:hint="eastAsia" w:ascii="楷体" w:hAnsi="楷体" w:eastAsia="楷体"/>
          <w:bCs/>
          <w:sz w:val="30"/>
          <w:szCs w:val="30"/>
          <w:lang w:val="en-US" w:eastAsia="zh-CN"/>
        </w:rPr>
      </w:pPr>
      <w:r>
        <w:rPr>
          <w:rFonts w:hint="eastAsia" w:ascii="楷体" w:hAnsi="楷体" w:eastAsia="楷体"/>
          <w:bCs/>
          <w:sz w:val="30"/>
          <w:szCs w:val="30"/>
          <w:lang w:val="en-US" w:eastAsia="zh-CN"/>
        </w:rPr>
        <w:t>2.探索推进信访制度改革</w:t>
      </w:r>
      <w:r>
        <w:rPr>
          <w:rFonts w:hint="default" w:ascii="楷体" w:hAnsi="楷体" w:eastAsia="楷体"/>
          <w:bCs/>
          <w:sz w:val="30"/>
          <w:szCs w:val="30"/>
          <w:lang w:val="en-US" w:eastAsia="zh-CN"/>
        </w:rPr>
        <w:t>。</w:t>
      </w:r>
      <w:r>
        <w:rPr>
          <w:rFonts w:hint="eastAsia" w:ascii="楷体" w:hAnsi="楷体" w:eastAsia="楷体"/>
          <w:bCs/>
          <w:sz w:val="30"/>
          <w:szCs w:val="30"/>
          <w:lang w:val="en-US" w:eastAsia="zh-CN"/>
        </w:rPr>
        <w:t>在区委、区政府的统筹部署下，不断巩固区委信访联席工作基础，压实区级各部门和领导干部信访工作责任，探索在街道建立信访联席会议机制，认真编制实施“十四五”时期信访工作发展规划。强化问题导向，不断完善信访业务各项制度规范，提高办信水平，全面及时准确报送重要信访信息，改进网上信访事项办理方式方法，快速回复告知，缩短办理时限，加强跟踪督办，大力推进信息化智能化建设，加强信访大数据分析利用，更好服务和保障信访工作开展。</w:t>
      </w:r>
    </w:p>
    <w:p>
      <w:pPr>
        <w:keepNext w:val="0"/>
        <w:keepLines w:val="0"/>
        <w:pageBreakBefore w:val="0"/>
        <w:kinsoku/>
        <w:wordWrap/>
        <w:overflowPunct/>
        <w:topLinePunct w:val="0"/>
        <w:autoSpaceDE/>
        <w:autoSpaceDN/>
        <w:bidi w:val="0"/>
        <w:spacing w:line="600" w:lineRule="exact"/>
        <w:ind w:firstLine="600" w:firstLineChars="200"/>
        <w:outlineLvl w:val="2"/>
        <w:rPr>
          <w:rFonts w:hint="eastAsia" w:ascii="楷体" w:hAnsi="楷体" w:eastAsia="楷体"/>
          <w:bCs/>
          <w:sz w:val="30"/>
          <w:szCs w:val="30"/>
          <w:lang w:val="en-US" w:eastAsia="zh-CN"/>
        </w:rPr>
      </w:pPr>
      <w:r>
        <w:rPr>
          <w:rFonts w:hint="eastAsia" w:ascii="楷体" w:hAnsi="楷体" w:eastAsia="楷体"/>
          <w:bCs/>
          <w:sz w:val="30"/>
          <w:szCs w:val="30"/>
          <w:lang w:val="en-US" w:eastAsia="zh-CN"/>
        </w:rPr>
        <w:t>3.推动突出问题化解。</w:t>
      </w:r>
      <w:r>
        <w:rPr>
          <w:rFonts w:hint="default" w:ascii="楷体" w:hAnsi="楷体" w:eastAsia="楷体"/>
          <w:bCs/>
          <w:sz w:val="30"/>
          <w:szCs w:val="30"/>
          <w:lang w:val="en-US" w:eastAsia="zh-CN"/>
        </w:rPr>
        <w:t>一是根据省、市要求，</w:t>
      </w:r>
      <w:r>
        <w:rPr>
          <w:rFonts w:hint="eastAsia" w:ascii="楷体" w:hAnsi="楷体" w:eastAsia="楷体"/>
          <w:bCs/>
          <w:sz w:val="30"/>
          <w:szCs w:val="30"/>
          <w:lang w:val="en-US" w:eastAsia="zh-CN"/>
        </w:rPr>
        <w:t>坚持实行</w:t>
      </w:r>
      <w:r>
        <w:rPr>
          <w:rFonts w:hint="default" w:ascii="楷体" w:hAnsi="楷体" w:eastAsia="楷体"/>
          <w:bCs/>
          <w:sz w:val="30"/>
          <w:szCs w:val="30"/>
          <w:lang w:val="en-US" w:eastAsia="zh-CN"/>
        </w:rPr>
        <w:t>领导接访</w:t>
      </w:r>
      <w:r>
        <w:rPr>
          <w:rFonts w:hint="eastAsia" w:ascii="楷体" w:hAnsi="楷体" w:eastAsia="楷体"/>
          <w:bCs/>
          <w:sz w:val="30"/>
          <w:szCs w:val="30"/>
          <w:lang w:val="en-US" w:eastAsia="zh-CN"/>
        </w:rPr>
        <w:t>和带案下访</w:t>
      </w:r>
      <w:r>
        <w:rPr>
          <w:rFonts w:hint="default" w:ascii="楷体" w:hAnsi="楷体" w:eastAsia="楷体"/>
          <w:bCs/>
          <w:sz w:val="30"/>
          <w:szCs w:val="30"/>
          <w:lang w:val="en-US" w:eastAsia="zh-CN"/>
        </w:rPr>
        <w:t>机制；二是继续实行突出信访问题包案办理制度，由</w:t>
      </w:r>
      <w:r>
        <w:rPr>
          <w:rFonts w:hint="eastAsia" w:ascii="楷体" w:hAnsi="楷体" w:eastAsia="楷体"/>
          <w:bCs/>
          <w:sz w:val="30"/>
          <w:szCs w:val="30"/>
          <w:lang w:val="en-US" w:eastAsia="zh-CN"/>
        </w:rPr>
        <w:t>区</w:t>
      </w:r>
      <w:r>
        <w:rPr>
          <w:rFonts w:hint="default" w:ascii="楷体" w:hAnsi="楷体" w:eastAsia="楷体"/>
          <w:bCs/>
          <w:sz w:val="30"/>
          <w:szCs w:val="30"/>
          <w:lang w:val="en-US" w:eastAsia="zh-CN"/>
        </w:rPr>
        <w:t>级领导、责任单位、相关责任人形成“五个一”（一个问题、一名领导、一套班子、一个方案、一抓到底）；三是根据</w:t>
      </w:r>
      <w:r>
        <w:rPr>
          <w:rFonts w:hint="eastAsia" w:ascii="楷体" w:hAnsi="楷体" w:eastAsia="楷体"/>
          <w:bCs/>
          <w:sz w:val="30"/>
          <w:szCs w:val="30"/>
          <w:lang w:val="en-US" w:eastAsia="zh-CN"/>
        </w:rPr>
        <w:t>国家、</w:t>
      </w:r>
      <w:r>
        <w:rPr>
          <w:rFonts w:hint="default" w:ascii="楷体" w:hAnsi="楷体" w:eastAsia="楷体"/>
          <w:bCs/>
          <w:sz w:val="30"/>
          <w:szCs w:val="30"/>
          <w:lang w:val="en-US" w:eastAsia="zh-CN"/>
        </w:rPr>
        <w:t>省、市安排，结合我</w:t>
      </w:r>
      <w:r>
        <w:rPr>
          <w:rFonts w:hint="eastAsia" w:ascii="楷体" w:hAnsi="楷体" w:eastAsia="楷体"/>
          <w:bCs/>
          <w:sz w:val="30"/>
          <w:szCs w:val="30"/>
          <w:lang w:val="en-US" w:eastAsia="zh-CN"/>
        </w:rPr>
        <w:t>区</w:t>
      </w:r>
      <w:r>
        <w:rPr>
          <w:rFonts w:hint="default" w:ascii="楷体" w:hAnsi="楷体" w:eastAsia="楷体"/>
          <w:bCs/>
          <w:sz w:val="30"/>
          <w:szCs w:val="30"/>
          <w:lang w:val="en-US" w:eastAsia="zh-CN"/>
        </w:rPr>
        <w:t>实际，继续开展重点问题、重点领域专项治理行动；四是</w:t>
      </w:r>
      <w:r>
        <w:rPr>
          <w:rFonts w:hint="eastAsia" w:ascii="楷体" w:hAnsi="楷体" w:eastAsia="楷体"/>
          <w:bCs/>
          <w:sz w:val="30"/>
          <w:szCs w:val="30"/>
          <w:lang w:val="en-US" w:eastAsia="zh-CN"/>
        </w:rPr>
        <w:t>扎实开展大督查大接访专项活动全面梳理辖区信访矛盾纠纷事项，以房地产、集资融资、劳动社保、涉法涉诉、征地拆迁、疫情防控、教育、部分利益诉求群体八个领域为重点，做好专项信访保障工作方案，强化主体办信责任，压实属地稳控责任，对诉求合理的解决到位；对部分诉求合理的，合理部分解决到位；对生活困难的，帮扶救助到位；对无理或过高诉求的，思想教育疏导到位，直至罢访息诉。按照“有合理诉求、有条件、有难度、有影响、有代表性”的原则重点筛选信访事项，</w:t>
      </w:r>
    </w:p>
    <w:p>
      <w:pPr>
        <w:keepNext w:val="0"/>
        <w:keepLines w:val="0"/>
        <w:pageBreakBefore w:val="0"/>
        <w:kinsoku/>
        <w:wordWrap/>
        <w:overflowPunct/>
        <w:topLinePunct w:val="0"/>
        <w:autoSpaceDE/>
        <w:autoSpaceDN/>
        <w:bidi w:val="0"/>
        <w:spacing w:line="600" w:lineRule="exact"/>
        <w:ind w:firstLine="600" w:firstLineChars="200"/>
        <w:outlineLvl w:val="2"/>
        <w:rPr>
          <w:rFonts w:hint="eastAsia" w:ascii="楷体" w:hAnsi="楷体" w:eastAsia="楷体"/>
          <w:bCs/>
          <w:sz w:val="30"/>
          <w:szCs w:val="30"/>
        </w:rPr>
      </w:pPr>
      <w:r>
        <w:rPr>
          <w:rFonts w:hint="eastAsia" w:ascii="楷体" w:hAnsi="楷体" w:eastAsia="楷体"/>
          <w:bCs/>
          <w:sz w:val="30"/>
          <w:szCs w:val="30"/>
          <w:lang w:val="en-US" w:eastAsia="zh-CN"/>
        </w:rPr>
        <w:t>4.治理进京赴省上访。</w:t>
      </w:r>
      <w:r>
        <w:rPr>
          <w:rFonts w:hint="default" w:ascii="楷体" w:hAnsi="楷体" w:eastAsia="楷体"/>
          <w:bCs/>
          <w:sz w:val="30"/>
          <w:szCs w:val="30"/>
          <w:lang w:val="en-US" w:eastAsia="zh-CN"/>
        </w:rPr>
        <w:t>一是落实属地负责、主管负责的工作责任，就地化解信访矛盾，确保不进京非接待场所登记，不赴省到市集访闹访；二是</w:t>
      </w:r>
      <w:r>
        <w:rPr>
          <w:rFonts w:hint="eastAsia" w:ascii="楷体" w:hAnsi="楷体" w:eastAsia="楷体"/>
          <w:bCs/>
          <w:sz w:val="30"/>
          <w:szCs w:val="30"/>
          <w:lang w:val="en-US" w:eastAsia="zh-CN"/>
        </w:rPr>
        <w:t>协调政法部门</w:t>
      </w:r>
      <w:r>
        <w:rPr>
          <w:rFonts w:hint="default" w:ascii="楷体" w:hAnsi="楷体" w:eastAsia="楷体"/>
          <w:bCs/>
          <w:sz w:val="30"/>
          <w:szCs w:val="30"/>
          <w:lang w:val="en-US" w:eastAsia="zh-CN"/>
        </w:rPr>
        <w:t>，对缠访、闹访、群访等非访行为，固定证据，依法处理；三是对“两会”等重要时间节点的信访保障工作形成常规化的制度机制。</w:t>
      </w:r>
    </w:p>
    <w:p>
      <w:pPr>
        <w:keepNext w:val="0"/>
        <w:keepLines w:val="0"/>
        <w:pageBreakBefore w:val="0"/>
        <w:kinsoku/>
        <w:wordWrap/>
        <w:overflowPunct/>
        <w:topLinePunct w:val="0"/>
        <w:autoSpaceDE/>
        <w:autoSpaceDN/>
        <w:bidi w:val="0"/>
        <w:spacing w:line="600" w:lineRule="exact"/>
        <w:ind w:firstLine="600" w:firstLineChars="200"/>
        <w:outlineLvl w:val="2"/>
        <w:rPr>
          <w:rFonts w:hint="eastAsia" w:ascii="楷体" w:hAnsi="楷体" w:eastAsia="楷体"/>
          <w:bCs/>
          <w:sz w:val="30"/>
          <w:szCs w:val="30"/>
          <w:lang w:val="en-US" w:eastAsia="zh-CN"/>
        </w:rPr>
      </w:pPr>
      <w:r>
        <w:rPr>
          <w:rFonts w:hint="eastAsia" w:ascii="楷体" w:hAnsi="楷体" w:eastAsia="楷体"/>
          <w:bCs/>
          <w:sz w:val="30"/>
          <w:szCs w:val="30"/>
          <w:lang w:val="en-US" w:eastAsia="zh-CN"/>
        </w:rPr>
        <w:t>5.信访工作目标完成情况</w:t>
      </w:r>
    </w:p>
    <w:p>
      <w:pPr>
        <w:keepNext w:val="0"/>
        <w:keepLines w:val="0"/>
        <w:pageBreakBefore w:val="0"/>
        <w:kinsoku/>
        <w:wordWrap/>
        <w:overflowPunct/>
        <w:topLinePunct w:val="0"/>
        <w:autoSpaceDE/>
        <w:autoSpaceDN/>
        <w:bidi w:val="0"/>
        <w:spacing w:line="600" w:lineRule="exact"/>
        <w:ind w:firstLine="600" w:firstLineChars="200"/>
        <w:outlineLvl w:val="2"/>
        <w:rPr>
          <w:rFonts w:hint="eastAsia" w:eastAsia="仿宋_GB2312"/>
          <w:bCs/>
          <w:color w:val="FF0000"/>
          <w:szCs w:val="30"/>
          <w:lang w:eastAsia="zh-CN"/>
        </w:rPr>
      </w:pPr>
      <w:r>
        <w:rPr>
          <w:rFonts w:hint="eastAsia" w:ascii="楷体" w:hAnsi="楷体" w:eastAsia="楷体"/>
          <w:bCs/>
          <w:sz w:val="30"/>
          <w:szCs w:val="30"/>
          <w:lang w:val="en-US" w:eastAsia="zh-CN"/>
        </w:rPr>
        <w:t>盘龙区接办上级转、交、督件共计1495件，其中160件办理中，1335件已办结。其中：中巡组移交盘龙区办理信访事项304件，均按上级要求在时限内办结；接办第一批重复信治理信访件54件已按要求化解；办理督查督办件5件；开展信访事项复查复核信访件10件。落实开展重点人员、重点群体及矛盾纠纷排查、化解及收集整理并每月按要求上报市联席办。排查出的重点人员73人、重点群体27个，并逐一落实责任单位及包案领导。</w:t>
      </w:r>
    </w:p>
    <w:p>
      <w:pPr>
        <w:keepNext w:val="0"/>
        <w:keepLines w:val="0"/>
        <w:pageBreakBefore w:val="0"/>
        <w:kinsoku/>
        <w:wordWrap/>
        <w:overflowPunct/>
        <w:topLinePunct w:val="0"/>
        <w:autoSpaceDE/>
        <w:autoSpaceDN/>
        <w:bidi w:val="0"/>
        <w:spacing w:line="600" w:lineRule="exact"/>
        <w:ind w:firstLine="600" w:firstLineChars="200"/>
        <w:outlineLvl w:val="1"/>
        <w:rPr>
          <w:rFonts w:hint="eastAsia" w:ascii="黑体" w:hAnsi="黑体" w:eastAsia="黑体"/>
          <w:sz w:val="30"/>
          <w:szCs w:val="30"/>
        </w:rPr>
      </w:pPr>
      <w:r>
        <w:rPr>
          <w:rFonts w:hint="eastAsia" w:ascii="黑体" w:hAnsi="黑体" w:eastAsia="黑体"/>
          <w:sz w:val="30"/>
          <w:szCs w:val="30"/>
        </w:rPr>
        <w:t>二、部门基本情况</w:t>
      </w:r>
    </w:p>
    <w:p>
      <w:pPr>
        <w:keepNext w:val="0"/>
        <w:keepLines w:val="0"/>
        <w:pageBreakBefore w:val="0"/>
        <w:kinsoku/>
        <w:wordWrap/>
        <w:overflowPunct/>
        <w:topLinePunct w:val="0"/>
        <w:autoSpaceDE/>
        <w:autoSpaceDN/>
        <w:bidi w:val="0"/>
        <w:spacing w:line="600" w:lineRule="exact"/>
        <w:ind w:firstLine="600" w:firstLineChars="200"/>
        <w:outlineLvl w:val="2"/>
        <w:rPr>
          <w:rFonts w:hint="eastAsia" w:ascii="楷体" w:hAnsi="楷体" w:eastAsia="楷体"/>
          <w:bCs/>
          <w:sz w:val="30"/>
          <w:szCs w:val="30"/>
          <w:lang w:val="en-US" w:eastAsia="zh-CN"/>
        </w:rPr>
      </w:pPr>
      <w:r>
        <w:rPr>
          <w:rFonts w:hint="eastAsia" w:ascii="楷体" w:hAnsi="楷体" w:eastAsia="楷体"/>
          <w:bCs/>
          <w:sz w:val="30"/>
          <w:szCs w:val="30"/>
          <w:lang w:val="en-US" w:eastAsia="zh-CN"/>
        </w:rPr>
        <w:t>（一）部门决算单位构成</w:t>
      </w:r>
    </w:p>
    <w:p>
      <w:pPr>
        <w:keepNext w:val="0"/>
        <w:keepLines w:val="0"/>
        <w:pageBreakBefore w:val="0"/>
        <w:kinsoku/>
        <w:wordWrap/>
        <w:overflowPunct/>
        <w:topLinePunct w:val="0"/>
        <w:autoSpaceDE/>
        <w:autoSpaceDN/>
        <w:bidi w:val="0"/>
        <w:spacing w:line="600" w:lineRule="exact"/>
        <w:ind w:firstLine="600" w:firstLineChars="200"/>
        <w:outlineLvl w:val="2"/>
        <w:rPr>
          <w:rFonts w:hint="eastAsia" w:ascii="楷体" w:hAnsi="楷体" w:eastAsia="楷体"/>
          <w:bCs/>
          <w:sz w:val="30"/>
          <w:szCs w:val="30"/>
          <w:lang w:val="en-US" w:eastAsia="zh-CN"/>
        </w:rPr>
      </w:pPr>
      <w:r>
        <w:rPr>
          <w:rFonts w:hint="eastAsia" w:ascii="楷体" w:hAnsi="楷体" w:eastAsia="楷体"/>
          <w:bCs/>
          <w:sz w:val="30"/>
          <w:szCs w:val="30"/>
          <w:lang w:val="en-US" w:eastAsia="zh-CN"/>
        </w:rPr>
        <w:t>纳入昆明市盘龙区信访局2021年度部门决算编报的单位共1个。其中：行政单位1个，即：昆明市盘龙区信访局。</w:t>
      </w:r>
    </w:p>
    <w:p>
      <w:pPr>
        <w:keepNext w:val="0"/>
        <w:keepLines w:val="0"/>
        <w:pageBreakBefore w:val="0"/>
        <w:kinsoku/>
        <w:wordWrap/>
        <w:overflowPunct/>
        <w:topLinePunct w:val="0"/>
        <w:autoSpaceDE/>
        <w:autoSpaceDN/>
        <w:bidi w:val="0"/>
        <w:spacing w:line="600" w:lineRule="exact"/>
        <w:ind w:firstLine="600" w:firstLineChars="200"/>
        <w:outlineLvl w:val="2"/>
        <w:rPr>
          <w:rFonts w:hint="eastAsia" w:ascii="楷体" w:hAnsi="楷体" w:eastAsia="楷体"/>
          <w:bCs/>
          <w:sz w:val="30"/>
          <w:szCs w:val="30"/>
          <w:lang w:val="en-US" w:eastAsia="zh-CN"/>
        </w:rPr>
      </w:pPr>
      <w:r>
        <w:rPr>
          <w:rFonts w:hint="eastAsia" w:ascii="楷体" w:hAnsi="楷体" w:eastAsia="楷体"/>
          <w:bCs/>
          <w:sz w:val="30"/>
          <w:szCs w:val="30"/>
          <w:lang w:val="en-US" w:eastAsia="zh-CN"/>
        </w:rPr>
        <w:t xml:space="preserve">（二）部门人员和车辆的编制及实有情况 </w:t>
      </w:r>
    </w:p>
    <w:p>
      <w:pPr>
        <w:keepNext w:val="0"/>
        <w:keepLines w:val="0"/>
        <w:pageBreakBefore w:val="0"/>
        <w:kinsoku/>
        <w:wordWrap/>
        <w:overflowPunct/>
        <w:topLinePunct w:val="0"/>
        <w:autoSpaceDE/>
        <w:autoSpaceDN/>
        <w:bidi w:val="0"/>
        <w:spacing w:line="600" w:lineRule="exact"/>
        <w:ind w:firstLine="600" w:firstLineChars="200"/>
        <w:outlineLvl w:val="2"/>
        <w:rPr>
          <w:rFonts w:hint="eastAsia" w:ascii="楷体" w:hAnsi="楷体" w:eastAsia="楷体"/>
          <w:bCs/>
          <w:sz w:val="30"/>
          <w:szCs w:val="30"/>
          <w:lang w:val="en-US" w:eastAsia="zh-CN"/>
        </w:rPr>
      </w:pPr>
      <w:r>
        <w:rPr>
          <w:rFonts w:hint="eastAsia" w:ascii="楷体" w:hAnsi="楷体" w:eastAsia="楷体"/>
          <w:bCs/>
          <w:sz w:val="30"/>
          <w:szCs w:val="30"/>
          <w:lang w:val="en-US" w:eastAsia="zh-CN"/>
        </w:rPr>
        <w:t>昆明市盘龙区信访局2021年末实有人员编制9人。其中：行政编制9人，在职在编实有行政人员9人。</w:t>
      </w:r>
    </w:p>
    <w:p>
      <w:pPr>
        <w:keepNext w:val="0"/>
        <w:keepLines w:val="0"/>
        <w:pageBreakBefore w:val="0"/>
        <w:kinsoku/>
        <w:wordWrap/>
        <w:overflowPunct/>
        <w:topLinePunct w:val="0"/>
        <w:autoSpaceDE/>
        <w:autoSpaceDN/>
        <w:bidi w:val="0"/>
        <w:spacing w:line="600" w:lineRule="exact"/>
        <w:ind w:firstLine="600" w:firstLineChars="200"/>
        <w:outlineLvl w:val="2"/>
        <w:rPr>
          <w:rFonts w:hint="eastAsia" w:ascii="楷体" w:hAnsi="楷体" w:eastAsia="楷体"/>
          <w:bCs/>
          <w:sz w:val="30"/>
          <w:szCs w:val="30"/>
          <w:lang w:val="en-US" w:eastAsia="zh-CN"/>
        </w:rPr>
      </w:pPr>
      <w:r>
        <w:rPr>
          <w:rFonts w:hint="eastAsia" w:ascii="楷体" w:hAnsi="楷体" w:eastAsia="楷体"/>
          <w:bCs/>
          <w:sz w:val="30"/>
          <w:szCs w:val="30"/>
          <w:lang w:val="en-US" w:eastAsia="zh-CN"/>
        </w:rPr>
        <w:t>离退休人员2人。其中：退休2人。</w:t>
      </w:r>
    </w:p>
    <w:p>
      <w:pPr>
        <w:keepNext w:val="0"/>
        <w:keepLines w:val="0"/>
        <w:pageBreakBefore w:val="0"/>
        <w:kinsoku/>
        <w:wordWrap/>
        <w:overflowPunct/>
        <w:topLinePunct w:val="0"/>
        <w:autoSpaceDE/>
        <w:autoSpaceDN/>
        <w:bidi w:val="0"/>
        <w:spacing w:line="600" w:lineRule="exact"/>
        <w:ind w:firstLine="600" w:firstLineChars="200"/>
        <w:outlineLvl w:val="2"/>
        <w:rPr>
          <w:rFonts w:hint="eastAsia" w:ascii="楷体" w:hAnsi="楷体" w:eastAsia="楷体"/>
          <w:bCs/>
          <w:sz w:val="30"/>
          <w:szCs w:val="30"/>
          <w:lang w:val="en-US" w:eastAsia="zh-CN"/>
        </w:rPr>
      </w:pPr>
      <w:r>
        <w:rPr>
          <w:rFonts w:hint="eastAsia" w:ascii="楷体" w:hAnsi="楷体" w:eastAsia="楷体"/>
          <w:bCs/>
          <w:sz w:val="30"/>
          <w:szCs w:val="30"/>
          <w:lang w:val="en-US" w:eastAsia="zh-CN"/>
        </w:rPr>
        <w:t>实有车辆编制1辆，在编实有车辆1辆。</w:t>
      </w:r>
    </w:p>
    <w:p>
      <w:pPr>
        <w:keepNext w:val="0"/>
        <w:keepLines w:val="0"/>
        <w:pageBreakBefore w:val="0"/>
        <w:kinsoku/>
        <w:wordWrap/>
        <w:overflowPunct/>
        <w:topLinePunct w:val="0"/>
        <w:autoSpaceDE/>
        <w:autoSpaceDN/>
        <w:bidi w:val="0"/>
        <w:jc w:val="both"/>
        <w:outlineLvl w:val="0"/>
        <w:rPr>
          <w:rFonts w:hint="eastAsia" w:ascii="黑体" w:hAnsi="黑体" w:eastAsia="黑体"/>
          <w:sz w:val="32"/>
          <w:szCs w:val="32"/>
        </w:rPr>
      </w:pPr>
    </w:p>
    <w:p>
      <w:pPr>
        <w:keepNext w:val="0"/>
        <w:keepLines w:val="0"/>
        <w:pageBreakBefore w:val="0"/>
        <w:kinsoku/>
        <w:wordWrap/>
        <w:overflowPunct/>
        <w:topLinePunct w:val="0"/>
        <w:autoSpaceDE/>
        <w:autoSpaceDN/>
        <w:bidi w:val="0"/>
        <w:jc w:val="center"/>
        <w:outlineLvl w:val="0"/>
        <w:rPr>
          <w:rFonts w:hint="eastAsia" w:ascii="黑体" w:hAnsi="黑体" w:eastAsia="黑体"/>
          <w:sz w:val="32"/>
          <w:szCs w:val="32"/>
        </w:rPr>
      </w:pPr>
      <w:r>
        <w:rPr>
          <w:rFonts w:hint="eastAsia" w:ascii="黑体" w:hAnsi="黑体" w:eastAsia="黑体"/>
          <w:sz w:val="32"/>
          <w:szCs w:val="32"/>
        </w:rPr>
        <w:t xml:space="preserve">第二部分  </w:t>
      </w:r>
      <w:r>
        <w:rPr>
          <w:rFonts w:hint="eastAsia" w:ascii="黑体" w:hAnsi="黑体" w:eastAsia="黑体"/>
          <w:sz w:val="32"/>
          <w:szCs w:val="32"/>
          <w:lang w:val="en-US" w:eastAsia="zh-CN"/>
        </w:rPr>
        <w:t>2021</w:t>
      </w:r>
      <w:r>
        <w:rPr>
          <w:rFonts w:hint="eastAsia" w:ascii="黑体" w:hAnsi="黑体" w:eastAsia="黑体"/>
          <w:sz w:val="32"/>
          <w:szCs w:val="32"/>
        </w:rPr>
        <w:t>年度部门决算表</w:t>
      </w:r>
    </w:p>
    <w:p>
      <w:pPr>
        <w:keepNext w:val="0"/>
        <w:keepLines w:val="0"/>
        <w:pageBreakBefore w:val="0"/>
        <w:kinsoku/>
        <w:wordWrap/>
        <w:overflowPunct/>
        <w:topLinePunct w:val="0"/>
        <w:autoSpaceDE/>
        <w:autoSpaceDN/>
        <w:bidi w:val="0"/>
        <w:spacing w:line="600" w:lineRule="exact"/>
        <w:ind w:firstLine="600" w:firstLineChars="200"/>
        <w:jc w:val="center"/>
        <w:rPr>
          <w:rFonts w:hint="eastAsia" w:ascii="仿宋_GB2312" w:eastAsia="仿宋_GB2312"/>
          <w:sz w:val="30"/>
          <w:szCs w:val="30"/>
        </w:rPr>
      </w:pPr>
      <w:r>
        <w:rPr>
          <w:rFonts w:hint="eastAsia" w:ascii="仿宋_GB2312" w:eastAsia="仿宋_GB2312"/>
          <w:sz w:val="30"/>
          <w:szCs w:val="30"/>
        </w:rPr>
        <w:t>（详见附件）</w:t>
      </w:r>
    </w:p>
    <w:p>
      <w:pPr>
        <w:keepNext w:val="0"/>
        <w:keepLines w:val="0"/>
        <w:pageBreakBefore w:val="0"/>
        <w:kinsoku/>
        <w:wordWrap/>
        <w:overflowPunct/>
        <w:topLinePunct w:val="0"/>
        <w:autoSpaceDE/>
        <w:autoSpaceDN/>
        <w:bidi w:val="0"/>
        <w:spacing w:line="600" w:lineRule="exact"/>
        <w:ind w:firstLine="600" w:firstLineChars="200"/>
        <w:jc w:val="center"/>
        <w:rPr>
          <w:rFonts w:hint="eastAsia" w:ascii="仿宋_GB2312" w:eastAsia="仿宋_GB2312"/>
          <w:sz w:val="30"/>
          <w:szCs w:val="30"/>
        </w:rPr>
      </w:pPr>
    </w:p>
    <w:p>
      <w:pPr>
        <w:keepNext w:val="0"/>
        <w:keepLines w:val="0"/>
        <w:pageBreakBefore w:val="0"/>
        <w:kinsoku/>
        <w:wordWrap/>
        <w:overflowPunct/>
        <w:topLinePunct w:val="0"/>
        <w:autoSpaceDE/>
        <w:autoSpaceDN/>
        <w:bidi w:val="0"/>
        <w:jc w:val="both"/>
        <w:outlineLvl w:val="0"/>
        <w:rPr>
          <w:rFonts w:hint="eastAsia" w:ascii="黑体" w:hAnsi="黑体" w:eastAsia="黑体"/>
          <w:sz w:val="32"/>
          <w:szCs w:val="32"/>
        </w:rPr>
      </w:pPr>
    </w:p>
    <w:p>
      <w:pPr>
        <w:keepNext w:val="0"/>
        <w:keepLines w:val="0"/>
        <w:pageBreakBefore w:val="0"/>
        <w:kinsoku/>
        <w:wordWrap/>
        <w:overflowPunct/>
        <w:topLinePunct w:val="0"/>
        <w:autoSpaceDE/>
        <w:autoSpaceDN/>
        <w:bidi w:val="0"/>
        <w:jc w:val="both"/>
        <w:outlineLvl w:val="0"/>
        <w:rPr>
          <w:rFonts w:hint="eastAsia" w:ascii="黑体" w:hAnsi="黑体" w:eastAsia="黑体"/>
          <w:sz w:val="32"/>
          <w:szCs w:val="32"/>
        </w:rPr>
      </w:pPr>
    </w:p>
    <w:p>
      <w:pPr>
        <w:keepNext w:val="0"/>
        <w:keepLines w:val="0"/>
        <w:pageBreakBefore w:val="0"/>
        <w:kinsoku/>
        <w:wordWrap/>
        <w:overflowPunct/>
        <w:topLinePunct w:val="0"/>
        <w:autoSpaceDE/>
        <w:autoSpaceDN/>
        <w:bidi w:val="0"/>
        <w:jc w:val="center"/>
        <w:outlineLvl w:val="0"/>
        <w:rPr>
          <w:rFonts w:hint="eastAsia" w:ascii="黑体" w:hAnsi="黑体" w:eastAsia="黑体"/>
          <w:sz w:val="32"/>
          <w:szCs w:val="32"/>
        </w:rPr>
      </w:pPr>
      <w:r>
        <w:rPr>
          <w:rFonts w:hint="eastAsia" w:ascii="黑体" w:hAnsi="黑体" w:eastAsia="黑体"/>
          <w:sz w:val="32"/>
          <w:szCs w:val="32"/>
        </w:rPr>
        <w:t>第三部</w:t>
      </w:r>
      <w:r>
        <w:rPr>
          <w:rFonts w:hint="eastAsia" w:ascii="黑体" w:hAnsi="黑体" w:eastAsia="黑体"/>
          <w:sz w:val="32"/>
          <w:szCs w:val="32"/>
          <w:lang w:eastAsia="zh-CN"/>
        </w:rPr>
        <w:t>分</w:t>
      </w:r>
      <w:r>
        <w:rPr>
          <w:rFonts w:hint="eastAsia" w:ascii="黑体" w:hAnsi="黑体" w:eastAsia="黑体"/>
          <w:sz w:val="32"/>
          <w:szCs w:val="32"/>
        </w:rPr>
        <w:t xml:space="preserve">  </w:t>
      </w:r>
      <w:r>
        <w:rPr>
          <w:rFonts w:hint="eastAsia" w:ascii="黑体" w:hAnsi="黑体" w:eastAsia="黑体"/>
          <w:sz w:val="32"/>
          <w:szCs w:val="32"/>
          <w:lang w:val="en-US" w:eastAsia="zh-CN"/>
        </w:rPr>
        <w:t>2021</w:t>
      </w:r>
      <w:r>
        <w:rPr>
          <w:rFonts w:hint="eastAsia" w:ascii="黑体" w:hAnsi="黑体" w:eastAsia="黑体"/>
          <w:sz w:val="32"/>
          <w:szCs w:val="32"/>
        </w:rPr>
        <w:t>年度部门决算情况说明</w:t>
      </w:r>
    </w:p>
    <w:p>
      <w:pPr>
        <w:keepNext w:val="0"/>
        <w:keepLines w:val="0"/>
        <w:pageBreakBefore w:val="0"/>
        <w:kinsoku/>
        <w:wordWrap/>
        <w:overflowPunct/>
        <w:topLinePunct w:val="0"/>
        <w:autoSpaceDE/>
        <w:autoSpaceDN/>
        <w:bidi w:val="0"/>
        <w:spacing w:line="600" w:lineRule="exact"/>
        <w:ind w:firstLine="600" w:firstLineChars="200"/>
        <w:outlineLvl w:val="1"/>
        <w:rPr>
          <w:rFonts w:hint="eastAsia" w:ascii="黑体" w:hAnsi="黑体" w:eastAsia="黑体"/>
          <w:sz w:val="30"/>
          <w:szCs w:val="30"/>
        </w:rPr>
      </w:pPr>
      <w:r>
        <w:rPr>
          <w:rFonts w:hint="eastAsia" w:ascii="黑体" w:hAnsi="黑体" w:eastAsia="黑体"/>
          <w:sz w:val="30"/>
          <w:szCs w:val="30"/>
        </w:rPr>
        <w:t>一、收入决算情况说明</w:t>
      </w:r>
    </w:p>
    <w:p>
      <w:pPr>
        <w:keepNext w:val="0"/>
        <w:keepLines w:val="0"/>
        <w:pageBreakBefore w:val="0"/>
        <w:kinsoku/>
        <w:wordWrap/>
        <w:overflowPunct/>
        <w:topLinePunct w:val="0"/>
        <w:autoSpaceDE/>
        <w:autoSpaceDN/>
        <w:bidi w:val="0"/>
        <w:spacing w:line="600" w:lineRule="exact"/>
        <w:ind w:firstLine="600" w:firstLineChars="200"/>
        <w:outlineLvl w:val="2"/>
        <w:rPr>
          <w:rFonts w:hint="default" w:ascii="楷体" w:hAnsi="楷体" w:eastAsia="楷体"/>
          <w:bCs/>
          <w:sz w:val="30"/>
          <w:szCs w:val="30"/>
          <w:lang w:val="en-US" w:eastAsia="zh-CN"/>
        </w:rPr>
      </w:pPr>
      <w:r>
        <w:rPr>
          <w:rFonts w:hint="eastAsia" w:ascii="楷体" w:hAnsi="楷体" w:eastAsia="楷体"/>
          <w:bCs/>
          <w:sz w:val="30"/>
          <w:szCs w:val="30"/>
          <w:lang w:val="en-US" w:eastAsia="zh-CN"/>
        </w:rPr>
        <w:t>昆明市盘龙区信访局2021年度收入合计381.6万元。其中：财政拨款收入351.41万元，占总收入的92.01%；上级补助收入0万元，占总收入的0%；事业收入0万元（含教育收费0万元），占总收入的0%；经营收入0万元，占总收入的0%；附属单位缴款收入0万元，占总收入的0%；其他收入30.2万元，占总收入的7.99%。与上年对比财政拨款收入增长了124.93万元，增长55.16%，主要原因是：人员增加及信访案件项目经费增加。</w:t>
      </w:r>
    </w:p>
    <w:p>
      <w:pPr>
        <w:keepNext w:val="0"/>
        <w:keepLines w:val="0"/>
        <w:pageBreakBefore w:val="0"/>
        <w:kinsoku/>
        <w:wordWrap/>
        <w:overflowPunct/>
        <w:topLinePunct w:val="0"/>
        <w:autoSpaceDE/>
        <w:autoSpaceDN/>
        <w:bidi w:val="0"/>
        <w:spacing w:line="600" w:lineRule="exact"/>
        <w:ind w:firstLine="600" w:firstLineChars="200"/>
        <w:outlineLvl w:val="1"/>
        <w:rPr>
          <w:rFonts w:hint="eastAsia" w:ascii="黑体" w:hAnsi="黑体" w:eastAsia="黑体"/>
          <w:sz w:val="30"/>
          <w:szCs w:val="30"/>
        </w:rPr>
      </w:pPr>
      <w:r>
        <w:rPr>
          <w:rFonts w:hint="eastAsia" w:ascii="黑体" w:hAnsi="黑体" w:eastAsia="黑体"/>
          <w:sz w:val="30"/>
          <w:szCs w:val="30"/>
        </w:rPr>
        <w:t>二、支出决算情况说明</w:t>
      </w:r>
    </w:p>
    <w:p>
      <w:pPr>
        <w:keepNext w:val="0"/>
        <w:keepLines w:val="0"/>
        <w:pageBreakBefore w:val="0"/>
        <w:kinsoku/>
        <w:wordWrap/>
        <w:overflowPunct/>
        <w:topLinePunct w:val="0"/>
        <w:autoSpaceDE/>
        <w:autoSpaceDN/>
        <w:bidi w:val="0"/>
        <w:spacing w:line="600" w:lineRule="exact"/>
        <w:ind w:firstLine="600" w:firstLineChars="200"/>
        <w:outlineLvl w:val="2"/>
        <w:rPr>
          <w:rFonts w:hint="eastAsia" w:ascii="楷体" w:hAnsi="楷体" w:eastAsia="楷体"/>
          <w:bCs/>
          <w:sz w:val="30"/>
          <w:szCs w:val="30"/>
          <w:lang w:val="en-US" w:eastAsia="zh-CN"/>
        </w:rPr>
      </w:pPr>
      <w:r>
        <w:rPr>
          <w:rFonts w:hint="eastAsia" w:ascii="楷体" w:hAnsi="楷体" w:eastAsia="楷体"/>
          <w:bCs/>
          <w:sz w:val="30"/>
          <w:szCs w:val="30"/>
          <w:lang w:val="en-US" w:eastAsia="zh-CN"/>
        </w:rPr>
        <w:t>昆明市盘龙区信访局2021年度支出合计377.43万元。其中：基本支出189.66万元，占总支出的50.25％；项目支出187.77万元，占总支出的49.75％；上缴上级支出、经营支出、对附属单位补助支出共0万元，占总支出的0％。与上年对比增长150.95万元，增长66.65%，主要原因是：人员增加及信访案件项目经费增加。</w:t>
      </w:r>
    </w:p>
    <w:p>
      <w:pPr>
        <w:keepNext w:val="0"/>
        <w:keepLines w:val="0"/>
        <w:pageBreakBefore w:val="0"/>
        <w:kinsoku/>
        <w:wordWrap/>
        <w:overflowPunct/>
        <w:topLinePunct w:val="0"/>
        <w:autoSpaceDE/>
        <w:autoSpaceDN/>
        <w:bidi w:val="0"/>
        <w:spacing w:line="600" w:lineRule="exact"/>
        <w:ind w:firstLine="600" w:firstLineChars="200"/>
        <w:outlineLvl w:val="2"/>
        <w:rPr>
          <w:rFonts w:hint="eastAsia" w:ascii="楷体" w:hAnsi="楷体" w:eastAsia="楷体"/>
          <w:bCs/>
          <w:sz w:val="30"/>
          <w:szCs w:val="30"/>
          <w:lang w:val="en-US" w:eastAsia="zh-CN"/>
        </w:rPr>
      </w:pPr>
      <w:r>
        <w:rPr>
          <w:rFonts w:hint="eastAsia" w:ascii="楷体" w:hAnsi="楷体" w:eastAsia="楷体"/>
          <w:bCs/>
          <w:sz w:val="30"/>
          <w:szCs w:val="30"/>
          <w:lang w:val="en-US" w:eastAsia="zh-CN"/>
        </w:rPr>
        <w:t>（一）基本支出情况</w:t>
      </w:r>
    </w:p>
    <w:p>
      <w:pPr>
        <w:keepNext w:val="0"/>
        <w:keepLines w:val="0"/>
        <w:pageBreakBefore w:val="0"/>
        <w:kinsoku/>
        <w:wordWrap/>
        <w:overflowPunct/>
        <w:topLinePunct w:val="0"/>
        <w:autoSpaceDE/>
        <w:autoSpaceDN/>
        <w:bidi w:val="0"/>
        <w:spacing w:line="600" w:lineRule="exact"/>
        <w:ind w:firstLine="600" w:firstLineChars="200"/>
        <w:outlineLvl w:val="2"/>
        <w:rPr>
          <w:rFonts w:hint="eastAsia" w:ascii="楷体" w:hAnsi="楷体" w:eastAsia="楷体"/>
          <w:bCs/>
          <w:sz w:val="30"/>
          <w:szCs w:val="30"/>
          <w:lang w:val="en-US" w:eastAsia="zh-CN"/>
        </w:rPr>
      </w:pPr>
      <w:r>
        <w:rPr>
          <w:rFonts w:hint="eastAsia" w:ascii="楷体" w:hAnsi="楷体" w:eastAsia="楷体"/>
          <w:bCs/>
          <w:sz w:val="30"/>
          <w:szCs w:val="30"/>
          <w:lang w:val="en-US" w:eastAsia="zh-CN"/>
        </w:rPr>
        <w:t>2021年度用于保障昆明市盘龙区信访局正常运转的日常支出189.66万元。与上年对比增长44.98万元，增长31.09%，主要原因是：人员增加。其中：基本工资、津贴补贴等人员经费支出173.65万元，占基本支出的91.56％；办公费、印刷费、水电费、办公设备购置等公用经费16.01万元，占基本支出的8.44％。</w:t>
      </w:r>
    </w:p>
    <w:p>
      <w:pPr>
        <w:keepNext w:val="0"/>
        <w:keepLines w:val="0"/>
        <w:pageBreakBefore w:val="0"/>
        <w:kinsoku/>
        <w:wordWrap/>
        <w:overflowPunct/>
        <w:topLinePunct w:val="0"/>
        <w:autoSpaceDE/>
        <w:autoSpaceDN/>
        <w:bidi w:val="0"/>
        <w:spacing w:line="600" w:lineRule="exact"/>
        <w:ind w:firstLine="600" w:firstLineChars="200"/>
        <w:outlineLvl w:val="2"/>
        <w:rPr>
          <w:rFonts w:hint="eastAsia" w:ascii="楷体" w:hAnsi="楷体" w:eastAsia="楷体"/>
          <w:bCs/>
          <w:sz w:val="30"/>
          <w:szCs w:val="30"/>
          <w:lang w:val="en-US" w:eastAsia="zh-CN"/>
        </w:rPr>
      </w:pPr>
      <w:r>
        <w:rPr>
          <w:rFonts w:hint="eastAsia" w:ascii="楷体" w:hAnsi="楷体" w:eastAsia="楷体"/>
          <w:bCs/>
          <w:sz w:val="30"/>
          <w:szCs w:val="30"/>
          <w:lang w:val="en-US" w:eastAsia="zh-CN"/>
        </w:rPr>
        <w:t>（二）项目支出情况</w:t>
      </w:r>
    </w:p>
    <w:p>
      <w:pPr>
        <w:keepNext w:val="0"/>
        <w:keepLines w:val="0"/>
        <w:pageBreakBefore w:val="0"/>
        <w:kinsoku/>
        <w:wordWrap/>
        <w:overflowPunct/>
        <w:topLinePunct w:val="0"/>
        <w:autoSpaceDE/>
        <w:autoSpaceDN/>
        <w:bidi w:val="0"/>
        <w:spacing w:line="600" w:lineRule="exact"/>
        <w:ind w:firstLine="600" w:firstLineChars="200"/>
        <w:outlineLvl w:val="2"/>
        <w:rPr>
          <w:rFonts w:hint="default" w:ascii="楷体" w:hAnsi="楷体" w:eastAsia="楷体"/>
          <w:bCs/>
          <w:sz w:val="30"/>
          <w:szCs w:val="30"/>
          <w:lang w:val="en-US" w:eastAsia="zh-CN"/>
        </w:rPr>
      </w:pPr>
      <w:r>
        <w:rPr>
          <w:rFonts w:hint="eastAsia" w:ascii="楷体" w:hAnsi="楷体" w:eastAsia="楷体"/>
          <w:bCs/>
          <w:sz w:val="30"/>
          <w:szCs w:val="30"/>
          <w:lang w:val="en-US" w:eastAsia="zh-CN"/>
        </w:rPr>
        <w:t>2021年度用于保障昆明市盘龙区信访局完成特定的行政工作任务或事业发展目标，用于专项业务工作的经费支出187.77万元。与上年对比增长105.97万元，增长129.55%，主要原因是：信访案件化解工作经费增加。项目支出主要用于信访案件化解工作经费。</w:t>
      </w:r>
    </w:p>
    <w:p>
      <w:pPr>
        <w:keepNext w:val="0"/>
        <w:keepLines w:val="0"/>
        <w:pageBreakBefore w:val="0"/>
        <w:kinsoku/>
        <w:wordWrap/>
        <w:overflowPunct/>
        <w:topLinePunct w:val="0"/>
        <w:autoSpaceDE/>
        <w:autoSpaceDN/>
        <w:bidi w:val="0"/>
        <w:spacing w:line="600" w:lineRule="exact"/>
        <w:ind w:firstLine="600" w:firstLineChars="200"/>
        <w:outlineLvl w:val="1"/>
        <w:rPr>
          <w:rFonts w:hint="eastAsia" w:ascii="黑体" w:hAnsi="黑体" w:eastAsia="黑体"/>
          <w:sz w:val="30"/>
          <w:szCs w:val="30"/>
        </w:rPr>
      </w:pPr>
      <w:r>
        <w:rPr>
          <w:rFonts w:hint="eastAsia" w:ascii="黑体" w:hAnsi="黑体" w:eastAsia="黑体"/>
          <w:sz w:val="30"/>
          <w:szCs w:val="30"/>
        </w:rPr>
        <w:t>三、一般公共预算财政拨款支出决算情况说明</w:t>
      </w:r>
    </w:p>
    <w:p>
      <w:pPr>
        <w:keepNext w:val="0"/>
        <w:keepLines w:val="0"/>
        <w:pageBreakBefore w:val="0"/>
        <w:kinsoku/>
        <w:wordWrap/>
        <w:overflowPunct/>
        <w:topLinePunct w:val="0"/>
        <w:autoSpaceDE/>
        <w:autoSpaceDN/>
        <w:bidi w:val="0"/>
        <w:spacing w:line="600" w:lineRule="exact"/>
        <w:ind w:firstLine="600" w:firstLineChars="200"/>
        <w:outlineLvl w:val="2"/>
        <w:rPr>
          <w:rFonts w:hint="eastAsia" w:ascii="楷体" w:hAnsi="楷体" w:eastAsia="楷体"/>
          <w:bCs/>
          <w:sz w:val="30"/>
          <w:szCs w:val="30"/>
          <w:lang w:val="en-US" w:eastAsia="zh-CN"/>
        </w:rPr>
      </w:pPr>
      <w:r>
        <w:rPr>
          <w:rFonts w:hint="eastAsia" w:ascii="楷体" w:hAnsi="楷体" w:eastAsia="楷体"/>
          <w:bCs/>
          <w:sz w:val="30"/>
          <w:szCs w:val="30"/>
          <w:lang w:val="en-US" w:eastAsia="zh-CN"/>
        </w:rPr>
        <w:t>（一）一般公共预算财政拨款支出决算总体情况</w:t>
      </w:r>
    </w:p>
    <w:p>
      <w:pPr>
        <w:keepNext w:val="0"/>
        <w:keepLines w:val="0"/>
        <w:pageBreakBefore w:val="0"/>
        <w:kinsoku/>
        <w:wordWrap/>
        <w:overflowPunct/>
        <w:topLinePunct w:val="0"/>
        <w:autoSpaceDE/>
        <w:autoSpaceDN/>
        <w:bidi w:val="0"/>
        <w:spacing w:line="600" w:lineRule="exact"/>
        <w:ind w:firstLine="600" w:firstLineChars="200"/>
        <w:outlineLvl w:val="2"/>
        <w:rPr>
          <w:rFonts w:hint="default" w:ascii="楷体" w:hAnsi="楷体" w:eastAsia="楷体"/>
          <w:bCs/>
          <w:sz w:val="30"/>
          <w:szCs w:val="30"/>
          <w:lang w:val="en-US" w:eastAsia="zh-CN"/>
        </w:rPr>
      </w:pPr>
      <w:r>
        <w:rPr>
          <w:rFonts w:hint="eastAsia" w:ascii="楷体" w:hAnsi="楷体" w:eastAsia="楷体"/>
          <w:bCs/>
          <w:sz w:val="30"/>
          <w:szCs w:val="30"/>
          <w:lang w:val="en-US" w:eastAsia="zh-CN"/>
        </w:rPr>
        <w:t>昆明市盘龙区信访局2021年度一般公共预算财政拨款支出347.3万元,占本年支出合计的92.02%。与上年对比增长120.82万元，增长53.35%，主要原因是：人员增加及信访案件项目经费增加。</w:t>
      </w:r>
    </w:p>
    <w:p>
      <w:pPr>
        <w:keepNext w:val="0"/>
        <w:keepLines w:val="0"/>
        <w:pageBreakBefore w:val="0"/>
        <w:kinsoku/>
        <w:wordWrap/>
        <w:overflowPunct/>
        <w:topLinePunct w:val="0"/>
        <w:autoSpaceDE/>
        <w:autoSpaceDN/>
        <w:bidi w:val="0"/>
        <w:spacing w:line="600" w:lineRule="exact"/>
        <w:ind w:firstLine="600" w:firstLineChars="200"/>
        <w:outlineLvl w:val="2"/>
        <w:rPr>
          <w:rFonts w:hint="eastAsia" w:ascii="楷体" w:hAnsi="楷体" w:eastAsia="楷体"/>
          <w:bCs/>
          <w:sz w:val="30"/>
          <w:szCs w:val="30"/>
          <w:lang w:val="en-US" w:eastAsia="zh-CN"/>
        </w:rPr>
      </w:pPr>
      <w:r>
        <w:rPr>
          <w:rFonts w:hint="eastAsia" w:ascii="楷体" w:hAnsi="楷体" w:eastAsia="楷体"/>
          <w:bCs/>
          <w:sz w:val="30"/>
          <w:szCs w:val="30"/>
          <w:lang w:val="en-US" w:eastAsia="zh-CN"/>
        </w:rPr>
        <w:t>（二）一般公共预算财政拨款支出决算具体情况</w:t>
      </w:r>
      <w:r>
        <w:rPr>
          <w:rFonts w:hint="eastAsia" w:ascii="楷体" w:hAnsi="楷体" w:eastAsia="楷体"/>
          <w:bCs/>
          <w:sz w:val="30"/>
          <w:szCs w:val="30"/>
          <w:lang w:val="en-US" w:eastAsia="zh-CN"/>
        </w:rPr>
        <w:tab/>
      </w:r>
      <w:r>
        <w:rPr>
          <w:rFonts w:hint="eastAsia" w:ascii="楷体" w:hAnsi="楷体" w:eastAsia="楷体"/>
          <w:bCs/>
          <w:sz w:val="30"/>
          <w:szCs w:val="30"/>
          <w:lang w:val="en-US" w:eastAsia="zh-CN"/>
        </w:rPr>
        <w:tab/>
      </w:r>
      <w:r>
        <w:rPr>
          <w:rFonts w:hint="eastAsia" w:ascii="楷体" w:hAnsi="楷体" w:eastAsia="楷体"/>
          <w:bCs/>
          <w:sz w:val="30"/>
          <w:szCs w:val="30"/>
          <w:lang w:val="en-US" w:eastAsia="zh-CN"/>
        </w:rPr>
        <w:tab/>
      </w:r>
    </w:p>
    <w:p>
      <w:pPr>
        <w:keepNext w:val="0"/>
        <w:keepLines w:val="0"/>
        <w:pageBreakBefore w:val="0"/>
        <w:kinsoku/>
        <w:wordWrap/>
        <w:overflowPunct/>
        <w:topLinePunct w:val="0"/>
        <w:autoSpaceDE/>
        <w:autoSpaceDN/>
        <w:bidi w:val="0"/>
        <w:spacing w:line="600" w:lineRule="exact"/>
        <w:ind w:firstLine="600" w:firstLineChars="200"/>
        <w:outlineLvl w:val="2"/>
        <w:rPr>
          <w:rFonts w:hint="default" w:ascii="楷体" w:hAnsi="楷体" w:eastAsia="楷体"/>
          <w:bCs/>
          <w:sz w:val="30"/>
          <w:szCs w:val="30"/>
          <w:lang w:val="en-US" w:eastAsia="zh-CN"/>
        </w:rPr>
      </w:pPr>
      <w:r>
        <w:rPr>
          <w:rFonts w:hint="eastAsia" w:ascii="楷体" w:hAnsi="楷体" w:eastAsia="楷体"/>
          <w:bCs/>
          <w:sz w:val="30"/>
          <w:szCs w:val="30"/>
          <w:lang w:val="en-US" w:eastAsia="zh-CN"/>
        </w:rPr>
        <w:t>1.一般公共服务（类）支出307.35万元，占一般公共预算财政拨款总支出的88.5%。主要用于包括基本工资、津贴补贴等人员经费支出133.71万元；办公费、印刷费、水电费、办公设备购置等日常公用经费16万元；用于专项业务工作的经费支出157.64万元。</w:t>
      </w:r>
    </w:p>
    <w:p>
      <w:pPr>
        <w:keepNext w:val="0"/>
        <w:keepLines w:val="0"/>
        <w:pageBreakBefore w:val="0"/>
        <w:kinsoku/>
        <w:wordWrap/>
        <w:overflowPunct/>
        <w:topLinePunct w:val="0"/>
        <w:autoSpaceDE/>
        <w:autoSpaceDN/>
        <w:bidi w:val="0"/>
        <w:spacing w:line="600" w:lineRule="exact"/>
        <w:ind w:firstLine="600" w:firstLineChars="200"/>
        <w:outlineLvl w:val="2"/>
        <w:rPr>
          <w:rFonts w:hint="eastAsia" w:ascii="楷体" w:hAnsi="楷体" w:eastAsia="楷体"/>
          <w:bCs/>
          <w:sz w:val="30"/>
          <w:szCs w:val="30"/>
          <w:lang w:val="en-US" w:eastAsia="zh-CN"/>
        </w:rPr>
      </w:pPr>
      <w:r>
        <w:rPr>
          <w:rFonts w:hint="eastAsia" w:ascii="楷体" w:hAnsi="楷体" w:eastAsia="楷体"/>
          <w:bCs/>
          <w:sz w:val="30"/>
          <w:szCs w:val="30"/>
          <w:lang w:val="en-US" w:eastAsia="zh-CN"/>
        </w:rPr>
        <w:t>2.外交（类）支出0万元，占一般公共预算财政拨款总支出的0%。</w:t>
      </w:r>
    </w:p>
    <w:p>
      <w:pPr>
        <w:keepNext w:val="0"/>
        <w:keepLines w:val="0"/>
        <w:pageBreakBefore w:val="0"/>
        <w:kinsoku/>
        <w:wordWrap/>
        <w:overflowPunct/>
        <w:topLinePunct w:val="0"/>
        <w:autoSpaceDE/>
        <w:autoSpaceDN/>
        <w:bidi w:val="0"/>
        <w:spacing w:line="600" w:lineRule="exact"/>
        <w:ind w:firstLine="600" w:firstLineChars="200"/>
        <w:outlineLvl w:val="2"/>
        <w:rPr>
          <w:rFonts w:hint="eastAsia" w:ascii="楷体" w:hAnsi="楷体" w:eastAsia="楷体"/>
          <w:bCs/>
          <w:sz w:val="30"/>
          <w:szCs w:val="30"/>
          <w:lang w:val="en-US" w:eastAsia="zh-CN"/>
        </w:rPr>
      </w:pPr>
      <w:r>
        <w:rPr>
          <w:rFonts w:hint="eastAsia" w:ascii="楷体" w:hAnsi="楷体" w:eastAsia="楷体"/>
          <w:bCs/>
          <w:sz w:val="30"/>
          <w:szCs w:val="30"/>
          <w:lang w:val="en-US" w:eastAsia="zh-CN"/>
        </w:rPr>
        <w:t>3.国防（类）支出0万元，占一般公共预算财政拨款总支出的0%。</w:t>
      </w:r>
    </w:p>
    <w:p>
      <w:pPr>
        <w:keepNext w:val="0"/>
        <w:keepLines w:val="0"/>
        <w:pageBreakBefore w:val="0"/>
        <w:kinsoku/>
        <w:wordWrap/>
        <w:overflowPunct/>
        <w:topLinePunct w:val="0"/>
        <w:autoSpaceDE/>
        <w:autoSpaceDN/>
        <w:bidi w:val="0"/>
        <w:spacing w:line="600" w:lineRule="exact"/>
        <w:ind w:firstLine="600" w:firstLineChars="200"/>
        <w:outlineLvl w:val="2"/>
        <w:rPr>
          <w:rFonts w:hint="eastAsia" w:ascii="楷体" w:hAnsi="楷体" w:eastAsia="楷体"/>
          <w:bCs/>
          <w:sz w:val="30"/>
          <w:szCs w:val="30"/>
          <w:lang w:val="en-US" w:eastAsia="zh-CN"/>
        </w:rPr>
      </w:pPr>
      <w:r>
        <w:rPr>
          <w:rFonts w:hint="eastAsia" w:ascii="楷体" w:hAnsi="楷体" w:eastAsia="楷体"/>
          <w:bCs/>
          <w:sz w:val="30"/>
          <w:szCs w:val="30"/>
          <w:lang w:val="en-US" w:eastAsia="zh-CN"/>
        </w:rPr>
        <w:t>4.公共安全（类）支出0万元，占一般公共预算财政拨款总支出的0%。</w:t>
      </w:r>
    </w:p>
    <w:p>
      <w:pPr>
        <w:keepNext w:val="0"/>
        <w:keepLines w:val="0"/>
        <w:pageBreakBefore w:val="0"/>
        <w:kinsoku/>
        <w:wordWrap/>
        <w:overflowPunct/>
        <w:topLinePunct w:val="0"/>
        <w:autoSpaceDE/>
        <w:autoSpaceDN/>
        <w:bidi w:val="0"/>
        <w:spacing w:line="600" w:lineRule="exact"/>
        <w:ind w:firstLine="600" w:firstLineChars="200"/>
        <w:outlineLvl w:val="1"/>
        <w:rPr>
          <w:rFonts w:hint="eastAsia" w:ascii="黑体" w:hAnsi="黑体" w:eastAsia="黑体"/>
          <w:sz w:val="30"/>
          <w:szCs w:val="30"/>
        </w:rPr>
      </w:pPr>
      <w:r>
        <w:rPr>
          <w:rFonts w:hint="eastAsia" w:ascii="黑体" w:hAnsi="黑体" w:eastAsia="黑体"/>
          <w:sz w:val="30"/>
          <w:szCs w:val="30"/>
        </w:rPr>
        <w:t>四、一般公共预算财政拨款“三公”经费支出决算情况说明</w:t>
      </w:r>
    </w:p>
    <w:p>
      <w:pPr>
        <w:keepNext w:val="0"/>
        <w:keepLines w:val="0"/>
        <w:pageBreakBefore w:val="0"/>
        <w:kinsoku/>
        <w:wordWrap/>
        <w:overflowPunct/>
        <w:topLinePunct w:val="0"/>
        <w:autoSpaceDE/>
        <w:autoSpaceDN/>
        <w:bidi w:val="0"/>
        <w:spacing w:line="600" w:lineRule="exact"/>
        <w:ind w:firstLine="600" w:firstLineChars="200"/>
        <w:outlineLvl w:val="2"/>
        <w:rPr>
          <w:rFonts w:hint="eastAsia" w:ascii="楷体" w:hAnsi="楷体" w:eastAsia="楷体"/>
          <w:bCs/>
          <w:sz w:val="30"/>
          <w:szCs w:val="30"/>
          <w:lang w:val="en-US" w:eastAsia="zh-CN"/>
        </w:rPr>
      </w:pPr>
      <w:r>
        <w:rPr>
          <w:rFonts w:hint="eastAsia" w:ascii="楷体" w:hAnsi="楷体" w:eastAsia="楷体"/>
          <w:bCs/>
          <w:sz w:val="30"/>
          <w:szCs w:val="30"/>
          <w:lang w:val="en-US" w:eastAsia="zh-CN"/>
        </w:rPr>
        <w:t>(一) 一般公共预算财政拨款“三公”经费支出决算总体情况</w:t>
      </w:r>
    </w:p>
    <w:p>
      <w:pPr>
        <w:keepNext w:val="0"/>
        <w:keepLines w:val="0"/>
        <w:pageBreakBefore w:val="0"/>
        <w:kinsoku/>
        <w:wordWrap/>
        <w:overflowPunct/>
        <w:topLinePunct w:val="0"/>
        <w:autoSpaceDE/>
        <w:autoSpaceDN/>
        <w:bidi w:val="0"/>
        <w:spacing w:line="600" w:lineRule="exact"/>
        <w:ind w:firstLine="600" w:firstLineChars="200"/>
        <w:outlineLvl w:val="2"/>
        <w:rPr>
          <w:rFonts w:hint="default" w:ascii="楷体" w:hAnsi="楷体" w:eastAsia="楷体"/>
          <w:bCs/>
          <w:sz w:val="30"/>
          <w:szCs w:val="30"/>
          <w:lang w:val="en-US" w:eastAsia="zh-CN"/>
        </w:rPr>
      </w:pPr>
      <w:r>
        <w:rPr>
          <w:rFonts w:hint="eastAsia" w:ascii="楷体" w:hAnsi="楷体" w:eastAsia="楷体"/>
          <w:bCs/>
          <w:sz w:val="30"/>
          <w:szCs w:val="30"/>
          <w:lang w:val="en-US" w:eastAsia="zh-CN"/>
        </w:rPr>
        <w:t>昆明市盘龙区信访局2021年度一般公共预算财政拨款“三公”经费支出预算为3.15万元，支出决算为1.14万元，完成预算的36.19%。其中：因公出国（境）费支出决算为0万元，完成预算的0%；公务用车购置及运行费支出决算为1.14万元，完成预算的51.82%；公务接待费支出决算为0万元，完成预算的0%。2021年度一般公共预算财政拨款“三公”经费支出决算数小于预算数的主要原因是：未发生会务及公务接待。</w:t>
      </w:r>
    </w:p>
    <w:p>
      <w:pPr>
        <w:keepNext w:val="0"/>
        <w:keepLines w:val="0"/>
        <w:pageBreakBefore w:val="0"/>
        <w:kinsoku/>
        <w:wordWrap/>
        <w:overflowPunct/>
        <w:topLinePunct w:val="0"/>
        <w:autoSpaceDE/>
        <w:autoSpaceDN/>
        <w:bidi w:val="0"/>
        <w:spacing w:line="600" w:lineRule="exact"/>
        <w:ind w:firstLine="600" w:firstLineChars="200"/>
        <w:outlineLvl w:val="2"/>
        <w:rPr>
          <w:rFonts w:hint="eastAsia" w:ascii="楷体" w:hAnsi="楷体" w:eastAsia="楷体"/>
          <w:bCs/>
          <w:sz w:val="30"/>
          <w:szCs w:val="30"/>
          <w:lang w:val="en-US" w:eastAsia="zh-CN"/>
        </w:rPr>
      </w:pPr>
      <w:r>
        <w:rPr>
          <w:rFonts w:hint="eastAsia" w:ascii="楷体" w:hAnsi="楷体" w:eastAsia="楷体"/>
          <w:bCs/>
          <w:sz w:val="30"/>
          <w:szCs w:val="30"/>
          <w:lang w:val="en-US" w:eastAsia="zh-CN"/>
        </w:rPr>
        <w:t>2021年度一般公共预算财政拨款“三公”经费支出决算数比2020年减少0.7万元，减少38.04%。其中：因公出国（境）费支出决算增加0万元，增长0%；公务用车购置及运行费支出决算减少0.7万元，减少38.04%；公务接待费支出决算增加0万元，增长0%。2021年度一般公共预算财政拨款“三公”经费支出决算减少的主要原因是：未发生会务及公务接待。</w:t>
      </w:r>
    </w:p>
    <w:p>
      <w:pPr>
        <w:keepNext w:val="0"/>
        <w:keepLines w:val="0"/>
        <w:pageBreakBefore w:val="0"/>
        <w:kinsoku/>
        <w:wordWrap/>
        <w:overflowPunct/>
        <w:topLinePunct w:val="0"/>
        <w:autoSpaceDE/>
        <w:autoSpaceDN/>
        <w:bidi w:val="0"/>
        <w:spacing w:line="600" w:lineRule="exact"/>
        <w:ind w:firstLine="600" w:firstLineChars="200"/>
        <w:outlineLvl w:val="2"/>
        <w:rPr>
          <w:rFonts w:hint="eastAsia" w:ascii="楷体" w:hAnsi="楷体" w:eastAsia="楷体"/>
          <w:bCs/>
          <w:sz w:val="30"/>
          <w:szCs w:val="30"/>
          <w:lang w:val="en-US" w:eastAsia="zh-CN"/>
        </w:rPr>
      </w:pPr>
      <w:r>
        <w:rPr>
          <w:rFonts w:hint="eastAsia" w:ascii="楷体" w:hAnsi="楷体" w:eastAsia="楷体"/>
          <w:bCs/>
          <w:sz w:val="30"/>
          <w:szCs w:val="30"/>
          <w:lang w:val="en-US" w:eastAsia="zh-CN"/>
        </w:rPr>
        <w:t>(二) 一般公共预算财政拨款“三公”经费支出决算具体情况</w:t>
      </w:r>
    </w:p>
    <w:p>
      <w:pPr>
        <w:keepNext w:val="0"/>
        <w:keepLines w:val="0"/>
        <w:pageBreakBefore w:val="0"/>
        <w:kinsoku/>
        <w:wordWrap/>
        <w:overflowPunct/>
        <w:topLinePunct w:val="0"/>
        <w:autoSpaceDE/>
        <w:autoSpaceDN/>
        <w:bidi w:val="0"/>
        <w:spacing w:line="600" w:lineRule="exact"/>
        <w:ind w:firstLine="600" w:firstLineChars="200"/>
        <w:outlineLvl w:val="2"/>
        <w:rPr>
          <w:rFonts w:hint="eastAsia" w:ascii="楷体" w:hAnsi="楷体" w:eastAsia="楷体"/>
          <w:bCs/>
          <w:sz w:val="30"/>
          <w:szCs w:val="30"/>
          <w:lang w:val="en-US" w:eastAsia="zh-CN"/>
        </w:rPr>
      </w:pPr>
      <w:r>
        <w:rPr>
          <w:rFonts w:hint="eastAsia" w:ascii="楷体" w:hAnsi="楷体" w:eastAsia="楷体"/>
          <w:bCs/>
          <w:sz w:val="30"/>
          <w:szCs w:val="30"/>
          <w:lang w:val="en-US" w:eastAsia="zh-CN"/>
        </w:rPr>
        <w:t>2021年度一般公共预算财政拨款“三公”经费支出决算中，因公出国（境）费支出0万元，占0%；公务用车购置及运行维护费支出1.14万元，占36.19%；公务接待费支出0万元，占0%。具体情况如下：</w:t>
      </w:r>
    </w:p>
    <w:p>
      <w:pPr>
        <w:keepNext w:val="0"/>
        <w:keepLines w:val="0"/>
        <w:pageBreakBefore w:val="0"/>
        <w:kinsoku/>
        <w:wordWrap/>
        <w:overflowPunct/>
        <w:topLinePunct w:val="0"/>
        <w:autoSpaceDE/>
        <w:autoSpaceDN/>
        <w:bidi w:val="0"/>
        <w:spacing w:line="600" w:lineRule="exact"/>
        <w:ind w:firstLine="600" w:firstLineChars="200"/>
        <w:outlineLvl w:val="2"/>
        <w:rPr>
          <w:rFonts w:hint="default" w:ascii="楷体" w:hAnsi="楷体" w:eastAsia="楷体"/>
          <w:bCs/>
          <w:sz w:val="30"/>
          <w:szCs w:val="30"/>
          <w:lang w:val="en-US" w:eastAsia="zh-CN"/>
        </w:rPr>
      </w:pPr>
      <w:r>
        <w:rPr>
          <w:rFonts w:hint="eastAsia" w:ascii="楷体" w:hAnsi="楷体" w:eastAsia="楷体"/>
          <w:bCs/>
          <w:sz w:val="30"/>
          <w:szCs w:val="30"/>
          <w:lang w:val="en-US" w:eastAsia="zh-CN"/>
        </w:rPr>
        <w:t>1.因公出国（境）费支出0万元，共安排因公出国（境）团组0个，累计0人次。</w:t>
      </w:r>
    </w:p>
    <w:p>
      <w:pPr>
        <w:keepNext w:val="0"/>
        <w:keepLines w:val="0"/>
        <w:pageBreakBefore w:val="0"/>
        <w:kinsoku/>
        <w:wordWrap/>
        <w:overflowPunct/>
        <w:topLinePunct w:val="0"/>
        <w:autoSpaceDE/>
        <w:autoSpaceDN/>
        <w:bidi w:val="0"/>
        <w:spacing w:line="600" w:lineRule="exact"/>
        <w:ind w:firstLine="600" w:firstLineChars="200"/>
        <w:outlineLvl w:val="2"/>
        <w:rPr>
          <w:rFonts w:hint="eastAsia" w:ascii="楷体" w:hAnsi="楷体" w:eastAsia="楷体"/>
          <w:bCs/>
          <w:sz w:val="30"/>
          <w:szCs w:val="30"/>
          <w:lang w:val="en-US" w:eastAsia="zh-CN"/>
        </w:rPr>
      </w:pPr>
      <w:r>
        <w:rPr>
          <w:rFonts w:hint="eastAsia" w:ascii="楷体" w:hAnsi="楷体" w:eastAsia="楷体"/>
          <w:bCs/>
          <w:sz w:val="30"/>
          <w:szCs w:val="30"/>
          <w:lang w:val="en-US" w:eastAsia="zh-CN"/>
        </w:rPr>
        <w:t>2. 公务用车购置及运行维护费支出1.14万元。其中：</w:t>
      </w:r>
    </w:p>
    <w:p>
      <w:pPr>
        <w:keepNext w:val="0"/>
        <w:keepLines w:val="0"/>
        <w:pageBreakBefore w:val="0"/>
        <w:kinsoku/>
        <w:wordWrap/>
        <w:overflowPunct/>
        <w:topLinePunct w:val="0"/>
        <w:autoSpaceDE/>
        <w:autoSpaceDN/>
        <w:bidi w:val="0"/>
        <w:spacing w:line="600" w:lineRule="exact"/>
        <w:ind w:firstLine="600" w:firstLineChars="200"/>
        <w:outlineLvl w:val="2"/>
        <w:rPr>
          <w:rFonts w:hint="eastAsia" w:ascii="楷体" w:hAnsi="楷体" w:eastAsia="楷体"/>
          <w:bCs/>
          <w:sz w:val="30"/>
          <w:szCs w:val="30"/>
          <w:lang w:val="en-US" w:eastAsia="zh-CN"/>
        </w:rPr>
      </w:pPr>
      <w:r>
        <w:rPr>
          <w:rFonts w:hint="eastAsia" w:ascii="楷体" w:hAnsi="楷体" w:eastAsia="楷体"/>
          <w:bCs/>
          <w:sz w:val="30"/>
          <w:szCs w:val="30"/>
          <w:lang w:val="en-US" w:eastAsia="zh-CN"/>
        </w:rPr>
        <w:t>公务用车购置支出0万元，购置车辆0辆。</w:t>
      </w:r>
    </w:p>
    <w:p>
      <w:pPr>
        <w:keepNext w:val="0"/>
        <w:keepLines w:val="0"/>
        <w:pageBreakBefore w:val="0"/>
        <w:kinsoku/>
        <w:wordWrap/>
        <w:overflowPunct/>
        <w:topLinePunct w:val="0"/>
        <w:autoSpaceDE/>
        <w:autoSpaceDN/>
        <w:bidi w:val="0"/>
        <w:spacing w:line="600" w:lineRule="exact"/>
        <w:ind w:firstLine="600" w:firstLineChars="200"/>
        <w:outlineLvl w:val="2"/>
        <w:rPr>
          <w:rFonts w:hint="eastAsia" w:ascii="楷体" w:hAnsi="楷体" w:eastAsia="楷体"/>
          <w:bCs/>
          <w:sz w:val="30"/>
          <w:szCs w:val="30"/>
          <w:lang w:val="en-US" w:eastAsia="zh-CN"/>
        </w:rPr>
      </w:pPr>
      <w:r>
        <w:rPr>
          <w:rFonts w:hint="eastAsia" w:ascii="楷体" w:hAnsi="楷体" w:eastAsia="楷体"/>
          <w:bCs/>
          <w:sz w:val="30"/>
          <w:szCs w:val="30"/>
          <w:lang w:val="en-US" w:eastAsia="zh-CN"/>
        </w:rPr>
        <w:t>公务用车运行维护支出1.14万元，开支一般公共预算财政拨款的公务用车保有量为1辆。主要用于保障信访处突工作所发生的公务用车燃料费、维修费、过路过桥费、保险费等。</w:t>
      </w:r>
    </w:p>
    <w:p>
      <w:pPr>
        <w:keepNext w:val="0"/>
        <w:keepLines w:val="0"/>
        <w:pageBreakBefore w:val="0"/>
        <w:kinsoku/>
        <w:wordWrap/>
        <w:overflowPunct/>
        <w:topLinePunct w:val="0"/>
        <w:autoSpaceDE/>
        <w:autoSpaceDN/>
        <w:bidi w:val="0"/>
        <w:spacing w:line="600" w:lineRule="exact"/>
        <w:ind w:firstLine="600" w:firstLineChars="200"/>
        <w:outlineLvl w:val="2"/>
        <w:rPr>
          <w:rFonts w:hint="eastAsia" w:ascii="楷体" w:hAnsi="楷体" w:eastAsia="楷体"/>
          <w:bCs/>
          <w:sz w:val="30"/>
          <w:szCs w:val="30"/>
          <w:lang w:val="en-US" w:eastAsia="zh-CN"/>
        </w:rPr>
      </w:pPr>
      <w:r>
        <w:rPr>
          <w:rFonts w:hint="eastAsia" w:ascii="楷体" w:hAnsi="楷体" w:eastAsia="楷体"/>
          <w:bCs/>
          <w:sz w:val="30"/>
          <w:szCs w:val="30"/>
          <w:lang w:val="en-US" w:eastAsia="zh-CN"/>
        </w:rPr>
        <w:t>3.公务接待费支出0万元。其中：</w:t>
      </w:r>
    </w:p>
    <w:p>
      <w:pPr>
        <w:keepNext w:val="0"/>
        <w:keepLines w:val="0"/>
        <w:pageBreakBefore w:val="0"/>
        <w:kinsoku/>
        <w:wordWrap/>
        <w:overflowPunct/>
        <w:topLinePunct w:val="0"/>
        <w:autoSpaceDE/>
        <w:autoSpaceDN/>
        <w:bidi w:val="0"/>
        <w:spacing w:line="600" w:lineRule="exact"/>
        <w:ind w:firstLine="600" w:firstLineChars="200"/>
        <w:outlineLvl w:val="2"/>
        <w:rPr>
          <w:rFonts w:hint="eastAsia" w:ascii="楷体" w:hAnsi="楷体" w:eastAsia="楷体"/>
          <w:bCs/>
          <w:sz w:val="30"/>
          <w:szCs w:val="30"/>
          <w:lang w:val="en-US" w:eastAsia="zh-CN"/>
        </w:rPr>
      </w:pPr>
      <w:r>
        <w:rPr>
          <w:rFonts w:hint="eastAsia" w:ascii="楷体" w:hAnsi="楷体" w:eastAsia="楷体"/>
          <w:bCs/>
          <w:sz w:val="30"/>
          <w:szCs w:val="30"/>
          <w:lang w:val="en-US" w:eastAsia="zh-CN"/>
        </w:rPr>
        <w:t>国内接待费支出0万元（其中：外事接待费支出0万元），共安排国内公务接待0批次（其中：外事接待0批次），接待人次0人（其中：外事接待人次0人）。</w:t>
      </w:r>
    </w:p>
    <w:p>
      <w:pPr>
        <w:keepNext w:val="0"/>
        <w:keepLines w:val="0"/>
        <w:pageBreakBefore w:val="0"/>
        <w:kinsoku/>
        <w:wordWrap/>
        <w:overflowPunct/>
        <w:topLinePunct w:val="0"/>
        <w:autoSpaceDE/>
        <w:autoSpaceDN/>
        <w:bidi w:val="0"/>
        <w:spacing w:line="600" w:lineRule="exact"/>
        <w:ind w:firstLine="600" w:firstLineChars="200"/>
        <w:outlineLvl w:val="2"/>
        <w:rPr>
          <w:rFonts w:hint="default" w:ascii="楷体" w:hAnsi="楷体" w:eastAsia="楷体"/>
          <w:bCs/>
          <w:sz w:val="30"/>
          <w:szCs w:val="30"/>
          <w:lang w:val="en-US" w:eastAsia="zh-CN"/>
        </w:rPr>
      </w:pPr>
      <w:r>
        <w:rPr>
          <w:rFonts w:hint="eastAsia" w:ascii="楷体" w:hAnsi="楷体" w:eastAsia="楷体"/>
          <w:bCs/>
          <w:sz w:val="30"/>
          <w:szCs w:val="30"/>
          <w:lang w:val="en-US" w:eastAsia="zh-CN"/>
        </w:rPr>
        <w:t>国（境）外接待费支出0万元，共安排国（境）外公务接待0批次，接待人次0人。</w:t>
      </w:r>
    </w:p>
    <w:p>
      <w:pPr>
        <w:keepNext w:val="0"/>
        <w:keepLines w:val="0"/>
        <w:pageBreakBefore w:val="0"/>
        <w:widowControl/>
        <w:kinsoku/>
        <w:wordWrap/>
        <w:overflowPunct/>
        <w:topLinePunct w:val="0"/>
        <w:autoSpaceDE/>
        <w:autoSpaceDN/>
        <w:bidi w:val="0"/>
        <w:snapToGrid w:val="0"/>
        <w:spacing w:line="360" w:lineRule="auto"/>
        <w:ind w:firstLine="640" w:firstLineChars="200"/>
        <w:jc w:val="left"/>
        <w:outlineLvl w:val="0"/>
        <w:rPr>
          <w:rFonts w:hint="eastAsia" w:ascii="黑体" w:hAnsi="黑体" w:eastAsia="黑体"/>
          <w:sz w:val="32"/>
          <w:szCs w:val="32"/>
        </w:rPr>
      </w:pPr>
    </w:p>
    <w:p>
      <w:pPr>
        <w:keepNext w:val="0"/>
        <w:keepLines w:val="0"/>
        <w:pageBreakBefore w:val="0"/>
        <w:widowControl/>
        <w:kinsoku/>
        <w:wordWrap/>
        <w:overflowPunct/>
        <w:topLinePunct w:val="0"/>
        <w:autoSpaceDE/>
        <w:autoSpaceDN/>
        <w:bidi w:val="0"/>
        <w:snapToGrid w:val="0"/>
        <w:spacing w:line="360" w:lineRule="auto"/>
        <w:ind w:firstLine="640" w:firstLineChars="200"/>
        <w:jc w:val="center"/>
        <w:outlineLvl w:val="0"/>
        <w:rPr>
          <w:rFonts w:hint="eastAsia" w:ascii="仿宋_GB2312" w:eastAsia="仿宋_GB2312"/>
          <w:sz w:val="32"/>
          <w:szCs w:val="32"/>
        </w:rPr>
      </w:pPr>
      <w:r>
        <w:rPr>
          <w:rFonts w:hint="eastAsia" w:ascii="黑体" w:hAnsi="黑体" w:eastAsia="黑体"/>
          <w:sz w:val="32"/>
          <w:szCs w:val="32"/>
        </w:rPr>
        <w:t>第四部分  其他重要事项及相关口径情况说明</w:t>
      </w:r>
    </w:p>
    <w:p>
      <w:pPr>
        <w:keepNext w:val="0"/>
        <w:keepLines w:val="0"/>
        <w:pageBreakBefore w:val="0"/>
        <w:kinsoku/>
        <w:wordWrap/>
        <w:overflowPunct/>
        <w:topLinePunct w:val="0"/>
        <w:autoSpaceDE/>
        <w:autoSpaceDN/>
        <w:bidi w:val="0"/>
        <w:spacing w:line="600" w:lineRule="exact"/>
        <w:ind w:firstLine="600" w:firstLineChars="200"/>
        <w:outlineLvl w:val="1"/>
        <w:rPr>
          <w:rFonts w:hint="eastAsia" w:ascii="黑体" w:hAnsi="黑体" w:eastAsia="黑体"/>
          <w:sz w:val="30"/>
          <w:szCs w:val="30"/>
        </w:rPr>
      </w:pPr>
      <w:r>
        <w:rPr>
          <w:rFonts w:hint="eastAsia" w:ascii="黑体" w:hAnsi="黑体" w:eastAsia="黑体"/>
          <w:sz w:val="30"/>
          <w:szCs w:val="30"/>
        </w:rPr>
        <w:t>一</w:t>
      </w:r>
      <w:r>
        <w:rPr>
          <w:rFonts w:hint="eastAsia" w:ascii="黑体" w:hAnsi="黑体" w:eastAsia="黑体"/>
          <w:sz w:val="30"/>
          <w:szCs w:val="30"/>
          <w:lang w:eastAsia="zh-CN"/>
        </w:rPr>
        <w:t>、</w:t>
      </w:r>
      <w:r>
        <w:rPr>
          <w:rFonts w:hint="eastAsia" w:ascii="黑体" w:hAnsi="黑体" w:eastAsia="黑体"/>
          <w:sz w:val="30"/>
          <w:szCs w:val="30"/>
        </w:rPr>
        <w:t>机关运行经费支出情况</w:t>
      </w:r>
    </w:p>
    <w:p>
      <w:pPr>
        <w:keepNext w:val="0"/>
        <w:keepLines w:val="0"/>
        <w:pageBreakBefore w:val="0"/>
        <w:kinsoku/>
        <w:wordWrap/>
        <w:overflowPunct/>
        <w:topLinePunct w:val="0"/>
        <w:autoSpaceDE/>
        <w:autoSpaceDN/>
        <w:bidi w:val="0"/>
        <w:spacing w:line="600" w:lineRule="exact"/>
        <w:ind w:firstLine="600" w:firstLineChars="200"/>
        <w:outlineLvl w:val="2"/>
        <w:rPr>
          <w:rFonts w:hint="default" w:ascii="楷体" w:hAnsi="楷体" w:eastAsia="楷体"/>
          <w:bCs/>
          <w:sz w:val="30"/>
          <w:szCs w:val="30"/>
          <w:lang w:val="en-US" w:eastAsia="zh-CN"/>
        </w:rPr>
      </w:pPr>
      <w:r>
        <w:rPr>
          <w:rFonts w:hint="eastAsia" w:ascii="楷体" w:hAnsi="楷体" w:eastAsia="楷体"/>
          <w:bCs/>
          <w:sz w:val="30"/>
          <w:szCs w:val="30"/>
          <w:lang w:val="en-US" w:eastAsia="zh-CN"/>
        </w:rPr>
        <w:t>昆明市盘龙区信访局2021年机关运行经费支出16万元，与上年对比增长1.01万元，主要原因是：人员增加。部门机关运行经费主要用于日常公用经费支出，包括：办公费、印刷费、水电费、办公设备购置等日常公用经费等。</w:t>
      </w:r>
    </w:p>
    <w:p>
      <w:pPr>
        <w:keepNext w:val="0"/>
        <w:keepLines w:val="0"/>
        <w:pageBreakBefore w:val="0"/>
        <w:kinsoku/>
        <w:wordWrap/>
        <w:overflowPunct/>
        <w:topLinePunct w:val="0"/>
        <w:autoSpaceDE/>
        <w:autoSpaceDN/>
        <w:bidi w:val="0"/>
        <w:spacing w:line="600" w:lineRule="exact"/>
        <w:ind w:firstLine="600" w:firstLineChars="200"/>
        <w:outlineLvl w:val="1"/>
        <w:rPr>
          <w:rFonts w:hint="eastAsia" w:ascii="黑体" w:hAnsi="黑体" w:eastAsia="黑体"/>
          <w:sz w:val="30"/>
          <w:szCs w:val="30"/>
        </w:rPr>
      </w:pPr>
      <w:r>
        <w:rPr>
          <w:rFonts w:hint="eastAsia" w:ascii="黑体" w:hAnsi="黑体" w:eastAsia="黑体"/>
          <w:sz w:val="30"/>
          <w:szCs w:val="30"/>
          <w:lang w:eastAsia="zh-CN"/>
        </w:rPr>
        <w:t>二、</w:t>
      </w:r>
      <w:r>
        <w:rPr>
          <w:rFonts w:hint="eastAsia" w:ascii="黑体" w:hAnsi="黑体" w:eastAsia="黑体"/>
          <w:sz w:val="30"/>
          <w:szCs w:val="30"/>
        </w:rPr>
        <w:t>国有资产占用情况</w:t>
      </w:r>
    </w:p>
    <w:p>
      <w:pPr>
        <w:keepNext w:val="0"/>
        <w:keepLines w:val="0"/>
        <w:pageBreakBefore w:val="0"/>
        <w:widowControl/>
        <w:kinsoku/>
        <w:wordWrap/>
        <w:overflowPunct/>
        <w:topLinePunct w:val="0"/>
        <w:autoSpaceDE/>
        <w:autoSpaceDN/>
        <w:bidi w:val="0"/>
        <w:ind w:firstLine="600" w:firstLineChars="200"/>
        <w:rPr>
          <w:rFonts w:hint="eastAsia" w:ascii="楷体" w:hAnsi="楷体" w:eastAsia="楷体"/>
          <w:bCs/>
          <w:sz w:val="30"/>
          <w:szCs w:val="30"/>
          <w:lang w:val="en-US" w:eastAsia="zh-CN"/>
        </w:rPr>
      </w:pPr>
      <w:r>
        <w:rPr>
          <w:rFonts w:hint="eastAsia" w:ascii="楷体" w:hAnsi="楷体" w:eastAsia="楷体"/>
          <w:bCs/>
          <w:sz w:val="30"/>
          <w:szCs w:val="30"/>
          <w:lang w:val="en-US" w:eastAsia="zh-CN"/>
        </w:rPr>
        <w:t>截至2021年12月31日，昆明市盘龙区信访局资产总额38.11万元，其中，流动资产2.93万元，固定资产35.18万元，对外投资及有价证券0万元，在建工程0万元，无形资产0X万元，其他资产0万元（具体内容详见附表）。与上年相比，本年资产总额增加0.67万元，其中固定资产增加0.67万元。处置房屋建筑物0平方米，账面原值0万元；处置车辆0辆，账面原值0万元；报废报损资产0项，账面原值0万元，实现资产处置收入0万元；出租房屋0平方米，账面原值0万元，实现资产使用收入0万元。</w:t>
      </w:r>
    </w:p>
    <w:tbl>
      <w:tblPr>
        <w:tblStyle w:val="5"/>
        <w:tblpPr w:leftFromText="180" w:rightFromText="180" w:topFromText="100" w:bottomFromText="100" w:vertAnchor="text" w:horzAnchor="page" w:tblpX="534" w:tblpY="490"/>
        <w:tblOverlap w:val="never"/>
        <w:tblW w:w="10770" w:type="dxa"/>
        <w:tblInd w:w="0" w:type="dxa"/>
        <w:tblLayout w:type="fixed"/>
        <w:tblCellMar>
          <w:top w:w="0" w:type="dxa"/>
          <w:left w:w="0" w:type="dxa"/>
          <w:bottom w:w="0" w:type="dxa"/>
          <w:right w:w="0" w:type="dxa"/>
        </w:tblCellMar>
      </w:tblPr>
      <w:tblGrid>
        <w:gridCol w:w="715"/>
        <w:gridCol w:w="546"/>
        <w:gridCol w:w="700"/>
        <w:gridCol w:w="684"/>
        <w:gridCol w:w="599"/>
        <w:gridCol w:w="718"/>
        <w:gridCol w:w="651"/>
        <w:gridCol w:w="67"/>
        <w:gridCol w:w="865"/>
        <w:gridCol w:w="331"/>
        <w:gridCol w:w="643"/>
        <w:gridCol w:w="196"/>
        <w:gridCol w:w="978"/>
        <w:gridCol w:w="979"/>
        <w:gridCol w:w="360"/>
        <w:gridCol w:w="618"/>
        <w:gridCol w:w="360"/>
        <w:gridCol w:w="142"/>
        <w:gridCol w:w="476"/>
        <w:gridCol w:w="142"/>
      </w:tblGrid>
      <w:tr>
        <w:tblPrEx>
          <w:tblLayout w:type="fixed"/>
          <w:tblCellMar>
            <w:top w:w="0" w:type="dxa"/>
            <w:left w:w="0" w:type="dxa"/>
            <w:bottom w:w="0" w:type="dxa"/>
            <w:right w:w="0" w:type="dxa"/>
          </w:tblCellMar>
        </w:tblPrEx>
        <w:trPr>
          <w:trHeight w:val="495" w:hRule="atLeast"/>
        </w:trPr>
        <w:tc>
          <w:tcPr>
            <w:tcW w:w="10628" w:type="dxa"/>
            <w:gridSpan w:val="19"/>
            <w:tcBorders>
              <w:top w:val="nil"/>
              <w:left w:val="nil"/>
              <w:bottom w:val="nil"/>
              <w:right w:val="nil"/>
            </w:tcBorders>
            <w:shd w:val="clear" w:color="auto" w:fill="FFFFFF"/>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center"/>
              <w:textAlignment w:val="center"/>
              <w:rPr>
                <w:rFonts w:ascii="宋体" w:hAnsi="宋体" w:cs="宋体"/>
                <w:color w:val="000000"/>
                <w:kern w:val="0"/>
                <w:sz w:val="24"/>
                <w:szCs w:val="24"/>
              </w:rPr>
            </w:pPr>
            <w:r>
              <w:rPr>
                <w:rFonts w:hint="eastAsia" w:ascii="楷体" w:hAnsi="楷体" w:eastAsia="楷体" w:cs="楷体"/>
                <w:b/>
                <w:color w:val="000000"/>
                <w:kern w:val="0"/>
                <w:sz w:val="30"/>
                <w:szCs w:val="30"/>
                <w:lang w:bidi="ar"/>
              </w:rPr>
              <w:t>国有资产占有使用情况表</w:t>
            </w:r>
          </w:p>
        </w:tc>
        <w:tc>
          <w:tcPr>
            <w:tcW w:w="142" w:type="dxa"/>
            <w:tcBorders>
              <w:top w:val="nil"/>
              <w:left w:val="nil"/>
              <w:bottom w:val="nil"/>
              <w:right w:val="nil"/>
            </w:tcBorders>
            <w:noWrap w:val="0"/>
            <w:vAlign w:val="center"/>
          </w:tcPr>
          <w:p>
            <w:pPr>
              <w:keepNext w:val="0"/>
              <w:keepLines w:val="0"/>
              <w:pageBreakBefore w:val="0"/>
              <w:widowControl/>
              <w:kinsoku/>
              <w:wordWrap/>
              <w:overflowPunct/>
              <w:topLinePunct w:val="0"/>
              <w:autoSpaceDE/>
              <w:autoSpaceDN/>
              <w:bidi w:val="0"/>
              <w:jc w:val="left"/>
              <w:rPr>
                <w:rFonts w:ascii="宋体" w:hAnsi="宋体" w:cs="宋体"/>
                <w:color w:val="000000"/>
                <w:kern w:val="0"/>
                <w:sz w:val="17"/>
                <w:szCs w:val="17"/>
              </w:rPr>
            </w:pPr>
          </w:p>
        </w:tc>
      </w:tr>
      <w:tr>
        <w:tblPrEx>
          <w:tblLayout w:type="fixed"/>
          <w:tblCellMar>
            <w:top w:w="0" w:type="dxa"/>
            <w:left w:w="0" w:type="dxa"/>
            <w:bottom w:w="0" w:type="dxa"/>
            <w:right w:w="0" w:type="dxa"/>
          </w:tblCellMar>
        </w:tblPrEx>
        <w:trPr>
          <w:trHeight w:val="347" w:hRule="atLeast"/>
        </w:trPr>
        <w:tc>
          <w:tcPr>
            <w:tcW w:w="4680" w:type="dxa"/>
            <w:gridSpan w:val="8"/>
            <w:tcBorders>
              <w:top w:val="nil"/>
              <w:left w:val="nil"/>
              <w:bottom w:val="single" w:color="808080" w:sz="4" w:space="0"/>
              <w:right w:val="nil"/>
            </w:tcBorders>
            <w:shd w:val="clear" w:color="auto" w:fill="FFFFFF"/>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left"/>
              <w:textAlignment w:val="center"/>
              <w:rPr>
                <w:rFonts w:ascii="宋体" w:hAnsi="宋体" w:cs="宋体"/>
                <w:color w:val="000000"/>
                <w:kern w:val="0"/>
                <w:sz w:val="24"/>
                <w:szCs w:val="24"/>
              </w:rPr>
            </w:pPr>
            <w:r>
              <w:rPr>
                <w:rFonts w:hint="eastAsia" w:ascii="宋体" w:hAnsi="宋体" w:cs="宋体"/>
                <w:color w:val="000000"/>
                <w:kern w:val="0"/>
                <w:sz w:val="20"/>
                <w:szCs w:val="20"/>
              </w:rPr>
              <w:t> </w:t>
            </w:r>
          </w:p>
        </w:tc>
        <w:tc>
          <w:tcPr>
            <w:tcW w:w="865" w:type="dxa"/>
            <w:tcBorders>
              <w:top w:val="nil"/>
              <w:left w:val="nil"/>
              <w:bottom w:val="single" w:color="808080" w:sz="4" w:space="0"/>
              <w:right w:val="nil"/>
            </w:tcBorders>
            <w:shd w:val="clear" w:color="auto" w:fill="FFFFFF"/>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left"/>
              <w:rPr>
                <w:rFonts w:ascii="宋体" w:hAnsi="宋体" w:cs="宋体"/>
                <w:color w:val="000000"/>
                <w:kern w:val="0"/>
                <w:sz w:val="24"/>
                <w:szCs w:val="24"/>
              </w:rPr>
            </w:pPr>
            <w:r>
              <w:rPr>
                <w:rFonts w:hint="eastAsia" w:ascii="宋体" w:hAnsi="宋体" w:cs="宋体"/>
                <w:color w:val="000000"/>
                <w:kern w:val="0"/>
                <w:sz w:val="20"/>
                <w:szCs w:val="20"/>
              </w:rPr>
              <w:t> </w:t>
            </w:r>
          </w:p>
        </w:tc>
        <w:tc>
          <w:tcPr>
            <w:tcW w:w="974" w:type="dxa"/>
            <w:gridSpan w:val="2"/>
            <w:tcBorders>
              <w:top w:val="nil"/>
              <w:left w:val="nil"/>
              <w:bottom w:val="single" w:color="808080" w:sz="4" w:space="0"/>
              <w:right w:val="nil"/>
            </w:tcBorders>
            <w:shd w:val="clear" w:color="auto" w:fill="FFFFFF"/>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left"/>
              <w:rPr>
                <w:rFonts w:ascii="宋体" w:hAnsi="宋体" w:cs="宋体"/>
                <w:color w:val="000000"/>
                <w:kern w:val="0"/>
                <w:sz w:val="24"/>
                <w:szCs w:val="24"/>
              </w:rPr>
            </w:pPr>
            <w:r>
              <w:rPr>
                <w:rFonts w:hint="eastAsia" w:ascii="宋体" w:hAnsi="宋体" w:cs="宋体"/>
                <w:color w:val="000000"/>
                <w:kern w:val="0"/>
                <w:sz w:val="20"/>
                <w:szCs w:val="20"/>
              </w:rPr>
              <w:t> </w:t>
            </w:r>
          </w:p>
        </w:tc>
        <w:tc>
          <w:tcPr>
            <w:tcW w:w="196" w:type="dxa"/>
            <w:tcBorders>
              <w:top w:val="nil"/>
              <w:left w:val="nil"/>
              <w:bottom w:val="single" w:color="808080" w:sz="4" w:space="0"/>
              <w:right w:val="nil"/>
            </w:tcBorders>
            <w:shd w:val="clear" w:color="auto" w:fill="FFFFFF"/>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left"/>
              <w:rPr>
                <w:rFonts w:ascii="宋体" w:hAnsi="宋体" w:cs="宋体"/>
                <w:color w:val="000000"/>
                <w:kern w:val="0"/>
                <w:sz w:val="24"/>
                <w:szCs w:val="24"/>
              </w:rPr>
            </w:pPr>
            <w:r>
              <w:rPr>
                <w:rFonts w:hint="eastAsia" w:ascii="宋体" w:hAnsi="宋体" w:cs="宋体"/>
                <w:color w:val="000000"/>
                <w:kern w:val="0"/>
                <w:sz w:val="20"/>
                <w:szCs w:val="20"/>
              </w:rPr>
              <w:t> </w:t>
            </w:r>
          </w:p>
        </w:tc>
        <w:tc>
          <w:tcPr>
            <w:tcW w:w="978" w:type="dxa"/>
            <w:tcBorders>
              <w:top w:val="nil"/>
              <w:left w:val="nil"/>
              <w:bottom w:val="single" w:color="808080" w:sz="4" w:space="0"/>
              <w:right w:val="nil"/>
            </w:tcBorders>
            <w:shd w:val="clear" w:color="auto" w:fill="FFFFFF"/>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left"/>
              <w:rPr>
                <w:rFonts w:ascii="宋体" w:hAnsi="宋体" w:cs="宋体"/>
                <w:color w:val="000000"/>
                <w:kern w:val="0"/>
                <w:sz w:val="24"/>
                <w:szCs w:val="24"/>
              </w:rPr>
            </w:pPr>
            <w:r>
              <w:rPr>
                <w:rFonts w:hint="eastAsia" w:ascii="宋体" w:hAnsi="宋体" w:cs="宋体"/>
                <w:color w:val="000000"/>
                <w:kern w:val="0"/>
                <w:sz w:val="20"/>
                <w:szCs w:val="20"/>
              </w:rPr>
              <w:t> </w:t>
            </w:r>
          </w:p>
        </w:tc>
        <w:tc>
          <w:tcPr>
            <w:tcW w:w="979" w:type="dxa"/>
            <w:tcBorders>
              <w:top w:val="nil"/>
              <w:left w:val="nil"/>
              <w:bottom w:val="single" w:color="808080" w:sz="4" w:space="0"/>
              <w:right w:val="nil"/>
            </w:tcBorders>
            <w:shd w:val="clear" w:color="auto" w:fill="FFFFFF"/>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left"/>
              <w:rPr>
                <w:rFonts w:ascii="宋体" w:hAnsi="宋体" w:cs="宋体"/>
                <w:color w:val="000000"/>
                <w:kern w:val="0"/>
                <w:sz w:val="24"/>
                <w:szCs w:val="24"/>
              </w:rPr>
            </w:pPr>
            <w:r>
              <w:rPr>
                <w:rFonts w:hint="eastAsia" w:ascii="宋体" w:hAnsi="宋体" w:cs="宋体"/>
                <w:color w:val="000000"/>
                <w:kern w:val="0"/>
                <w:sz w:val="20"/>
                <w:szCs w:val="20"/>
              </w:rPr>
              <w:t> </w:t>
            </w:r>
          </w:p>
        </w:tc>
        <w:tc>
          <w:tcPr>
            <w:tcW w:w="1956" w:type="dxa"/>
            <w:gridSpan w:val="5"/>
            <w:tcBorders>
              <w:top w:val="nil"/>
              <w:left w:val="nil"/>
              <w:bottom w:val="single" w:color="808080" w:sz="4" w:space="0"/>
              <w:right w:val="nil"/>
            </w:tcBorders>
            <w:shd w:val="clear" w:color="auto" w:fill="FFFFFF"/>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right"/>
              <w:textAlignment w:val="center"/>
              <w:rPr>
                <w:rFonts w:ascii="宋体" w:hAnsi="宋体" w:cs="宋体"/>
                <w:color w:val="000000"/>
                <w:kern w:val="0"/>
                <w:sz w:val="24"/>
                <w:szCs w:val="24"/>
              </w:rPr>
            </w:pPr>
            <w:r>
              <w:rPr>
                <w:rFonts w:hint="eastAsia" w:ascii="楷体" w:hAnsi="楷体" w:eastAsia="楷体" w:cs="楷体"/>
                <w:color w:val="000000"/>
                <w:kern w:val="0"/>
                <w:sz w:val="20"/>
                <w:szCs w:val="20"/>
                <w:lang w:bidi="ar"/>
              </w:rPr>
              <w:t>单位：万元</w:t>
            </w:r>
          </w:p>
        </w:tc>
        <w:tc>
          <w:tcPr>
            <w:tcW w:w="142" w:type="dxa"/>
            <w:tcBorders>
              <w:top w:val="nil"/>
              <w:left w:val="nil"/>
              <w:bottom w:val="nil"/>
              <w:right w:val="nil"/>
            </w:tcBorders>
            <w:noWrap w:val="0"/>
            <w:vAlign w:val="center"/>
          </w:tcPr>
          <w:p>
            <w:pPr>
              <w:keepNext w:val="0"/>
              <w:keepLines w:val="0"/>
              <w:pageBreakBefore w:val="0"/>
              <w:widowControl/>
              <w:kinsoku/>
              <w:wordWrap/>
              <w:overflowPunct/>
              <w:topLinePunct w:val="0"/>
              <w:autoSpaceDE/>
              <w:autoSpaceDN/>
              <w:bidi w:val="0"/>
              <w:jc w:val="left"/>
              <w:rPr>
                <w:rFonts w:ascii="宋体" w:hAnsi="宋体" w:cs="宋体"/>
                <w:color w:val="000000"/>
                <w:kern w:val="0"/>
                <w:sz w:val="17"/>
                <w:szCs w:val="17"/>
              </w:rPr>
            </w:pPr>
          </w:p>
        </w:tc>
      </w:tr>
      <w:tr>
        <w:tblPrEx>
          <w:tblLayout w:type="fixed"/>
          <w:tblCellMar>
            <w:top w:w="0" w:type="dxa"/>
            <w:left w:w="0" w:type="dxa"/>
            <w:bottom w:w="0" w:type="dxa"/>
            <w:right w:w="0" w:type="dxa"/>
          </w:tblCellMar>
        </w:tblPrEx>
        <w:trPr>
          <w:trHeight w:val="415" w:hRule="atLeast"/>
        </w:trPr>
        <w:tc>
          <w:tcPr>
            <w:tcW w:w="715"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center"/>
              <w:textAlignment w:val="center"/>
              <w:rPr>
                <w:rFonts w:hint="eastAsia" w:ascii="楷体" w:hAnsi="楷体" w:eastAsia="楷体" w:cs="楷体"/>
                <w:color w:val="000000"/>
                <w:kern w:val="0"/>
                <w:sz w:val="24"/>
                <w:szCs w:val="24"/>
              </w:rPr>
            </w:pPr>
            <w:r>
              <w:rPr>
                <w:rFonts w:hint="eastAsia" w:ascii="楷体" w:hAnsi="楷体" w:eastAsia="楷体" w:cs="楷体"/>
                <w:color w:val="000000"/>
                <w:kern w:val="0"/>
                <w:sz w:val="20"/>
                <w:szCs w:val="20"/>
                <w:lang w:bidi="ar"/>
              </w:rPr>
              <w:t>项目</w:t>
            </w:r>
          </w:p>
        </w:tc>
        <w:tc>
          <w:tcPr>
            <w:tcW w:w="546"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center"/>
              <w:textAlignment w:val="center"/>
              <w:rPr>
                <w:rFonts w:hint="eastAsia" w:ascii="楷体" w:hAnsi="楷体" w:eastAsia="楷体" w:cs="楷体"/>
                <w:color w:val="000000"/>
                <w:kern w:val="0"/>
                <w:sz w:val="24"/>
                <w:szCs w:val="24"/>
              </w:rPr>
            </w:pPr>
            <w:r>
              <w:rPr>
                <w:rFonts w:hint="eastAsia" w:ascii="楷体" w:hAnsi="楷体" w:eastAsia="楷体" w:cs="楷体"/>
                <w:color w:val="000000"/>
                <w:kern w:val="0"/>
                <w:sz w:val="20"/>
                <w:szCs w:val="20"/>
                <w:lang w:bidi="ar"/>
              </w:rPr>
              <w:t>行次</w:t>
            </w:r>
          </w:p>
        </w:tc>
        <w:tc>
          <w:tcPr>
            <w:tcW w:w="70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center"/>
              <w:textAlignment w:val="center"/>
              <w:rPr>
                <w:rFonts w:hint="eastAsia" w:ascii="楷体" w:hAnsi="楷体" w:eastAsia="楷体" w:cs="楷体"/>
                <w:color w:val="000000"/>
                <w:kern w:val="0"/>
                <w:sz w:val="24"/>
                <w:szCs w:val="24"/>
              </w:rPr>
            </w:pPr>
            <w:r>
              <w:rPr>
                <w:rFonts w:hint="eastAsia" w:ascii="楷体" w:hAnsi="楷体" w:eastAsia="楷体" w:cs="楷体"/>
                <w:color w:val="000000"/>
                <w:kern w:val="0"/>
                <w:sz w:val="20"/>
                <w:szCs w:val="20"/>
                <w:lang w:bidi="ar"/>
              </w:rPr>
              <w:t>资产总额</w:t>
            </w:r>
          </w:p>
        </w:tc>
        <w:tc>
          <w:tcPr>
            <w:tcW w:w="684"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center"/>
              <w:textAlignment w:val="center"/>
              <w:rPr>
                <w:rFonts w:hint="eastAsia" w:ascii="楷体" w:hAnsi="楷体" w:eastAsia="楷体" w:cs="楷体"/>
                <w:color w:val="000000"/>
                <w:kern w:val="0"/>
                <w:sz w:val="24"/>
                <w:szCs w:val="24"/>
              </w:rPr>
            </w:pPr>
            <w:r>
              <w:rPr>
                <w:rFonts w:hint="eastAsia" w:ascii="楷体" w:hAnsi="楷体" w:eastAsia="楷体" w:cs="楷体"/>
                <w:color w:val="000000"/>
                <w:kern w:val="0"/>
                <w:sz w:val="20"/>
                <w:szCs w:val="20"/>
                <w:lang w:bidi="ar"/>
              </w:rPr>
              <w:t>流动资产</w:t>
            </w:r>
          </w:p>
        </w:tc>
        <w:tc>
          <w:tcPr>
            <w:tcW w:w="4070" w:type="dxa"/>
            <w:gridSpan w:val="8"/>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center"/>
              <w:textAlignment w:val="center"/>
              <w:rPr>
                <w:rFonts w:hint="eastAsia" w:ascii="楷体" w:hAnsi="楷体" w:eastAsia="楷体" w:cs="楷体"/>
                <w:color w:val="000000"/>
                <w:kern w:val="0"/>
                <w:sz w:val="24"/>
                <w:szCs w:val="24"/>
              </w:rPr>
            </w:pPr>
            <w:r>
              <w:rPr>
                <w:rFonts w:hint="eastAsia" w:ascii="楷体" w:hAnsi="楷体" w:eastAsia="楷体" w:cs="楷体"/>
                <w:color w:val="000000"/>
                <w:kern w:val="0"/>
                <w:sz w:val="20"/>
                <w:szCs w:val="20"/>
                <w:lang w:bidi="ar"/>
              </w:rPr>
              <w:t>固定资产</w:t>
            </w:r>
          </w:p>
        </w:tc>
        <w:tc>
          <w:tcPr>
            <w:tcW w:w="978"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center"/>
              <w:textAlignment w:val="center"/>
              <w:rPr>
                <w:rFonts w:hint="eastAsia" w:ascii="楷体" w:hAnsi="楷体" w:eastAsia="楷体" w:cs="楷体"/>
                <w:color w:val="000000"/>
                <w:kern w:val="0"/>
                <w:sz w:val="24"/>
                <w:szCs w:val="24"/>
              </w:rPr>
            </w:pPr>
            <w:r>
              <w:rPr>
                <w:rFonts w:hint="eastAsia" w:ascii="楷体" w:hAnsi="楷体" w:eastAsia="楷体" w:cs="楷体"/>
                <w:color w:val="000000"/>
                <w:kern w:val="0"/>
                <w:sz w:val="20"/>
                <w:szCs w:val="20"/>
                <w:lang w:bidi="ar"/>
              </w:rPr>
              <w:t>对外投资/有价证券</w:t>
            </w:r>
          </w:p>
        </w:tc>
        <w:tc>
          <w:tcPr>
            <w:tcW w:w="979"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center"/>
              <w:textAlignment w:val="center"/>
              <w:rPr>
                <w:rFonts w:hint="eastAsia" w:ascii="楷体" w:hAnsi="楷体" w:eastAsia="楷体" w:cs="楷体"/>
                <w:color w:val="000000"/>
                <w:kern w:val="0"/>
                <w:sz w:val="24"/>
                <w:szCs w:val="24"/>
              </w:rPr>
            </w:pPr>
            <w:r>
              <w:rPr>
                <w:rFonts w:hint="eastAsia" w:ascii="楷体" w:hAnsi="楷体" w:eastAsia="楷体" w:cs="楷体"/>
                <w:color w:val="000000"/>
                <w:kern w:val="0"/>
                <w:sz w:val="20"/>
                <w:szCs w:val="20"/>
                <w:lang w:bidi="ar"/>
              </w:rPr>
              <w:t>在建工程</w:t>
            </w:r>
          </w:p>
        </w:tc>
        <w:tc>
          <w:tcPr>
            <w:tcW w:w="978" w:type="dxa"/>
            <w:gridSpan w:val="2"/>
            <w:vMerge w:val="restart"/>
            <w:tcBorders>
              <w:top w:val="nil"/>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center"/>
              <w:textAlignment w:val="center"/>
              <w:rPr>
                <w:rFonts w:hint="eastAsia" w:ascii="楷体" w:hAnsi="楷体" w:eastAsia="楷体" w:cs="楷体"/>
                <w:color w:val="000000"/>
                <w:kern w:val="0"/>
                <w:sz w:val="24"/>
                <w:szCs w:val="24"/>
              </w:rPr>
            </w:pPr>
            <w:r>
              <w:rPr>
                <w:rFonts w:hint="eastAsia" w:ascii="楷体" w:hAnsi="楷体" w:eastAsia="楷体" w:cs="楷体"/>
                <w:color w:val="000000"/>
                <w:kern w:val="0"/>
                <w:sz w:val="20"/>
                <w:szCs w:val="20"/>
                <w:lang w:bidi="ar"/>
              </w:rPr>
              <w:t>无形资产</w:t>
            </w:r>
          </w:p>
        </w:tc>
        <w:tc>
          <w:tcPr>
            <w:tcW w:w="978" w:type="dxa"/>
            <w:gridSpan w:val="3"/>
            <w:vMerge w:val="restart"/>
            <w:tcBorders>
              <w:top w:val="nil"/>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center"/>
              <w:textAlignment w:val="center"/>
              <w:rPr>
                <w:rFonts w:hint="eastAsia" w:ascii="楷体" w:hAnsi="楷体" w:eastAsia="楷体" w:cs="楷体"/>
                <w:color w:val="000000"/>
                <w:kern w:val="0"/>
                <w:sz w:val="24"/>
                <w:szCs w:val="24"/>
              </w:rPr>
            </w:pPr>
            <w:r>
              <w:rPr>
                <w:rFonts w:hint="eastAsia" w:ascii="楷体" w:hAnsi="楷体" w:eastAsia="楷体" w:cs="楷体"/>
                <w:color w:val="000000"/>
                <w:kern w:val="0"/>
                <w:sz w:val="20"/>
                <w:szCs w:val="20"/>
                <w:lang w:bidi="ar"/>
              </w:rPr>
              <w:t>其他资产</w:t>
            </w:r>
          </w:p>
        </w:tc>
        <w:tc>
          <w:tcPr>
            <w:tcW w:w="142" w:type="dxa"/>
            <w:tcBorders>
              <w:top w:val="nil"/>
              <w:left w:val="nil"/>
              <w:bottom w:val="nil"/>
              <w:right w:val="nil"/>
            </w:tcBorders>
            <w:noWrap w:val="0"/>
            <w:vAlign w:val="center"/>
          </w:tcPr>
          <w:p>
            <w:pPr>
              <w:keepNext w:val="0"/>
              <w:keepLines w:val="0"/>
              <w:pageBreakBefore w:val="0"/>
              <w:widowControl/>
              <w:kinsoku/>
              <w:wordWrap/>
              <w:overflowPunct/>
              <w:topLinePunct w:val="0"/>
              <w:autoSpaceDE/>
              <w:autoSpaceDN/>
              <w:bidi w:val="0"/>
              <w:jc w:val="left"/>
              <w:rPr>
                <w:rFonts w:ascii="宋体" w:hAnsi="宋体" w:cs="宋体"/>
                <w:color w:val="000000"/>
                <w:kern w:val="0"/>
                <w:sz w:val="17"/>
                <w:szCs w:val="17"/>
              </w:rPr>
            </w:pPr>
          </w:p>
        </w:tc>
      </w:tr>
      <w:tr>
        <w:tblPrEx>
          <w:tblLayout w:type="fixed"/>
          <w:tblCellMar>
            <w:top w:w="0" w:type="dxa"/>
            <w:left w:w="0" w:type="dxa"/>
            <w:bottom w:w="0" w:type="dxa"/>
            <w:right w:w="0" w:type="dxa"/>
          </w:tblCellMar>
        </w:tblPrEx>
        <w:trPr>
          <w:trHeight w:val="345" w:hRule="atLeast"/>
        </w:trPr>
        <w:tc>
          <w:tcPr>
            <w:tcW w:w="71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jc w:val="left"/>
              <w:rPr>
                <w:rFonts w:hint="eastAsia" w:ascii="楷体" w:hAnsi="楷体" w:eastAsia="楷体" w:cs="楷体"/>
                <w:color w:val="000000"/>
                <w:kern w:val="0"/>
                <w:sz w:val="24"/>
                <w:szCs w:val="24"/>
              </w:rPr>
            </w:pPr>
          </w:p>
        </w:tc>
        <w:tc>
          <w:tcPr>
            <w:tcW w:w="546"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jc w:val="left"/>
              <w:rPr>
                <w:rFonts w:hint="eastAsia" w:ascii="楷体" w:hAnsi="楷体" w:eastAsia="楷体" w:cs="楷体"/>
                <w:color w:val="000000"/>
                <w:kern w:val="0"/>
                <w:sz w:val="24"/>
                <w:szCs w:val="24"/>
              </w:rPr>
            </w:pPr>
          </w:p>
        </w:tc>
        <w:tc>
          <w:tcPr>
            <w:tcW w:w="70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jc w:val="left"/>
              <w:rPr>
                <w:rFonts w:hint="eastAsia" w:ascii="楷体" w:hAnsi="楷体" w:eastAsia="楷体" w:cs="楷体"/>
                <w:color w:val="000000"/>
                <w:kern w:val="0"/>
                <w:sz w:val="24"/>
                <w:szCs w:val="24"/>
              </w:rPr>
            </w:pPr>
          </w:p>
        </w:tc>
        <w:tc>
          <w:tcPr>
            <w:tcW w:w="684"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jc w:val="left"/>
              <w:rPr>
                <w:rFonts w:hint="eastAsia" w:ascii="楷体" w:hAnsi="楷体" w:eastAsia="楷体" w:cs="楷体"/>
                <w:color w:val="000000"/>
                <w:kern w:val="0"/>
                <w:sz w:val="24"/>
                <w:szCs w:val="24"/>
              </w:rPr>
            </w:pPr>
          </w:p>
        </w:tc>
        <w:tc>
          <w:tcPr>
            <w:tcW w:w="599"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center"/>
              <w:textAlignment w:val="center"/>
              <w:rPr>
                <w:rFonts w:hint="eastAsia" w:ascii="楷体" w:hAnsi="楷体" w:eastAsia="楷体" w:cs="楷体"/>
                <w:color w:val="000000"/>
                <w:kern w:val="0"/>
                <w:sz w:val="24"/>
                <w:szCs w:val="24"/>
              </w:rPr>
            </w:pPr>
            <w:r>
              <w:rPr>
                <w:rFonts w:hint="eastAsia" w:ascii="楷体" w:hAnsi="楷体" w:eastAsia="楷体" w:cs="楷体"/>
                <w:color w:val="000000"/>
                <w:kern w:val="0"/>
                <w:sz w:val="20"/>
                <w:szCs w:val="20"/>
                <w:lang w:bidi="ar"/>
              </w:rPr>
              <w:t>小计</w:t>
            </w:r>
          </w:p>
        </w:tc>
        <w:tc>
          <w:tcPr>
            <w:tcW w:w="718"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center"/>
              <w:textAlignment w:val="center"/>
              <w:rPr>
                <w:rFonts w:hint="eastAsia" w:ascii="楷体" w:hAnsi="楷体" w:eastAsia="楷体" w:cs="楷体"/>
                <w:color w:val="000000"/>
                <w:kern w:val="0"/>
                <w:sz w:val="24"/>
                <w:szCs w:val="24"/>
              </w:rPr>
            </w:pPr>
            <w:r>
              <w:rPr>
                <w:rFonts w:hint="eastAsia" w:ascii="楷体" w:hAnsi="楷体" w:eastAsia="楷体" w:cs="楷体"/>
                <w:color w:val="000000"/>
                <w:kern w:val="0"/>
                <w:sz w:val="20"/>
                <w:szCs w:val="20"/>
                <w:lang w:bidi="ar"/>
              </w:rPr>
              <w:t>房屋构筑物</w:t>
            </w:r>
          </w:p>
        </w:tc>
        <w:tc>
          <w:tcPr>
            <w:tcW w:w="651"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center"/>
              <w:textAlignment w:val="center"/>
              <w:rPr>
                <w:rFonts w:hint="eastAsia" w:ascii="楷体" w:hAnsi="楷体" w:eastAsia="楷体" w:cs="楷体"/>
                <w:color w:val="000000"/>
                <w:kern w:val="0"/>
                <w:sz w:val="24"/>
                <w:szCs w:val="24"/>
              </w:rPr>
            </w:pPr>
            <w:r>
              <w:rPr>
                <w:rFonts w:hint="eastAsia" w:ascii="楷体" w:hAnsi="楷体" w:eastAsia="楷体" w:cs="楷体"/>
                <w:color w:val="000000"/>
                <w:kern w:val="0"/>
                <w:sz w:val="20"/>
                <w:szCs w:val="20"/>
                <w:lang w:bidi="ar"/>
              </w:rPr>
              <w:t>车辆</w:t>
            </w:r>
          </w:p>
        </w:tc>
        <w:tc>
          <w:tcPr>
            <w:tcW w:w="1263" w:type="dxa"/>
            <w:gridSpan w:val="3"/>
            <w:vMerge w:val="restart"/>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center"/>
              <w:textAlignment w:val="center"/>
              <w:rPr>
                <w:rFonts w:hint="eastAsia" w:ascii="楷体" w:hAnsi="楷体" w:eastAsia="楷体" w:cs="楷体"/>
                <w:color w:val="000000"/>
                <w:kern w:val="0"/>
                <w:sz w:val="24"/>
                <w:szCs w:val="24"/>
              </w:rPr>
            </w:pPr>
            <w:r>
              <w:rPr>
                <w:rFonts w:hint="eastAsia" w:ascii="楷体" w:hAnsi="楷体" w:eastAsia="楷体" w:cs="楷体"/>
                <w:color w:val="000000"/>
                <w:kern w:val="0"/>
                <w:sz w:val="20"/>
                <w:szCs w:val="20"/>
                <w:lang w:bidi="ar"/>
              </w:rPr>
              <w:t>单价200万以上大型设备</w:t>
            </w:r>
          </w:p>
        </w:tc>
        <w:tc>
          <w:tcPr>
            <w:tcW w:w="839" w:type="dxa"/>
            <w:gridSpan w:val="2"/>
            <w:vMerge w:val="restart"/>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center"/>
              <w:textAlignment w:val="center"/>
              <w:rPr>
                <w:rFonts w:hint="eastAsia" w:ascii="楷体" w:hAnsi="楷体" w:eastAsia="楷体" w:cs="楷体"/>
                <w:color w:val="000000"/>
                <w:kern w:val="0"/>
                <w:sz w:val="24"/>
                <w:szCs w:val="24"/>
              </w:rPr>
            </w:pPr>
            <w:r>
              <w:rPr>
                <w:rFonts w:hint="eastAsia" w:ascii="楷体" w:hAnsi="楷体" w:eastAsia="楷体" w:cs="楷体"/>
                <w:color w:val="000000"/>
                <w:kern w:val="0"/>
                <w:sz w:val="20"/>
                <w:szCs w:val="20"/>
                <w:lang w:bidi="ar"/>
              </w:rPr>
              <w:t>其他固定资产</w:t>
            </w:r>
          </w:p>
        </w:tc>
        <w:tc>
          <w:tcPr>
            <w:tcW w:w="978"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jc w:val="left"/>
              <w:rPr>
                <w:rFonts w:hint="eastAsia" w:ascii="楷体" w:hAnsi="楷体" w:eastAsia="楷体" w:cs="楷体"/>
                <w:color w:val="000000"/>
                <w:kern w:val="0"/>
                <w:sz w:val="24"/>
                <w:szCs w:val="24"/>
              </w:rPr>
            </w:pPr>
          </w:p>
        </w:tc>
        <w:tc>
          <w:tcPr>
            <w:tcW w:w="979"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jc w:val="left"/>
              <w:rPr>
                <w:rFonts w:hint="eastAsia" w:ascii="楷体" w:hAnsi="楷体" w:eastAsia="楷体" w:cs="楷体"/>
                <w:color w:val="000000"/>
                <w:kern w:val="0"/>
                <w:sz w:val="24"/>
                <w:szCs w:val="24"/>
              </w:rPr>
            </w:pPr>
          </w:p>
        </w:tc>
        <w:tc>
          <w:tcPr>
            <w:tcW w:w="978" w:type="dxa"/>
            <w:gridSpan w:val="2"/>
            <w:vMerge w:val="continue"/>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jc w:val="left"/>
              <w:rPr>
                <w:rFonts w:hint="eastAsia" w:ascii="楷体" w:hAnsi="楷体" w:eastAsia="楷体" w:cs="楷体"/>
                <w:color w:val="000000"/>
                <w:kern w:val="0"/>
                <w:sz w:val="24"/>
                <w:szCs w:val="24"/>
              </w:rPr>
            </w:pPr>
          </w:p>
        </w:tc>
        <w:tc>
          <w:tcPr>
            <w:tcW w:w="978" w:type="dxa"/>
            <w:gridSpan w:val="3"/>
            <w:vMerge w:val="continue"/>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jc w:val="left"/>
              <w:rPr>
                <w:rFonts w:hint="eastAsia" w:ascii="楷体" w:hAnsi="楷体" w:eastAsia="楷体" w:cs="楷体"/>
                <w:color w:val="000000"/>
                <w:kern w:val="0"/>
                <w:sz w:val="24"/>
                <w:szCs w:val="24"/>
              </w:rPr>
            </w:pPr>
          </w:p>
        </w:tc>
        <w:tc>
          <w:tcPr>
            <w:tcW w:w="142" w:type="dxa"/>
            <w:tcBorders>
              <w:top w:val="nil"/>
              <w:left w:val="nil"/>
              <w:bottom w:val="nil"/>
              <w:right w:val="nil"/>
            </w:tcBorders>
            <w:noWrap w:val="0"/>
            <w:vAlign w:val="center"/>
          </w:tcPr>
          <w:p>
            <w:pPr>
              <w:keepNext w:val="0"/>
              <w:keepLines w:val="0"/>
              <w:pageBreakBefore w:val="0"/>
              <w:widowControl/>
              <w:kinsoku/>
              <w:wordWrap/>
              <w:overflowPunct/>
              <w:topLinePunct w:val="0"/>
              <w:autoSpaceDE/>
              <w:autoSpaceDN/>
              <w:bidi w:val="0"/>
              <w:jc w:val="left"/>
              <w:rPr>
                <w:rFonts w:ascii="宋体" w:hAnsi="宋体" w:cs="宋体"/>
                <w:color w:val="000000"/>
                <w:kern w:val="0"/>
                <w:sz w:val="17"/>
                <w:szCs w:val="17"/>
              </w:rPr>
            </w:pPr>
          </w:p>
        </w:tc>
      </w:tr>
      <w:tr>
        <w:tblPrEx>
          <w:tblLayout w:type="fixed"/>
          <w:tblCellMar>
            <w:top w:w="0" w:type="dxa"/>
            <w:left w:w="0" w:type="dxa"/>
            <w:bottom w:w="0" w:type="dxa"/>
            <w:right w:w="0" w:type="dxa"/>
          </w:tblCellMar>
        </w:tblPrEx>
        <w:trPr>
          <w:trHeight w:val="395" w:hRule="atLeast"/>
        </w:trPr>
        <w:tc>
          <w:tcPr>
            <w:tcW w:w="71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jc w:val="left"/>
              <w:rPr>
                <w:rFonts w:hint="eastAsia" w:ascii="楷体" w:hAnsi="楷体" w:eastAsia="楷体" w:cs="楷体"/>
                <w:color w:val="000000"/>
                <w:kern w:val="0"/>
                <w:sz w:val="24"/>
                <w:szCs w:val="24"/>
              </w:rPr>
            </w:pPr>
          </w:p>
        </w:tc>
        <w:tc>
          <w:tcPr>
            <w:tcW w:w="546"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jc w:val="left"/>
              <w:rPr>
                <w:rFonts w:hint="eastAsia" w:ascii="楷体" w:hAnsi="楷体" w:eastAsia="楷体" w:cs="楷体"/>
                <w:color w:val="000000"/>
                <w:kern w:val="0"/>
                <w:sz w:val="24"/>
                <w:szCs w:val="24"/>
              </w:rPr>
            </w:pPr>
          </w:p>
        </w:tc>
        <w:tc>
          <w:tcPr>
            <w:tcW w:w="70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jc w:val="left"/>
              <w:rPr>
                <w:rFonts w:hint="eastAsia" w:ascii="楷体" w:hAnsi="楷体" w:eastAsia="楷体" w:cs="楷体"/>
                <w:color w:val="000000"/>
                <w:kern w:val="0"/>
                <w:sz w:val="24"/>
                <w:szCs w:val="24"/>
              </w:rPr>
            </w:pPr>
          </w:p>
        </w:tc>
        <w:tc>
          <w:tcPr>
            <w:tcW w:w="684"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jc w:val="left"/>
              <w:rPr>
                <w:rFonts w:hint="eastAsia" w:ascii="楷体" w:hAnsi="楷体" w:eastAsia="楷体" w:cs="楷体"/>
                <w:color w:val="000000"/>
                <w:kern w:val="0"/>
                <w:sz w:val="24"/>
                <w:szCs w:val="24"/>
              </w:rPr>
            </w:pPr>
          </w:p>
        </w:tc>
        <w:tc>
          <w:tcPr>
            <w:tcW w:w="599"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jc w:val="left"/>
              <w:rPr>
                <w:rFonts w:hint="eastAsia" w:ascii="楷体" w:hAnsi="楷体" w:eastAsia="楷体" w:cs="楷体"/>
                <w:color w:val="000000"/>
                <w:kern w:val="0"/>
                <w:sz w:val="24"/>
                <w:szCs w:val="24"/>
              </w:rPr>
            </w:pPr>
          </w:p>
        </w:tc>
        <w:tc>
          <w:tcPr>
            <w:tcW w:w="718"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jc w:val="left"/>
              <w:rPr>
                <w:rFonts w:hint="eastAsia" w:ascii="楷体" w:hAnsi="楷体" w:eastAsia="楷体" w:cs="楷体"/>
                <w:color w:val="000000"/>
                <w:kern w:val="0"/>
                <w:sz w:val="24"/>
                <w:szCs w:val="24"/>
              </w:rPr>
            </w:pPr>
          </w:p>
        </w:tc>
        <w:tc>
          <w:tcPr>
            <w:tcW w:w="65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jc w:val="left"/>
              <w:rPr>
                <w:rFonts w:hint="eastAsia" w:ascii="楷体" w:hAnsi="楷体" w:eastAsia="楷体" w:cs="楷体"/>
                <w:color w:val="000000"/>
                <w:kern w:val="0"/>
                <w:sz w:val="24"/>
                <w:szCs w:val="24"/>
              </w:rPr>
            </w:pPr>
          </w:p>
        </w:tc>
        <w:tc>
          <w:tcPr>
            <w:tcW w:w="126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jc w:val="left"/>
              <w:rPr>
                <w:rFonts w:hint="eastAsia" w:ascii="楷体" w:hAnsi="楷体" w:eastAsia="楷体" w:cs="楷体"/>
                <w:color w:val="000000"/>
                <w:kern w:val="0"/>
                <w:sz w:val="24"/>
                <w:szCs w:val="24"/>
              </w:rPr>
            </w:pPr>
          </w:p>
        </w:tc>
        <w:tc>
          <w:tcPr>
            <w:tcW w:w="839"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jc w:val="left"/>
              <w:rPr>
                <w:rFonts w:hint="eastAsia" w:ascii="楷体" w:hAnsi="楷体" w:eastAsia="楷体" w:cs="楷体"/>
                <w:color w:val="000000"/>
                <w:kern w:val="0"/>
                <w:sz w:val="24"/>
                <w:szCs w:val="24"/>
              </w:rPr>
            </w:pPr>
          </w:p>
        </w:tc>
        <w:tc>
          <w:tcPr>
            <w:tcW w:w="978"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jc w:val="left"/>
              <w:rPr>
                <w:rFonts w:hint="eastAsia" w:ascii="楷体" w:hAnsi="楷体" w:eastAsia="楷体" w:cs="楷体"/>
                <w:color w:val="000000"/>
                <w:kern w:val="0"/>
                <w:sz w:val="24"/>
                <w:szCs w:val="24"/>
              </w:rPr>
            </w:pPr>
          </w:p>
        </w:tc>
        <w:tc>
          <w:tcPr>
            <w:tcW w:w="979"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jc w:val="left"/>
              <w:rPr>
                <w:rFonts w:hint="eastAsia" w:ascii="楷体" w:hAnsi="楷体" w:eastAsia="楷体" w:cs="楷体"/>
                <w:color w:val="000000"/>
                <w:kern w:val="0"/>
                <w:sz w:val="24"/>
                <w:szCs w:val="24"/>
              </w:rPr>
            </w:pPr>
          </w:p>
        </w:tc>
        <w:tc>
          <w:tcPr>
            <w:tcW w:w="978" w:type="dxa"/>
            <w:gridSpan w:val="2"/>
            <w:vMerge w:val="continue"/>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jc w:val="left"/>
              <w:rPr>
                <w:rFonts w:hint="eastAsia" w:ascii="楷体" w:hAnsi="楷体" w:eastAsia="楷体" w:cs="楷体"/>
                <w:color w:val="000000"/>
                <w:kern w:val="0"/>
                <w:sz w:val="24"/>
                <w:szCs w:val="24"/>
              </w:rPr>
            </w:pPr>
          </w:p>
        </w:tc>
        <w:tc>
          <w:tcPr>
            <w:tcW w:w="978" w:type="dxa"/>
            <w:gridSpan w:val="3"/>
            <w:vMerge w:val="continue"/>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jc w:val="left"/>
              <w:rPr>
                <w:rFonts w:hint="eastAsia" w:ascii="楷体" w:hAnsi="楷体" w:eastAsia="楷体" w:cs="楷体"/>
                <w:color w:val="000000"/>
                <w:kern w:val="0"/>
                <w:sz w:val="24"/>
                <w:szCs w:val="24"/>
              </w:rPr>
            </w:pPr>
          </w:p>
        </w:tc>
        <w:tc>
          <w:tcPr>
            <w:tcW w:w="142" w:type="dxa"/>
            <w:tcBorders>
              <w:top w:val="nil"/>
              <w:left w:val="nil"/>
              <w:bottom w:val="nil"/>
              <w:right w:val="nil"/>
            </w:tcBorders>
            <w:noWrap w:val="0"/>
            <w:vAlign w:val="center"/>
          </w:tcPr>
          <w:p>
            <w:pPr>
              <w:keepNext w:val="0"/>
              <w:keepLines w:val="0"/>
              <w:pageBreakBefore w:val="0"/>
              <w:widowControl/>
              <w:kinsoku/>
              <w:wordWrap/>
              <w:overflowPunct/>
              <w:topLinePunct w:val="0"/>
              <w:autoSpaceDE/>
              <w:autoSpaceDN/>
              <w:bidi w:val="0"/>
              <w:jc w:val="left"/>
              <w:rPr>
                <w:rFonts w:ascii="宋体" w:hAnsi="宋体" w:cs="宋体"/>
                <w:color w:val="000000"/>
                <w:kern w:val="0"/>
                <w:sz w:val="17"/>
                <w:szCs w:val="17"/>
              </w:rPr>
            </w:pPr>
          </w:p>
        </w:tc>
      </w:tr>
      <w:tr>
        <w:tblPrEx>
          <w:tblLayout w:type="fixed"/>
          <w:tblCellMar>
            <w:top w:w="0" w:type="dxa"/>
            <w:left w:w="0" w:type="dxa"/>
            <w:bottom w:w="0" w:type="dxa"/>
            <w:right w:w="0" w:type="dxa"/>
          </w:tblCellMar>
        </w:tblPrEx>
        <w:trPr>
          <w:trHeight w:val="358" w:hRule="atLeast"/>
        </w:trPr>
        <w:tc>
          <w:tcPr>
            <w:tcW w:w="715"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center"/>
              <w:textAlignment w:val="center"/>
              <w:rPr>
                <w:rFonts w:hint="eastAsia" w:ascii="楷体" w:hAnsi="楷体" w:eastAsia="楷体" w:cs="楷体"/>
                <w:color w:val="000000"/>
                <w:kern w:val="0"/>
                <w:sz w:val="24"/>
                <w:szCs w:val="24"/>
              </w:rPr>
            </w:pPr>
            <w:r>
              <w:rPr>
                <w:rFonts w:hint="eastAsia" w:ascii="楷体" w:hAnsi="楷体" w:eastAsia="楷体" w:cs="楷体"/>
                <w:color w:val="000000"/>
                <w:kern w:val="0"/>
                <w:sz w:val="20"/>
                <w:szCs w:val="20"/>
                <w:lang w:bidi="ar"/>
              </w:rPr>
              <w:t>栏次</w:t>
            </w:r>
          </w:p>
        </w:tc>
        <w:tc>
          <w:tcPr>
            <w:tcW w:w="546"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left"/>
              <w:rPr>
                <w:rFonts w:hint="eastAsia" w:ascii="楷体" w:hAnsi="楷体" w:eastAsia="楷体" w:cs="楷体"/>
                <w:color w:val="000000"/>
                <w:kern w:val="0"/>
                <w:sz w:val="24"/>
                <w:szCs w:val="24"/>
              </w:rPr>
            </w:pPr>
            <w:r>
              <w:rPr>
                <w:rFonts w:hint="eastAsia" w:ascii="楷体" w:hAnsi="楷体" w:eastAsia="楷体" w:cs="楷体"/>
                <w:color w:val="000000"/>
                <w:kern w:val="0"/>
                <w:sz w:val="20"/>
                <w:szCs w:val="20"/>
              </w:rPr>
              <w:t> </w:t>
            </w:r>
          </w:p>
        </w:tc>
        <w:tc>
          <w:tcPr>
            <w:tcW w:w="70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center"/>
              <w:textAlignment w:val="center"/>
              <w:rPr>
                <w:rFonts w:hint="eastAsia" w:ascii="楷体" w:hAnsi="楷体" w:eastAsia="楷体" w:cs="楷体"/>
                <w:color w:val="000000"/>
                <w:kern w:val="0"/>
                <w:sz w:val="24"/>
                <w:szCs w:val="24"/>
              </w:rPr>
            </w:pPr>
            <w:r>
              <w:rPr>
                <w:rFonts w:hint="eastAsia" w:ascii="楷体" w:hAnsi="楷体" w:eastAsia="楷体" w:cs="楷体"/>
                <w:color w:val="000000"/>
                <w:kern w:val="0"/>
                <w:sz w:val="20"/>
                <w:szCs w:val="20"/>
                <w:lang w:bidi="ar"/>
              </w:rPr>
              <w:t>1</w:t>
            </w:r>
          </w:p>
        </w:tc>
        <w:tc>
          <w:tcPr>
            <w:tcW w:w="684"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center"/>
              <w:textAlignment w:val="center"/>
              <w:rPr>
                <w:rFonts w:hint="eastAsia" w:ascii="楷体" w:hAnsi="楷体" w:eastAsia="楷体" w:cs="楷体"/>
                <w:color w:val="000000"/>
                <w:kern w:val="0"/>
                <w:sz w:val="24"/>
                <w:szCs w:val="24"/>
              </w:rPr>
            </w:pPr>
            <w:r>
              <w:rPr>
                <w:rFonts w:hint="eastAsia" w:ascii="楷体" w:hAnsi="楷体" w:eastAsia="楷体" w:cs="楷体"/>
                <w:color w:val="000000"/>
                <w:kern w:val="0"/>
                <w:sz w:val="20"/>
                <w:szCs w:val="20"/>
                <w:lang w:bidi="ar"/>
              </w:rPr>
              <w:t>2</w:t>
            </w:r>
          </w:p>
        </w:tc>
        <w:tc>
          <w:tcPr>
            <w:tcW w:w="599"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center"/>
              <w:textAlignment w:val="center"/>
              <w:rPr>
                <w:rFonts w:hint="eastAsia" w:ascii="楷体" w:hAnsi="楷体" w:eastAsia="楷体" w:cs="楷体"/>
                <w:color w:val="000000"/>
                <w:kern w:val="0"/>
                <w:sz w:val="24"/>
                <w:szCs w:val="24"/>
              </w:rPr>
            </w:pPr>
            <w:r>
              <w:rPr>
                <w:rFonts w:hint="eastAsia" w:ascii="楷体" w:hAnsi="楷体" w:eastAsia="楷体" w:cs="楷体"/>
                <w:color w:val="000000"/>
                <w:kern w:val="0"/>
                <w:sz w:val="20"/>
                <w:szCs w:val="20"/>
                <w:lang w:bidi="ar"/>
              </w:rPr>
              <w:t>3</w:t>
            </w:r>
          </w:p>
        </w:tc>
        <w:tc>
          <w:tcPr>
            <w:tcW w:w="718"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center"/>
              <w:textAlignment w:val="center"/>
              <w:rPr>
                <w:rFonts w:hint="eastAsia" w:ascii="楷体" w:hAnsi="楷体" w:eastAsia="楷体" w:cs="楷体"/>
                <w:color w:val="000000"/>
                <w:kern w:val="0"/>
                <w:sz w:val="24"/>
                <w:szCs w:val="24"/>
              </w:rPr>
            </w:pPr>
            <w:r>
              <w:rPr>
                <w:rFonts w:hint="eastAsia" w:ascii="楷体" w:hAnsi="楷体" w:eastAsia="楷体" w:cs="楷体"/>
                <w:color w:val="000000"/>
                <w:kern w:val="0"/>
                <w:sz w:val="20"/>
                <w:szCs w:val="20"/>
                <w:lang w:bidi="ar"/>
              </w:rPr>
              <w:t>4</w:t>
            </w:r>
          </w:p>
        </w:tc>
        <w:tc>
          <w:tcPr>
            <w:tcW w:w="651"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center"/>
              <w:textAlignment w:val="center"/>
              <w:rPr>
                <w:rFonts w:hint="eastAsia" w:ascii="楷体" w:hAnsi="楷体" w:eastAsia="楷体" w:cs="楷体"/>
                <w:color w:val="000000"/>
                <w:kern w:val="0"/>
                <w:sz w:val="24"/>
                <w:szCs w:val="24"/>
              </w:rPr>
            </w:pPr>
            <w:r>
              <w:rPr>
                <w:rFonts w:hint="eastAsia" w:ascii="楷体" w:hAnsi="楷体" w:eastAsia="楷体" w:cs="楷体"/>
                <w:color w:val="000000"/>
                <w:kern w:val="0"/>
                <w:sz w:val="20"/>
                <w:szCs w:val="20"/>
                <w:lang w:bidi="ar"/>
              </w:rPr>
              <w:t>5</w:t>
            </w:r>
          </w:p>
        </w:tc>
        <w:tc>
          <w:tcPr>
            <w:tcW w:w="1263"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center"/>
              <w:textAlignment w:val="center"/>
              <w:rPr>
                <w:rFonts w:hint="eastAsia" w:ascii="楷体" w:hAnsi="楷体" w:eastAsia="楷体" w:cs="楷体"/>
                <w:color w:val="000000"/>
                <w:kern w:val="0"/>
                <w:sz w:val="24"/>
                <w:szCs w:val="24"/>
              </w:rPr>
            </w:pPr>
            <w:r>
              <w:rPr>
                <w:rFonts w:hint="eastAsia" w:ascii="楷体" w:hAnsi="楷体" w:eastAsia="楷体" w:cs="楷体"/>
                <w:color w:val="000000"/>
                <w:kern w:val="0"/>
                <w:sz w:val="20"/>
                <w:szCs w:val="20"/>
                <w:lang w:bidi="ar"/>
              </w:rPr>
              <w:t>6</w:t>
            </w:r>
          </w:p>
        </w:tc>
        <w:tc>
          <w:tcPr>
            <w:tcW w:w="839"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center"/>
              <w:textAlignment w:val="center"/>
              <w:rPr>
                <w:rFonts w:hint="eastAsia" w:ascii="楷体" w:hAnsi="楷体" w:eastAsia="楷体" w:cs="楷体"/>
                <w:color w:val="000000"/>
                <w:kern w:val="0"/>
                <w:sz w:val="24"/>
                <w:szCs w:val="24"/>
              </w:rPr>
            </w:pPr>
            <w:r>
              <w:rPr>
                <w:rFonts w:hint="eastAsia" w:ascii="楷体" w:hAnsi="楷体" w:eastAsia="楷体" w:cs="楷体"/>
                <w:color w:val="000000"/>
                <w:kern w:val="0"/>
                <w:sz w:val="20"/>
                <w:szCs w:val="20"/>
                <w:lang w:bidi="ar"/>
              </w:rPr>
              <w:t>7</w:t>
            </w:r>
          </w:p>
        </w:tc>
        <w:tc>
          <w:tcPr>
            <w:tcW w:w="978"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center"/>
              <w:textAlignment w:val="center"/>
              <w:rPr>
                <w:rFonts w:hint="eastAsia" w:ascii="楷体" w:hAnsi="楷体" w:eastAsia="楷体" w:cs="楷体"/>
                <w:color w:val="000000"/>
                <w:kern w:val="0"/>
                <w:sz w:val="24"/>
                <w:szCs w:val="24"/>
              </w:rPr>
            </w:pPr>
            <w:r>
              <w:rPr>
                <w:rFonts w:hint="eastAsia" w:ascii="楷体" w:hAnsi="楷体" w:eastAsia="楷体" w:cs="楷体"/>
                <w:color w:val="000000"/>
                <w:kern w:val="0"/>
                <w:sz w:val="20"/>
                <w:szCs w:val="20"/>
                <w:lang w:bidi="ar"/>
              </w:rPr>
              <w:t>8</w:t>
            </w:r>
          </w:p>
        </w:tc>
        <w:tc>
          <w:tcPr>
            <w:tcW w:w="979"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center"/>
              <w:textAlignment w:val="center"/>
              <w:rPr>
                <w:rFonts w:hint="eastAsia" w:ascii="楷体" w:hAnsi="楷体" w:eastAsia="楷体" w:cs="楷体"/>
                <w:color w:val="000000"/>
                <w:kern w:val="0"/>
                <w:sz w:val="24"/>
                <w:szCs w:val="24"/>
              </w:rPr>
            </w:pPr>
            <w:r>
              <w:rPr>
                <w:rFonts w:hint="eastAsia" w:ascii="楷体" w:hAnsi="楷体" w:eastAsia="楷体" w:cs="楷体"/>
                <w:color w:val="000000"/>
                <w:kern w:val="0"/>
                <w:sz w:val="20"/>
                <w:szCs w:val="20"/>
                <w:lang w:bidi="ar"/>
              </w:rPr>
              <w:t>9</w:t>
            </w:r>
          </w:p>
        </w:tc>
        <w:tc>
          <w:tcPr>
            <w:tcW w:w="978"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center"/>
              <w:textAlignment w:val="center"/>
              <w:rPr>
                <w:rFonts w:hint="eastAsia" w:ascii="楷体" w:hAnsi="楷体" w:eastAsia="楷体" w:cs="楷体"/>
                <w:color w:val="000000"/>
                <w:kern w:val="0"/>
                <w:sz w:val="24"/>
                <w:szCs w:val="24"/>
              </w:rPr>
            </w:pPr>
            <w:r>
              <w:rPr>
                <w:rFonts w:hint="eastAsia" w:ascii="楷体" w:hAnsi="楷体" w:eastAsia="楷体" w:cs="楷体"/>
                <w:color w:val="000000"/>
                <w:kern w:val="0"/>
                <w:sz w:val="20"/>
                <w:szCs w:val="20"/>
                <w:lang w:bidi="ar"/>
              </w:rPr>
              <w:t>10</w:t>
            </w:r>
          </w:p>
        </w:tc>
        <w:tc>
          <w:tcPr>
            <w:tcW w:w="978"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center"/>
              <w:textAlignment w:val="center"/>
              <w:rPr>
                <w:rFonts w:hint="eastAsia" w:ascii="楷体" w:hAnsi="楷体" w:eastAsia="楷体" w:cs="楷体"/>
                <w:color w:val="000000"/>
                <w:kern w:val="0"/>
                <w:sz w:val="24"/>
                <w:szCs w:val="24"/>
              </w:rPr>
            </w:pPr>
            <w:r>
              <w:rPr>
                <w:rFonts w:hint="eastAsia" w:ascii="楷体" w:hAnsi="楷体" w:eastAsia="楷体" w:cs="楷体"/>
                <w:color w:val="000000"/>
                <w:kern w:val="0"/>
                <w:sz w:val="20"/>
                <w:szCs w:val="20"/>
                <w:lang w:bidi="ar"/>
              </w:rPr>
              <w:t>11</w:t>
            </w:r>
          </w:p>
        </w:tc>
        <w:tc>
          <w:tcPr>
            <w:tcW w:w="142" w:type="dxa"/>
            <w:tcBorders>
              <w:top w:val="nil"/>
              <w:left w:val="nil"/>
              <w:bottom w:val="nil"/>
              <w:right w:val="nil"/>
            </w:tcBorders>
            <w:noWrap w:val="0"/>
            <w:vAlign w:val="center"/>
          </w:tcPr>
          <w:p>
            <w:pPr>
              <w:keepNext w:val="0"/>
              <w:keepLines w:val="0"/>
              <w:pageBreakBefore w:val="0"/>
              <w:widowControl/>
              <w:kinsoku/>
              <w:wordWrap/>
              <w:overflowPunct/>
              <w:topLinePunct w:val="0"/>
              <w:autoSpaceDE/>
              <w:autoSpaceDN/>
              <w:bidi w:val="0"/>
              <w:jc w:val="left"/>
              <w:rPr>
                <w:rFonts w:ascii="宋体" w:hAnsi="宋体" w:cs="宋体"/>
                <w:color w:val="000000"/>
                <w:kern w:val="0"/>
                <w:sz w:val="17"/>
                <w:szCs w:val="17"/>
              </w:rPr>
            </w:pPr>
          </w:p>
        </w:tc>
      </w:tr>
      <w:tr>
        <w:tblPrEx>
          <w:tblLayout w:type="fixed"/>
          <w:tblCellMar>
            <w:top w:w="0" w:type="dxa"/>
            <w:left w:w="0" w:type="dxa"/>
            <w:bottom w:w="0" w:type="dxa"/>
            <w:right w:w="0" w:type="dxa"/>
          </w:tblCellMar>
        </w:tblPrEx>
        <w:trPr>
          <w:trHeight w:val="563" w:hRule="atLeast"/>
        </w:trPr>
        <w:tc>
          <w:tcPr>
            <w:tcW w:w="715"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center"/>
              <w:textAlignment w:val="center"/>
              <w:rPr>
                <w:rFonts w:hint="eastAsia" w:ascii="楷体" w:hAnsi="楷体" w:eastAsia="楷体" w:cs="楷体"/>
                <w:color w:val="000000"/>
                <w:kern w:val="0"/>
                <w:sz w:val="24"/>
                <w:szCs w:val="24"/>
              </w:rPr>
            </w:pPr>
            <w:r>
              <w:rPr>
                <w:rFonts w:hint="eastAsia" w:ascii="楷体" w:hAnsi="楷体" w:eastAsia="楷体" w:cs="楷体"/>
                <w:color w:val="000000"/>
                <w:kern w:val="0"/>
                <w:sz w:val="20"/>
                <w:szCs w:val="20"/>
                <w:lang w:bidi="ar"/>
              </w:rPr>
              <w:t>合计</w:t>
            </w:r>
          </w:p>
        </w:tc>
        <w:tc>
          <w:tcPr>
            <w:tcW w:w="546"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center"/>
              <w:textAlignment w:val="center"/>
              <w:rPr>
                <w:rFonts w:hint="eastAsia" w:ascii="楷体" w:hAnsi="楷体" w:eastAsia="楷体" w:cs="楷体"/>
                <w:color w:val="000000"/>
                <w:kern w:val="0"/>
                <w:sz w:val="24"/>
                <w:szCs w:val="24"/>
              </w:rPr>
            </w:pPr>
            <w:r>
              <w:rPr>
                <w:rFonts w:hint="eastAsia" w:ascii="楷体" w:hAnsi="楷体" w:eastAsia="楷体" w:cs="楷体"/>
                <w:color w:val="000000"/>
                <w:kern w:val="0"/>
                <w:sz w:val="20"/>
                <w:szCs w:val="20"/>
                <w:lang w:bidi="ar"/>
              </w:rPr>
              <w:t>1</w:t>
            </w:r>
          </w:p>
        </w:tc>
        <w:tc>
          <w:tcPr>
            <w:tcW w:w="70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center"/>
              <w:rPr>
                <w:rFonts w:hint="eastAsia" w:ascii="楷体" w:hAnsi="楷体" w:eastAsia="楷体" w:cs="楷体"/>
                <w:color w:val="000000"/>
                <w:kern w:val="0"/>
                <w:sz w:val="24"/>
                <w:szCs w:val="24"/>
                <w:lang w:val="en-US"/>
              </w:rPr>
            </w:pPr>
            <w:r>
              <w:rPr>
                <w:rFonts w:hint="eastAsia" w:ascii="楷体" w:hAnsi="楷体" w:eastAsia="楷体" w:cs="楷体"/>
                <w:color w:val="000000"/>
                <w:kern w:val="0"/>
                <w:sz w:val="20"/>
                <w:szCs w:val="20"/>
                <w:lang w:val="en-US" w:eastAsia="zh-CN"/>
              </w:rPr>
              <w:t>39.29</w:t>
            </w:r>
          </w:p>
        </w:tc>
        <w:tc>
          <w:tcPr>
            <w:tcW w:w="684"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center"/>
              <w:rPr>
                <w:rFonts w:hint="eastAsia" w:ascii="楷体" w:hAnsi="楷体" w:eastAsia="楷体" w:cs="楷体"/>
                <w:color w:val="000000"/>
                <w:kern w:val="0"/>
                <w:sz w:val="24"/>
                <w:szCs w:val="24"/>
              </w:rPr>
            </w:pPr>
            <w:r>
              <w:rPr>
                <w:rFonts w:hint="eastAsia" w:ascii="楷体" w:hAnsi="楷体" w:eastAsia="楷体" w:cs="楷体"/>
                <w:color w:val="000000"/>
                <w:kern w:val="0"/>
                <w:sz w:val="20"/>
                <w:szCs w:val="20"/>
                <w:lang w:val="en-US" w:eastAsia="zh-CN"/>
              </w:rPr>
              <w:t>2.93</w:t>
            </w:r>
          </w:p>
        </w:tc>
        <w:tc>
          <w:tcPr>
            <w:tcW w:w="599"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center"/>
              <w:rPr>
                <w:rFonts w:hint="eastAsia" w:ascii="楷体" w:hAnsi="楷体" w:eastAsia="楷体" w:cs="楷体"/>
                <w:color w:val="000000"/>
                <w:kern w:val="0"/>
                <w:sz w:val="24"/>
                <w:szCs w:val="24"/>
                <w:lang w:val="en-US" w:eastAsia="zh-CN"/>
              </w:rPr>
            </w:pPr>
            <w:r>
              <w:rPr>
                <w:rFonts w:hint="eastAsia" w:ascii="楷体" w:hAnsi="楷体" w:eastAsia="楷体" w:cs="楷体"/>
                <w:color w:val="000000"/>
                <w:kern w:val="0"/>
                <w:sz w:val="20"/>
                <w:szCs w:val="20"/>
                <w:lang w:val="en-US" w:eastAsia="zh-CN"/>
              </w:rPr>
              <w:t>35.18</w:t>
            </w:r>
          </w:p>
        </w:tc>
        <w:tc>
          <w:tcPr>
            <w:tcW w:w="718"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center"/>
              <w:rPr>
                <w:rFonts w:hint="eastAsia" w:ascii="楷体" w:hAnsi="楷体" w:eastAsia="楷体" w:cs="楷体"/>
                <w:color w:val="000000"/>
                <w:kern w:val="0"/>
                <w:sz w:val="24"/>
                <w:szCs w:val="24"/>
              </w:rPr>
            </w:pPr>
          </w:p>
        </w:tc>
        <w:tc>
          <w:tcPr>
            <w:tcW w:w="651"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center"/>
              <w:rPr>
                <w:rFonts w:hint="eastAsia" w:ascii="楷体" w:hAnsi="楷体" w:eastAsia="楷体" w:cs="楷体"/>
                <w:color w:val="000000"/>
                <w:kern w:val="0"/>
                <w:sz w:val="24"/>
                <w:szCs w:val="24"/>
              </w:rPr>
            </w:pPr>
            <w:r>
              <w:rPr>
                <w:rFonts w:hint="eastAsia" w:ascii="楷体" w:hAnsi="楷体" w:eastAsia="楷体" w:cs="楷体"/>
                <w:color w:val="000000"/>
                <w:kern w:val="0"/>
                <w:sz w:val="20"/>
                <w:szCs w:val="20"/>
              </w:rPr>
              <w:t>20.96</w:t>
            </w:r>
          </w:p>
        </w:tc>
        <w:tc>
          <w:tcPr>
            <w:tcW w:w="1263"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center"/>
              <w:rPr>
                <w:rFonts w:hint="eastAsia" w:ascii="楷体" w:hAnsi="楷体" w:eastAsia="楷体" w:cs="楷体"/>
                <w:color w:val="000000"/>
                <w:kern w:val="0"/>
                <w:sz w:val="24"/>
                <w:szCs w:val="24"/>
              </w:rPr>
            </w:pPr>
          </w:p>
        </w:tc>
        <w:tc>
          <w:tcPr>
            <w:tcW w:w="839"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center"/>
              <w:rPr>
                <w:rFonts w:hint="eastAsia" w:ascii="楷体" w:hAnsi="楷体" w:eastAsia="楷体" w:cs="楷体"/>
                <w:color w:val="000000"/>
                <w:kern w:val="0"/>
                <w:sz w:val="24"/>
                <w:szCs w:val="24"/>
                <w:lang w:val="en-US" w:eastAsia="zh-CN"/>
              </w:rPr>
            </w:pPr>
            <w:r>
              <w:rPr>
                <w:rFonts w:hint="eastAsia" w:ascii="楷体" w:hAnsi="楷体" w:eastAsia="楷体" w:cs="楷体"/>
                <w:color w:val="000000"/>
                <w:kern w:val="0"/>
                <w:sz w:val="24"/>
                <w:szCs w:val="24"/>
                <w:lang w:val="en-US" w:eastAsia="zh-CN"/>
              </w:rPr>
              <w:t>14.22</w:t>
            </w:r>
          </w:p>
        </w:tc>
        <w:tc>
          <w:tcPr>
            <w:tcW w:w="978"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center"/>
              <w:rPr>
                <w:rFonts w:hint="eastAsia" w:ascii="楷体" w:hAnsi="楷体" w:eastAsia="楷体" w:cs="楷体"/>
                <w:color w:val="000000"/>
                <w:kern w:val="0"/>
                <w:sz w:val="24"/>
                <w:szCs w:val="24"/>
              </w:rPr>
            </w:pPr>
          </w:p>
        </w:tc>
        <w:tc>
          <w:tcPr>
            <w:tcW w:w="979"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center"/>
              <w:rPr>
                <w:rFonts w:hint="eastAsia" w:ascii="楷体" w:hAnsi="楷体" w:eastAsia="楷体" w:cs="楷体"/>
                <w:color w:val="000000"/>
                <w:kern w:val="0"/>
                <w:sz w:val="24"/>
                <w:szCs w:val="24"/>
              </w:rPr>
            </w:pPr>
          </w:p>
        </w:tc>
        <w:tc>
          <w:tcPr>
            <w:tcW w:w="978"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center"/>
              <w:rPr>
                <w:rFonts w:hint="eastAsia" w:ascii="楷体" w:hAnsi="楷体" w:eastAsia="楷体" w:cs="楷体"/>
                <w:color w:val="000000"/>
                <w:kern w:val="0"/>
                <w:sz w:val="24"/>
                <w:szCs w:val="24"/>
              </w:rPr>
            </w:pPr>
          </w:p>
        </w:tc>
        <w:tc>
          <w:tcPr>
            <w:tcW w:w="978"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center"/>
              <w:rPr>
                <w:rFonts w:hint="eastAsia" w:ascii="楷体" w:hAnsi="楷体" w:eastAsia="楷体" w:cs="楷体"/>
                <w:color w:val="000000"/>
                <w:kern w:val="0"/>
                <w:sz w:val="24"/>
                <w:szCs w:val="24"/>
              </w:rPr>
            </w:pPr>
          </w:p>
        </w:tc>
        <w:tc>
          <w:tcPr>
            <w:tcW w:w="142" w:type="dxa"/>
            <w:tcBorders>
              <w:top w:val="nil"/>
              <w:left w:val="nil"/>
              <w:bottom w:val="nil"/>
              <w:right w:val="nil"/>
            </w:tcBorders>
            <w:noWrap w:val="0"/>
            <w:vAlign w:val="center"/>
          </w:tcPr>
          <w:p>
            <w:pPr>
              <w:keepNext w:val="0"/>
              <w:keepLines w:val="0"/>
              <w:pageBreakBefore w:val="0"/>
              <w:widowControl/>
              <w:kinsoku/>
              <w:wordWrap/>
              <w:overflowPunct/>
              <w:topLinePunct w:val="0"/>
              <w:autoSpaceDE/>
              <w:autoSpaceDN/>
              <w:bidi w:val="0"/>
              <w:jc w:val="left"/>
              <w:rPr>
                <w:rFonts w:ascii="宋体" w:hAnsi="宋体" w:cs="宋体"/>
                <w:color w:val="000000"/>
                <w:kern w:val="0"/>
                <w:sz w:val="17"/>
                <w:szCs w:val="17"/>
              </w:rPr>
            </w:pPr>
          </w:p>
        </w:tc>
      </w:tr>
      <w:tr>
        <w:tblPrEx>
          <w:tblLayout w:type="fixed"/>
          <w:tblCellMar>
            <w:top w:w="0" w:type="dxa"/>
            <w:left w:w="0" w:type="dxa"/>
            <w:bottom w:w="0" w:type="dxa"/>
            <w:right w:w="0" w:type="dxa"/>
          </w:tblCellMar>
        </w:tblPrEx>
        <w:trPr>
          <w:gridAfter w:val="2"/>
          <w:wAfter w:w="618" w:type="dxa"/>
          <w:trHeight w:val="259" w:hRule="atLeast"/>
        </w:trPr>
        <w:tc>
          <w:tcPr>
            <w:tcW w:w="8672" w:type="dxa"/>
            <w:gridSpan w:val="14"/>
            <w:tcBorders>
              <w:top w:val="nil"/>
              <w:left w:val="nil"/>
              <w:bottom w:val="nil"/>
              <w:right w:val="nil"/>
            </w:tcBorders>
            <w:noWrap w:val="0"/>
            <w:tcMar>
              <w:top w:w="15" w:type="dxa"/>
              <w:left w:w="15" w:type="dxa"/>
              <w:bottom w:w="15" w:type="dxa"/>
              <w:right w:w="15" w:type="dxa"/>
            </w:tcMar>
            <w:vAlign w:val="bottom"/>
          </w:tcPr>
          <w:p>
            <w:pPr>
              <w:keepNext w:val="0"/>
              <w:keepLines w:val="0"/>
              <w:pageBreakBefore w:val="0"/>
              <w:widowControl/>
              <w:kinsoku/>
              <w:wordWrap/>
              <w:overflowPunct/>
              <w:topLinePunct w:val="0"/>
              <w:autoSpaceDE/>
              <w:autoSpaceDN/>
              <w:bidi w:val="0"/>
              <w:rPr>
                <w:rFonts w:ascii="宋体" w:hAnsi="宋体" w:cs="宋体"/>
                <w:color w:val="000000"/>
                <w:kern w:val="0"/>
                <w:sz w:val="24"/>
                <w:szCs w:val="24"/>
              </w:rPr>
            </w:pPr>
          </w:p>
        </w:tc>
        <w:tc>
          <w:tcPr>
            <w:tcW w:w="360" w:type="dxa"/>
            <w:tcBorders>
              <w:top w:val="nil"/>
              <w:left w:val="nil"/>
              <w:bottom w:val="nil"/>
              <w:right w:val="nil"/>
            </w:tcBorders>
            <w:noWrap w:val="0"/>
            <w:tcMar>
              <w:top w:w="15" w:type="dxa"/>
              <w:left w:w="15" w:type="dxa"/>
              <w:bottom w:w="15" w:type="dxa"/>
              <w:right w:w="15" w:type="dxa"/>
            </w:tcMar>
            <w:vAlign w:val="bottom"/>
          </w:tcPr>
          <w:p>
            <w:pPr>
              <w:keepNext w:val="0"/>
              <w:keepLines w:val="0"/>
              <w:pageBreakBefore w:val="0"/>
              <w:widowControl/>
              <w:kinsoku/>
              <w:wordWrap/>
              <w:overflowPunct/>
              <w:topLinePunct w:val="0"/>
              <w:autoSpaceDE/>
              <w:autoSpaceDN/>
              <w:bidi w:val="0"/>
              <w:rPr>
                <w:rFonts w:ascii="宋体" w:hAnsi="宋体" w:cs="宋体"/>
                <w:color w:val="000000"/>
                <w:kern w:val="0"/>
                <w:sz w:val="20"/>
                <w:lang w:bidi="ar"/>
              </w:rPr>
            </w:pPr>
          </w:p>
        </w:tc>
        <w:tc>
          <w:tcPr>
            <w:tcW w:w="978" w:type="dxa"/>
            <w:gridSpan w:val="2"/>
            <w:tcBorders>
              <w:top w:val="nil"/>
              <w:left w:val="nil"/>
              <w:bottom w:val="nil"/>
              <w:right w:val="nil"/>
            </w:tcBorders>
            <w:noWrap w:val="0"/>
            <w:tcMar>
              <w:top w:w="15" w:type="dxa"/>
              <w:left w:w="15" w:type="dxa"/>
              <w:bottom w:w="15" w:type="dxa"/>
              <w:right w:w="15" w:type="dxa"/>
            </w:tcMar>
            <w:vAlign w:val="bottom"/>
          </w:tcPr>
          <w:p>
            <w:pPr>
              <w:keepNext w:val="0"/>
              <w:keepLines w:val="0"/>
              <w:pageBreakBefore w:val="0"/>
              <w:widowControl/>
              <w:kinsoku/>
              <w:wordWrap/>
              <w:overflowPunct/>
              <w:topLinePunct w:val="0"/>
              <w:autoSpaceDE/>
              <w:autoSpaceDN/>
              <w:bidi w:val="0"/>
              <w:jc w:val="left"/>
              <w:rPr>
                <w:rFonts w:ascii="宋体" w:hAnsi="宋体" w:cs="宋体"/>
                <w:color w:val="000000"/>
                <w:kern w:val="0"/>
                <w:sz w:val="24"/>
                <w:szCs w:val="24"/>
              </w:rPr>
            </w:pPr>
          </w:p>
        </w:tc>
        <w:tc>
          <w:tcPr>
            <w:tcW w:w="142" w:type="dxa"/>
            <w:tcBorders>
              <w:top w:val="nil"/>
              <w:left w:val="nil"/>
              <w:bottom w:val="nil"/>
              <w:right w:val="nil"/>
            </w:tcBorders>
            <w:noWrap w:val="0"/>
            <w:vAlign w:val="center"/>
          </w:tcPr>
          <w:p>
            <w:pPr>
              <w:keepNext w:val="0"/>
              <w:keepLines w:val="0"/>
              <w:pageBreakBefore w:val="0"/>
              <w:widowControl/>
              <w:kinsoku/>
              <w:wordWrap/>
              <w:overflowPunct/>
              <w:topLinePunct w:val="0"/>
              <w:autoSpaceDE/>
              <w:autoSpaceDN/>
              <w:bidi w:val="0"/>
              <w:jc w:val="left"/>
              <w:rPr>
                <w:rFonts w:ascii="宋体" w:hAnsi="宋体" w:cs="宋体"/>
                <w:color w:val="000000"/>
                <w:kern w:val="0"/>
                <w:sz w:val="17"/>
                <w:szCs w:val="17"/>
              </w:rPr>
            </w:pPr>
          </w:p>
        </w:tc>
      </w:tr>
      <w:tr>
        <w:tblPrEx>
          <w:tblLayout w:type="fixed"/>
          <w:tblCellMar>
            <w:top w:w="0" w:type="dxa"/>
            <w:left w:w="0" w:type="dxa"/>
            <w:bottom w:w="0" w:type="dxa"/>
            <w:right w:w="0" w:type="dxa"/>
          </w:tblCellMar>
        </w:tblPrEx>
        <w:trPr>
          <w:trHeight w:val="495" w:hRule="atLeast"/>
        </w:trPr>
        <w:tc>
          <w:tcPr>
            <w:tcW w:w="9650" w:type="dxa"/>
            <w:gridSpan w:val="16"/>
            <w:tcBorders>
              <w:top w:val="nil"/>
              <w:left w:val="nil"/>
              <w:bottom w:val="nil"/>
              <w:right w:val="nil"/>
            </w:tcBorders>
            <w:noWrap w:val="0"/>
            <w:tcMar>
              <w:top w:w="15" w:type="dxa"/>
              <w:left w:w="15" w:type="dxa"/>
              <w:bottom w:w="15" w:type="dxa"/>
              <w:right w:w="15" w:type="dxa"/>
            </w:tcMar>
            <w:vAlign w:val="bottom"/>
          </w:tcPr>
          <w:p>
            <w:pPr>
              <w:keepNext w:val="0"/>
              <w:keepLines w:val="0"/>
              <w:pageBreakBefore w:val="0"/>
              <w:widowControl/>
              <w:kinsoku/>
              <w:wordWrap/>
              <w:overflowPunct/>
              <w:topLinePunct w:val="0"/>
              <w:autoSpaceDE/>
              <w:autoSpaceDN/>
              <w:bidi w:val="0"/>
              <w:ind w:firstLine="400" w:firstLineChars="200"/>
              <w:rPr>
                <w:rFonts w:hint="eastAsia" w:ascii="楷体" w:hAnsi="楷体" w:eastAsia="楷体" w:cs="楷体"/>
                <w:color w:val="000000"/>
                <w:kern w:val="0"/>
                <w:sz w:val="20"/>
                <w:szCs w:val="20"/>
                <w:lang w:eastAsia="zh-CN"/>
              </w:rPr>
            </w:pPr>
            <w:r>
              <w:rPr>
                <w:rFonts w:hint="eastAsia" w:ascii="楷体" w:hAnsi="楷体" w:eastAsia="楷体" w:cs="楷体"/>
                <w:color w:val="000000"/>
                <w:kern w:val="0"/>
                <w:sz w:val="20"/>
                <w:szCs w:val="20"/>
              </w:rPr>
              <w:t>填报说明：1.资产总额＝流动资产＋固定资产＋对外投资／有价证券＋在建工程＋无形资产＋其他资产</w:t>
            </w:r>
            <w:r>
              <w:rPr>
                <w:rFonts w:hint="eastAsia" w:ascii="楷体" w:hAnsi="楷体" w:eastAsia="楷体" w:cs="楷体"/>
                <w:color w:val="000000"/>
                <w:kern w:val="0"/>
                <w:sz w:val="20"/>
                <w:szCs w:val="20"/>
                <w:lang w:eastAsia="zh-CN"/>
              </w:rPr>
              <w:t>；</w:t>
            </w:r>
          </w:p>
          <w:p>
            <w:pPr>
              <w:keepNext w:val="0"/>
              <w:keepLines w:val="0"/>
              <w:pageBreakBefore w:val="0"/>
              <w:widowControl/>
              <w:numPr>
                <w:ilvl w:val="0"/>
                <w:numId w:val="1"/>
              </w:numPr>
              <w:kinsoku/>
              <w:wordWrap/>
              <w:overflowPunct/>
              <w:topLinePunct w:val="0"/>
              <w:autoSpaceDE/>
              <w:autoSpaceDN/>
              <w:bidi w:val="0"/>
              <w:ind w:firstLine="1400" w:firstLineChars="700"/>
              <w:rPr>
                <w:rFonts w:hint="eastAsia" w:ascii="楷体" w:hAnsi="楷体" w:eastAsia="楷体" w:cs="楷体"/>
                <w:color w:val="000000"/>
                <w:kern w:val="0"/>
                <w:sz w:val="20"/>
                <w:szCs w:val="20"/>
              </w:rPr>
            </w:pPr>
            <w:r>
              <w:rPr>
                <w:rFonts w:hint="eastAsia" w:ascii="楷体" w:hAnsi="楷体" w:eastAsia="楷体" w:cs="楷体"/>
                <w:color w:val="000000"/>
                <w:kern w:val="0"/>
                <w:sz w:val="20"/>
                <w:szCs w:val="20"/>
              </w:rPr>
              <w:t>固定资产＝房屋构筑物＋车辆＋单价200万元以上大型设备＋其他固定资产</w:t>
            </w:r>
            <w:r>
              <w:rPr>
                <w:rFonts w:hint="eastAsia" w:ascii="楷体" w:hAnsi="楷体" w:eastAsia="楷体" w:cs="楷体"/>
                <w:color w:val="000000"/>
                <w:kern w:val="0"/>
                <w:sz w:val="20"/>
                <w:szCs w:val="20"/>
                <w:lang w:eastAsia="zh-CN"/>
              </w:rPr>
              <w:t>；</w:t>
            </w:r>
          </w:p>
          <w:p>
            <w:pPr>
              <w:keepNext w:val="0"/>
              <w:keepLines w:val="0"/>
              <w:pageBreakBefore w:val="0"/>
              <w:widowControl/>
              <w:numPr>
                <w:ilvl w:val="0"/>
                <w:numId w:val="1"/>
              </w:numPr>
              <w:kinsoku/>
              <w:wordWrap/>
              <w:overflowPunct/>
              <w:topLinePunct w:val="0"/>
              <w:autoSpaceDE/>
              <w:autoSpaceDN/>
              <w:bidi w:val="0"/>
              <w:ind w:firstLine="1400" w:firstLineChars="700"/>
              <w:rPr>
                <w:rFonts w:hint="eastAsia" w:ascii="宋体" w:hAnsi="宋体" w:cs="宋体"/>
                <w:color w:val="000000"/>
                <w:kern w:val="0"/>
                <w:sz w:val="20"/>
                <w:szCs w:val="20"/>
              </w:rPr>
            </w:pPr>
            <w:r>
              <w:rPr>
                <w:rFonts w:hint="eastAsia" w:ascii="楷体" w:hAnsi="楷体" w:eastAsia="楷体" w:cs="楷体"/>
                <w:color w:val="000000"/>
                <w:kern w:val="0"/>
                <w:sz w:val="20"/>
                <w:szCs w:val="20"/>
                <w:lang w:eastAsia="zh-CN"/>
              </w:rPr>
              <w:t>填报金额为资产“账面原值”。</w:t>
            </w:r>
          </w:p>
        </w:tc>
        <w:tc>
          <w:tcPr>
            <w:tcW w:w="978" w:type="dxa"/>
            <w:gridSpan w:val="3"/>
            <w:tcBorders>
              <w:top w:val="nil"/>
              <w:left w:val="nil"/>
              <w:bottom w:val="nil"/>
              <w:right w:val="nil"/>
            </w:tcBorders>
            <w:noWrap w:val="0"/>
            <w:tcMar>
              <w:top w:w="15" w:type="dxa"/>
              <w:left w:w="15" w:type="dxa"/>
              <w:bottom w:w="15" w:type="dxa"/>
              <w:right w:w="15" w:type="dxa"/>
            </w:tcMar>
            <w:vAlign w:val="bottom"/>
          </w:tcPr>
          <w:p>
            <w:pPr>
              <w:keepNext w:val="0"/>
              <w:keepLines w:val="0"/>
              <w:pageBreakBefore w:val="0"/>
              <w:widowControl/>
              <w:kinsoku/>
              <w:wordWrap/>
              <w:overflowPunct/>
              <w:topLinePunct w:val="0"/>
              <w:autoSpaceDE/>
              <w:autoSpaceDN/>
              <w:bidi w:val="0"/>
              <w:jc w:val="left"/>
              <w:rPr>
                <w:rFonts w:ascii="宋体" w:hAnsi="宋体" w:cs="宋体"/>
                <w:color w:val="000000"/>
                <w:kern w:val="0"/>
                <w:sz w:val="24"/>
                <w:szCs w:val="24"/>
              </w:rPr>
            </w:pPr>
            <w:r>
              <w:rPr>
                <w:rFonts w:ascii="Arial" w:hAnsi="Arial" w:cs="Arial"/>
                <w:color w:val="000000"/>
                <w:kern w:val="0"/>
                <w:sz w:val="20"/>
                <w:szCs w:val="20"/>
              </w:rPr>
              <w:t> </w:t>
            </w:r>
          </w:p>
        </w:tc>
        <w:tc>
          <w:tcPr>
            <w:tcW w:w="142" w:type="dxa"/>
            <w:noWrap w:val="0"/>
            <w:vAlign w:val="center"/>
          </w:tcPr>
          <w:p>
            <w:pPr>
              <w:keepNext w:val="0"/>
              <w:keepLines w:val="0"/>
              <w:pageBreakBefore w:val="0"/>
              <w:widowControl/>
              <w:kinsoku/>
              <w:wordWrap/>
              <w:overflowPunct/>
              <w:topLinePunct w:val="0"/>
              <w:autoSpaceDE/>
              <w:autoSpaceDN/>
              <w:bidi w:val="0"/>
              <w:jc w:val="left"/>
              <w:rPr>
                <w:rFonts w:ascii="Times New Roman" w:hAnsi="Times New Roman" w:eastAsia="Times New Roman"/>
                <w:kern w:val="0"/>
                <w:sz w:val="20"/>
                <w:szCs w:val="20"/>
              </w:rPr>
            </w:pPr>
          </w:p>
        </w:tc>
      </w:tr>
    </w:tbl>
    <w:p>
      <w:pPr>
        <w:rPr>
          <w:rFonts w:hint="eastAsia"/>
          <w:lang w:eastAsia="zh-CN"/>
        </w:rPr>
      </w:pPr>
    </w:p>
    <w:p>
      <w:pPr>
        <w:keepNext w:val="0"/>
        <w:keepLines w:val="0"/>
        <w:pageBreakBefore w:val="0"/>
        <w:kinsoku/>
        <w:wordWrap/>
        <w:overflowPunct/>
        <w:topLinePunct w:val="0"/>
        <w:autoSpaceDE/>
        <w:autoSpaceDN/>
        <w:bidi w:val="0"/>
        <w:ind w:firstLine="600" w:firstLineChars="200"/>
        <w:jc w:val="left"/>
        <w:outlineLvl w:val="1"/>
        <w:rPr>
          <w:rFonts w:hint="eastAsia" w:ascii="黑体" w:hAnsi="黑体" w:eastAsia="黑体" w:cs="黑体"/>
          <w:sz w:val="30"/>
          <w:szCs w:val="30"/>
        </w:rPr>
      </w:pPr>
      <w:r>
        <w:rPr>
          <w:rFonts w:hint="eastAsia" w:ascii="黑体" w:hAnsi="黑体" w:eastAsia="黑体"/>
          <w:sz w:val="30"/>
          <w:szCs w:val="30"/>
          <w:lang w:eastAsia="zh-CN"/>
        </w:rPr>
        <w:t>三、</w:t>
      </w:r>
      <w:r>
        <w:rPr>
          <w:rFonts w:hint="eastAsia" w:ascii="黑体" w:hAnsi="黑体" w:eastAsia="黑体"/>
          <w:sz w:val="30"/>
          <w:szCs w:val="30"/>
        </w:rPr>
        <w:t>政府采购支出情况</w:t>
      </w:r>
    </w:p>
    <w:p>
      <w:pPr>
        <w:keepNext w:val="0"/>
        <w:keepLines w:val="0"/>
        <w:pageBreakBefore w:val="0"/>
        <w:widowControl/>
        <w:kinsoku/>
        <w:wordWrap/>
        <w:overflowPunct/>
        <w:topLinePunct w:val="0"/>
        <w:autoSpaceDE/>
        <w:autoSpaceDN/>
        <w:bidi w:val="0"/>
        <w:ind w:firstLine="600" w:firstLineChars="200"/>
        <w:rPr>
          <w:rFonts w:hint="default" w:ascii="楷体" w:hAnsi="楷体" w:eastAsia="楷体"/>
          <w:bCs/>
          <w:sz w:val="30"/>
          <w:szCs w:val="30"/>
          <w:lang w:val="en-US" w:eastAsia="zh-CN"/>
        </w:rPr>
      </w:pPr>
      <w:r>
        <w:rPr>
          <w:rFonts w:hint="eastAsia" w:ascii="楷体" w:hAnsi="楷体" w:eastAsia="楷体"/>
          <w:bCs/>
          <w:sz w:val="30"/>
          <w:szCs w:val="30"/>
          <w:lang w:val="en-US" w:eastAsia="zh-CN"/>
        </w:rPr>
        <w:t>2021年度，部门政府采购支出总额0.67万元，其中：政府采购货物支出0.67万元；政府采购工程支出0万元；政府采购服务支出0万元。授予中小企业合同金额0万元，占政府采购支出总额的0%。</w:t>
      </w:r>
    </w:p>
    <w:p>
      <w:pPr>
        <w:keepNext w:val="0"/>
        <w:keepLines w:val="0"/>
        <w:pageBreakBefore w:val="0"/>
        <w:kinsoku/>
        <w:wordWrap/>
        <w:overflowPunct/>
        <w:topLinePunct w:val="0"/>
        <w:autoSpaceDE/>
        <w:autoSpaceDN/>
        <w:bidi w:val="0"/>
        <w:spacing w:line="600" w:lineRule="exact"/>
        <w:ind w:firstLine="600" w:firstLineChars="200"/>
        <w:outlineLvl w:val="1"/>
        <w:rPr>
          <w:rFonts w:hint="eastAsia" w:ascii="黑体" w:hAnsi="黑体" w:eastAsia="黑体"/>
          <w:sz w:val="30"/>
          <w:szCs w:val="30"/>
          <w:lang w:val="en-US" w:eastAsia="zh-CN"/>
        </w:rPr>
      </w:pPr>
      <w:r>
        <w:rPr>
          <w:rFonts w:hint="eastAsia" w:ascii="黑体" w:hAnsi="黑体" w:eastAsia="黑体"/>
          <w:sz w:val="30"/>
          <w:szCs w:val="30"/>
          <w:lang w:val="en-US" w:eastAsia="zh-CN"/>
        </w:rPr>
        <w:t>四、部门绩效自评情况</w:t>
      </w:r>
    </w:p>
    <w:p>
      <w:pPr>
        <w:keepNext w:val="0"/>
        <w:keepLines w:val="0"/>
        <w:pageBreakBefore w:val="0"/>
        <w:widowControl/>
        <w:kinsoku/>
        <w:wordWrap/>
        <w:overflowPunct/>
        <w:topLinePunct w:val="0"/>
        <w:autoSpaceDE/>
        <w:autoSpaceDN/>
        <w:bidi w:val="0"/>
        <w:snapToGrid w:val="0"/>
        <w:spacing w:line="360" w:lineRule="auto"/>
        <w:ind w:firstLine="600"/>
        <w:jc w:val="left"/>
        <w:rPr>
          <w:rFonts w:hint="eastAsia" w:ascii="仿宋_GB2312" w:hAnsi="仿宋_GB2312" w:eastAsia="仿宋_GB2312" w:cs="仿宋_GB2312"/>
          <w:sz w:val="30"/>
          <w:szCs w:val="30"/>
          <w:highlight w:val="none"/>
          <w:lang w:val="en-US" w:eastAsia="zh-CN"/>
        </w:rPr>
      </w:pPr>
      <w:r>
        <w:rPr>
          <w:rFonts w:hint="eastAsia" w:ascii="楷体" w:hAnsi="楷体" w:eastAsia="楷体"/>
          <w:bCs/>
          <w:sz w:val="30"/>
          <w:szCs w:val="30"/>
          <w:lang w:val="en-US" w:eastAsia="zh-CN"/>
        </w:rPr>
        <w:t>部门绩效自评情况详见附表（附表10—附表12）。</w:t>
      </w:r>
    </w:p>
    <w:p>
      <w:pPr>
        <w:keepNext w:val="0"/>
        <w:keepLines w:val="0"/>
        <w:pageBreakBefore w:val="0"/>
        <w:kinsoku/>
        <w:wordWrap/>
        <w:overflowPunct/>
        <w:topLinePunct w:val="0"/>
        <w:autoSpaceDE/>
        <w:autoSpaceDN/>
        <w:bidi w:val="0"/>
        <w:spacing w:line="600" w:lineRule="exact"/>
        <w:ind w:firstLine="600" w:firstLineChars="200"/>
        <w:outlineLvl w:val="1"/>
        <w:rPr>
          <w:rFonts w:hint="eastAsia" w:ascii="黑体" w:hAnsi="黑体" w:eastAsia="黑体"/>
          <w:sz w:val="30"/>
          <w:szCs w:val="30"/>
          <w:lang w:val="en-US" w:eastAsia="zh-CN"/>
        </w:rPr>
      </w:pPr>
      <w:r>
        <w:rPr>
          <w:rFonts w:hint="eastAsia" w:ascii="黑体" w:hAnsi="黑体" w:eastAsia="黑体"/>
          <w:sz w:val="30"/>
          <w:szCs w:val="30"/>
          <w:lang w:val="en-US" w:eastAsia="zh-CN"/>
        </w:rPr>
        <w:t>五、其他重要事项情况说明</w:t>
      </w:r>
    </w:p>
    <w:p>
      <w:pPr>
        <w:keepNext w:val="0"/>
        <w:keepLines w:val="0"/>
        <w:pageBreakBefore w:val="0"/>
        <w:widowControl/>
        <w:kinsoku/>
        <w:wordWrap/>
        <w:overflowPunct/>
        <w:topLinePunct w:val="0"/>
        <w:autoSpaceDE/>
        <w:autoSpaceDN/>
        <w:bidi w:val="0"/>
        <w:ind w:firstLine="600" w:firstLineChars="200"/>
        <w:rPr>
          <w:rFonts w:hint="eastAsia" w:ascii="楷体" w:hAnsi="楷体" w:eastAsia="楷体"/>
          <w:bCs/>
          <w:sz w:val="30"/>
          <w:szCs w:val="30"/>
          <w:lang w:val="en-US" w:eastAsia="zh-CN"/>
        </w:rPr>
      </w:pPr>
      <w:r>
        <w:rPr>
          <w:rFonts w:hint="eastAsia" w:ascii="楷体" w:hAnsi="楷体" w:eastAsia="楷体"/>
          <w:bCs/>
          <w:sz w:val="30"/>
          <w:szCs w:val="30"/>
          <w:lang w:val="en-US" w:eastAsia="zh-CN"/>
        </w:rPr>
        <w:t>项目支出主要为处突维稳经费支出。</w:t>
      </w:r>
    </w:p>
    <w:p>
      <w:pPr>
        <w:keepNext w:val="0"/>
        <w:keepLines w:val="0"/>
        <w:pageBreakBefore w:val="0"/>
        <w:kinsoku/>
        <w:wordWrap/>
        <w:overflowPunct/>
        <w:topLinePunct w:val="0"/>
        <w:autoSpaceDE/>
        <w:autoSpaceDN/>
        <w:bidi w:val="0"/>
        <w:spacing w:line="600" w:lineRule="exact"/>
        <w:ind w:firstLine="600" w:firstLineChars="200"/>
        <w:outlineLvl w:val="1"/>
        <w:rPr>
          <w:rFonts w:hint="eastAsia" w:ascii="黑体" w:hAnsi="黑体" w:eastAsia="黑体"/>
          <w:sz w:val="30"/>
          <w:szCs w:val="30"/>
          <w:lang w:val="en-US" w:eastAsia="zh-CN"/>
        </w:rPr>
      </w:pPr>
      <w:r>
        <w:rPr>
          <w:rFonts w:hint="eastAsia" w:ascii="黑体" w:hAnsi="黑体" w:eastAsia="黑体"/>
          <w:sz w:val="30"/>
          <w:szCs w:val="30"/>
          <w:lang w:val="en-US" w:eastAsia="zh-CN"/>
        </w:rPr>
        <w:t>六、相关口径说明</w:t>
      </w:r>
    </w:p>
    <w:p>
      <w:pPr>
        <w:keepNext w:val="0"/>
        <w:keepLines w:val="0"/>
        <w:pageBreakBefore w:val="0"/>
        <w:widowControl/>
        <w:kinsoku/>
        <w:wordWrap/>
        <w:overflowPunct/>
        <w:topLinePunct w:val="0"/>
        <w:autoSpaceDE/>
        <w:autoSpaceDN/>
        <w:bidi w:val="0"/>
        <w:ind w:firstLine="600" w:firstLineChars="200"/>
        <w:rPr>
          <w:rFonts w:hint="eastAsia" w:ascii="楷体" w:hAnsi="楷体" w:eastAsia="楷体"/>
          <w:bCs/>
          <w:sz w:val="30"/>
          <w:szCs w:val="30"/>
          <w:lang w:val="en-US" w:eastAsia="zh-CN"/>
        </w:rPr>
      </w:pPr>
      <w:r>
        <w:rPr>
          <w:rFonts w:hint="eastAsia" w:ascii="楷体" w:hAnsi="楷体" w:eastAsia="楷体"/>
          <w:bCs/>
          <w:sz w:val="30"/>
          <w:szCs w:val="30"/>
          <w:lang w:val="en-US" w:eastAsia="zh-CN"/>
        </w:rPr>
        <w:t>（一）基本支出中人员经费包括工资福利支出和对个人和家庭的补助，公用经费包括商品和服务支出、资本性支出等人员经费以外的支出。</w:t>
      </w:r>
    </w:p>
    <w:p>
      <w:pPr>
        <w:keepNext w:val="0"/>
        <w:keepLines w:val="0"/>
        <w:pageBreakBefore w:val="0"/>
        <w:widowControl/>
        <w:kinsoku/>
        <w:wordWrap/>
        <w:overflowPunct/>
        <w:topLinePunct w:val="0"/>
        <w:autoSpaceDE/>
        <w:autoSpaceDN/>
        <w:bidi w:val="0"/>
        <w:ind w:firstLine="600" w:firstLineChars="200"/>
        <w:rPr>
          <w:rFonts w:hint="eastAsia" w:ascii="楷体" w:hAnsi="楷体" w:eastAsia="楷体"/>
          <w:bCs/>
          <w:sz w:val="30"/>
          <w:szCs w:val="30"/>
          <w:lang w:val="en-US" w:eastAsia="zh-CN"/>
        </w:rPr>
      </w:pPr>
      <w:r>
        <w:rPr>
          <w:rFonts w:hint="eastAsia" w:ascii="楷体" w:hAnsi="楷体" w:eastAsia="楷体"/>
          <w:bCs/>
          <w:sz w:val="30"/>
          <w:szCs w:val="30"/>
          <w:lang w:val="en-US" w:eastAsia="zh-CN"/>
        </w:rPr>
        <w:t>（二）机关运行经费指行政单位和参照公务员法管理的事业单位使用一般公共预算财政拨款安排的基本支出中的公用经费支出。</w:t>
      </w:r>
    </w:p>
    <w:p>
      <w:pPr>
        <w:keepNext w:val="0"/>
        <w:keepLines w:val="0"/>
        <w:pageBreakBefore w:val="0"/>
        <w:widowControl/>
        <w:kinsoku/>
        <w:wordWrap/>
        <w:overflowPunct/>
        <w:topLinePunct w:val="0"/>
        <w:autoSpaceDE/>
        <w:autoSpaceDN/>
        <w:bidi w:val="0"/>
        <w:ind w:firstLine="600" w:firstLineChars="200"/>
        <w:rPr>
          <w:rFonts w:hint="eastAsia" w:ascii="楷体" w:hAnsi="楷体" w:eastAsia="楷体"/>
          <w:bCs/>
          <w:sz w:val="30"/>
          <w:szCs w:val="30"/>
          <w:lang w:val="en-US" w:eastAsia="zh-CN"/>
        </w:rPr>
      </w:pPr>
      <w:r>
        <w:rPr>
          <w:rFonts w:hint="eastAsia" w:ascii="楷体" w:hAnsi="楷体" w:eastAsia="楷体"/>
          <w:bCs/>
          <w:sz w:val="30"/>
          <w:szCs w:val="30"/>
          <w:lang w:val="en-US" w:eastAsia="zh-CN"/>
        </w:rPr>
        <w:t>（三）按照党中央、国务院有关文件及部门预算管理有关规定，“三公”经费包括因公出国（境）费、公务用车购置及运行维护费、公务接待费。其中：因公出国（境）费，指单位公务出国（境）的国际旅费、国外城市间交通费、住宿费、伙食费、培训费、公杂费等支出；公务用车购置费，指公务用车购置支出（含车辆购置税、牌照费）；公务用车运行维护费，指单位按规定保留的公务用车燃料费、维修费、过桥过路费、保险费、安全奖励费用等支出；公务用车指用于履行公务的机动车辆，包括省部级干部专车、一般公务用车和执法执勤用车；公务接待费，指单位按规定开支的各类公务接待（含外宾接待）费用。</w:t>
      </w:r>
    </w:p>
    <w:p>
      <w:pPr>
        <w:keepNext w:val="0"/>
        <w:keepLines w:val="0"/>
        <w:pageBreakBefore w:val="0"/>
        <w:widowControl/>
        <w:kinsoku/>
        <w:wordWrap/>
        <w:overflowPunct/>
        <w:topLinePunct w:val="0"/>
        <w:autoSpaceDE/>
        <w:autoSpaceDN/>
        <w:bidi w:val="0"/>
        <w:ind w:firstLine="600" w:firstLineChars="200"/>
        <w:rPr>
          <w:rFonts w:hint="eastAsia" w:ascii="楷体" w:hAnsi="楷体" w:eastAsia="楷体"/>
          <w:bCs/>
          <w:sz w:val="30"/>
          <w:szCs w:val="30"/>
          <w:lang w:val="en-US" w:eastAsia="zh-CN"/>
        </w:rPr>
      </w:pPr>
      <w:r>
        <w:rPr>
          <w:rFonts w:hint="eastAsia" w:ascii="楷体" w:hAnsi="楷体" w:eastAsia="楷体"/>
          <w:bCs/>
          <w:sz w:val="30"/>
          <w:szCs w:val="30"/>
          <w:lang w:val="en-US" w:eastAsia="zh-CN"/>
        </w:rPr>
        <w:t>（四）“三公”经费决算数：指各部门（含下属单位）当年通过本级财政一般公共预算财政拨款和以前年度一般公共预算财政拨款结转结余资金安排的因公出国（境）费、公务用车购置及运行维护费和公务接待费支出数（包括基本支出和项目支出）。</w:t>
      </w:r>
    </w:p>
    <w:p>
      <w:pPr>
        <w:keepNext w:val="0"/>
        <w:keepLines w:val="0"/>
        <w:pageBreakBefore w:val="0"/>
        <w:kinsoku/>
        <w:wordWrap/>
        <w:overflowPunct/>
        <w:topLinePunct w:val="0"/>
        <w:autoSpaceDE/>
        <w:autoSpaceDN/>
        <w:bidi w:val="0"/>
        <w:jc w:val="center"/>
        <w:outlineLvl w:val="0"/>
        <w:rPr>
          <w:rFonts w:hint="eastAsia" w:ascii="黑体" w:hAnsi="黑体" w:eastAsia="黑体" w:cs="方正小标宋简体"/>
          <w:sz w:val="32"/>
          <w:szCs w:val="32"/>
        </w:rPr>
      </w:pPr>
      <w:r>
        <w:rPr>
          <w:rFonts w:hint="eastAsia" w:ascii="黑体" w:hAnsi="黑体" w:eastAsia="黑体" w:cs="方正小标宋简体"/>
          <w:sz w:val="32"/>
          <w:szCs w:val="32"/>
        </w:rPr>
        <w:t>第</w:t>
      </w:r>
      <w:r>
        <w:rPr>
          <w:rFonts w:hint="eastAsia" w:ascii="黑体" w:hAnsi="黑体" w:eastAsia="黑体" w:cs="方正小标宋简体"/>
          <w:sz w:val="32"/>
          <w:szCs w:val="32"/>
          <w:lang w:eastAsia="zh-CN"/>
        </w:rPr>
        <w:t>五</w:t>
      </w:r>
      <w:r>
        <w:rPr>
          <w:rFonts w:hint="eastAsia" w:ascii="黑体" w:hAnsi="黑体" w:eastAsia="黑体" w:cs="方正小标宋简体"/>
          <w:sz w:val="32"/>
          <w:szCs w:val="32"/>
        </w:rPr>
        <w:t>部分  名词解释</w:t>
      </w:r>
    </w:p>
    <w:p>
      <w:pPr>
        <w:keepNext w:val="0"/>
        <w:keepLines w:val="0"/>
        <w:pageBreakBefore w:val="0"/>
        <w:widowControl/>
        <w:kinsoku/>
        <w:wordWrap/>
        <w:overflowPunct/>
        <w:topLinePunct w:val="0"/>
        <w:autoSpaceDE/>
        <w:autoSpaceDN/>
        <w:bidi w:val="0"/>
        <w:rPr>
          <w:rFonts w:hint="default" w:ascii="楷体" w:hAnsi="楷体" w:eastAsia="楷体"/>
          <w:bCs/>
          <w:sz w:val="30"/>
          <w:szCs w:val="30"/>
          <w:lang w:val="en-US" w:eastAsia="zh-CN"/>
        </w:rPr>
      </w:pPr>
      <w:r>
        <w:rPr>
          <w:rFonts w:hint="eastAsia" w:ascii="楷体" w:hAnsi="楷体" w:eastAsia="楷体"/>
          <w:bCs/>
          <w:sz w:val="30"/>
          <w:szCs w:val="30"/>
          <w:lang w:val="en-US" w:eastAsia="zh-CN"/>
        </w:rPr>
        <w:t xml:space="preserve">  “三公”经费：指财政拨款支出安排的因公出国</w:t>
      </w:r>
      <w:bookmarkStart w:id="0" w:name="_GoBack"/>
      <w:bookmarkEnd w:id="0"/>
      <w:r>
        <w:rPr>
          <w:rFonts w:hint="eastAsia" w:ascii="楷体" w:hAnsi="楷体" w:eastAsia="楷体"/>
          <w:bCs/>
          <w:sz w:val="30"/>
          <w:szCs w:val="30"/>
          <w:lang w:val="en-US" w:eastAsia="zh-CN"/>
        </w:rPr>
        <w:t>（境）费、公务用车购置及运行维护费、公务接待费。</w:t>
      </w:r>
    </w:p>
    <w:p/>
    <w:p>
      <w:pPr>
        <w:rPr>
          <w:rFonts w:ascii="Arial" w:hAnsi="Arial" w:eastAsia="Arial" w:cs="Arial"/>
          <w:b/>
          <w:sz w:val="36"/>
        </w:rPr>
      </w:pPr>
      <w:r>
        <w:rPr>
          <w:rFonts w:ascii="Arial" w:hAnsi="Arial" w:eastAsia="Arial" w:cs="Arial"/>
          <w:b/>
          <w:sz w:val="36"/>
        </w:rPr>
        <w:t>监督索引号53010300163401111</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方正小标宋简体">
    <w:altName w:val="黑体"/>
    <w:panose1 w:val="02010601030101010101"/>
    <w:charset w:val="86"/>
    <w:family w:val="script"/>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78A1DF"/>
    <w:multiLevelType w:val="singleLevel"/>
    <w:tmpl w:val="FF78A1DF"/>
    <w:lvl w:ilvl="0" w:tentative="0">
      <w:start w:val="2"/>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A7A5D18"/>
    <w:rsid w:val="07ED3699"/>
    <w:rsid w:val="09EA0134"/>
    <w:rsid w:val="1EDC5565"/>
    <w:rsid w:val="250A100C"/>
    <w:rsid w:val="68D55068"/>
    <w:rsid w:val="6A7A5D18"/>
    <w:rsid w:val="6C52495A"/>
    <w:rsid w:val="7C9567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after="200" w:line="276" w:lineRule="auto"/>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character" w:default="1" w:styleId="6">
    <w:name w:val="Default Paragraph Font"/>
    <w:semiHidden/>
    <w:uiPriority w:val="0"/>
  </w:style>
  <w:style w:type="table" w:default="1" w:styleId="5">
    <w:name w:val="Normal Table"/>
    <w:semiHidden/>
    <w:qFormat/>
    <w:uiPriority w:val="0"/>
    <w:tblPr>
      <w:tblLayout w:type="fixed"/>
      <w:tblCellMar>
        <w:top w:w="0" w:type="dxa"/>
        <w:left w:w="108" w:type="dxa"/>
        <w:bottom w:w="0" w:type="dxa"/>
        <w:right w:w="108" w:type="dxa"/>
      </w:tblCellMar>
    </w:tblPr>
  </w:style>
  <w:style w:type="paragraph" w:styleId="3">
    <w:name w:val="Body Text"/>
    <w:basedOn w:val="1"/>
    <w:qFormat/>
    <w:uiPriority w:val="0"/>
    <w:pPr>
      <w:spacing w:before="93" w:beforeLines="30"/>
    </w:pPr>
    <w:rPr>
      <w:rFonts w:ascii="仿宋_GB2312" w:eastAsia="仿宋_GB2312"/>
      <w:sz w:val="30"/>
    </w:rPr>
  </w:style>
  <w:style w:type="paragraph" w:styleId="4">
    <w:name w:val="Normal (Web)"/>
    <w:basedOn w:val="1"/>
    <w:unhideWhenUsed/>
    <w:qFormat/>
    <w:uiPriority w:val="99"/>
    <w:pPr>
      <w:spacing w:before="100" w:beforeAutospacing="1" w:after="100" w:afterAutospacing="1"/>
      <w:ind w:left="0" w:right="0"/>
      <w:jc w:val="left"/>
    </w:pPr>
    <w:rPr>
      <w:kern w:val="0"/>
      <w:sz w:val="24"/>
      <w:lang w:val="en-US" w:eastAsia="zh-CN"/>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昆明市盘龙区党政机关单位</Company>
  <Pages>1</Pages>
  <Words>0</Words>
  <Characters>0</Characters>
  <Lines>0</Lines>
  <Paragraphs>0</Paragraphs>
  <TotalTime>55</TotalTime>
  <ScaleCrop>false</ScaleCrop>
  <LinksUpToDate>false</LinksUpToDate>
  <CharactersWithSpaces>0</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2022-10-25T02:53:00Z</dcterms:created>
  <dc:creator>lenovo</dc:creator>
  <cp:lastModifiedBy>lenovo</cp:lastModifiedBy>
  <dcterms:modified xsi:type="dcterms:W3CDTF">2022-11-30T03:25:33Z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