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jc w:val="both"/>
        <w:rPr>
          <w:rFonts w:hint="eastAsia" w:ascii="方正小标宋简体" w:hAnsi="方正小标宋简体" w:eastAsia="方正小标宋简体" w:cs="方正小标宋简体"/>
          <w:sz w:val="32"/>
          <w:szCs w:val="32"/>
          <w:highlight w:val="none"/>
          <w:lang w:val="en-US" w:eastAsia="zh-CN"/>
        </w:rPr>
      </w:pPr>
      <w:r>
        <w:rPr>
          <w:rFonts w:hint="eastAsia" w:ascii="方正小标宋简体" w:hAnsi="方正小标宋简体" w:eastAsia="方正小标宋简体" w:cs="方正小标宋简体"/>
          <w:sz w:val="32"/>
          <w:szCs w:val="32"/>
          <w:highlight w:val="none"/>
          <w:lang w:val="en-US" w:eastAsia="zh-CN"/>
        </w:rPr>
        <w:t>监督索引号53010300171200201000</w:t>
      </w:r>
    </w:p>
    <w:p>
      <w:pPr>
        <w:keepNext w:val="0"/>
        <w:keepLines w:val="0"/>
        <w:pageBreakBefore w:val="0"/>
        <w:kinsoku/>
        <w:wordWrap/>
        <w:overflowPunct/>
        <w:topLinePunct w:val="0"/>
        <w:autoSpaceDE/>
        <w:autoSpaceDN/>
        <w:bidi w:val="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highlight w:val="none"/>
          <w:lang w:val="en-US" w:eastAsia="zh-CN"/>
        </w:rPr>
        <w:t>共青团盘龙区委</w:t>
      </w:r>
      <w:r>
        <w:rPr>
          <w:rFonts w:hint="eastAsia" w:ascii="方正小标宋简体" w:hAnsi="方正小标宋简体" w:eastAsia="方正小标宋简体" w:cs="方正小标宋简体"/>
          <w:sz w:val="36"/>
          <w:szCs w:val="36"/>
          <w:lang w:val="en-US" w:eastAsia="zh-CN"/>
        </w:rPr>
        <w:t>2021</w:t>
      </w:r>
      <w:r>
        <w:rPr>
          <w:rFonts w:hint="eastAsia" w:ascii="方正小标宋简体" w:hAnsi="方正小标宋简体" w:eastAsia="方正小标宋简体" w:cs="方正小标宋简体"/>
          <w:sz w:val="36"/>
          <w:szCs w:val="36"/>
        </w:rPr>
        <w:t>年度部门决算</w:t>
      </w:r>
    </w:p>
    <w:p>
      <w:pPr>
        <w:keepNext w:val="0"/>
        <w:keepLines w:val="0"/>
        <w:pageBreakBefore w:val="0"/>
        <w:kinsoku/>
        <w:wordWrap/>
        <w:overflowPunct/>
        <w:topLinePunct w:val="0"/>
        <w:autoSpaceDE/>
        <w:autoSpaceDN/>
        <w:bidi w:val="0"/>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目录</w:t>
      </w:r>
    </w:p>
    <w:p>
      <w:pPr>
        <w:keepNext w:val="0"/>
        <w:keepLines w:val="0"/>
        <w:pageBreakBefore w:val="0"/>
        <w:kinsoku/>
        <w:wordWrap/>
        <w:overflowPunct/>
        <w:topLinePunct w:val="0"/>
        <w:autoSpaceDE/>
        <w:autoSpaceDN/>
        <w:bidi w:val="0"/>
        <w:jc w:val="left"/>
        <w:rPr>
          <w:rFonts w:hint="eastAsia" w:ascii="黑体" w:hAnsi="黑体" w:eastAsia="黑体"/>
          <w:sz w:val="30"/>
          <w:szCs w:val="30"/>
        </w:rPr>
      </w:pP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第一部分</w:t>
      </w:r>
      <w:r>
        <w:rPr>
          <w:rFonts w:hint="eastAsia" w:ascii="黑体" w:hAnsi="黑体" w:eastAsia="黑体"/>
          <w:sz w:val="30"/>
          <w:szCs w:val="30"/>
          <w:lang w:val="en-US" w:eastAsia="zh-CN"/>
        </w:rPr>
        <w:t xml:space="preserve">  共青团盘龙区委</w:t>
      </w:r>
      <w:r>
        <w:rPr>
          <w:rFonts w:hint="eastAsia" w:ascii="黑体" w:hAnsi="黑体" w:eastAsia="黑体"/>
          <w:sz w:val="30"/>
          <w:szCs w:val="30"/>
        </w:rPr>
        <w:t>概况</w:t>
      </w:r>
    </w:p>
    <w:p>
      <w:pPr>
        <w:keepNext w:val="0"/>
        <w:keepLines w:val="0"/>
        <w:pageBreakBefore w:val="0"/>
        <w:kinsoku/>
        <w:wordWrap/>
        <w:overflowPunct/>
        <w:topLinePunct w:val="0"/>
        <w:autoSpaceDE/>
        <w:autoSpaceDN/>
        <w:bidi w:val="0"/>
        <w:spacing w:line="240" w:lineRule="atLeast"/>
        <w:jc w:val="left"/>
        <w:rPr>
          <w:rFonts w:hint="eastAsia" w:ascii="楷体" w:hAnsi="楷体" w:eastAsia="楷体"/>
          <w:sz w:val="30"/>
          <w:szCs w:val="30"/>
        </w:rPr>
      </w:pPr>
      <w:r>
        <w:rPr>
          <w:rFonts w:hint="eastAsia" w:ascii="楷体" w:hAnsi="楷体" w:eastAsia="楷体"/>
          <w:sz w:val="30"/>
          <w:szCs w:val="30"/>
        </w:rPr>
        <w:t>一、主要职能</w:t>
      </w:r>
    </w:p>
    <w:p>
      <w:pPr>
        <w:keepNext w:val="0"/>
        <w:keepLines w:val="0"/>
        <w:pageBreakBefore w:val="0"/>
        <w:kinsoku/>
        <w:wordWrap/>
        <w:overflowPunct/>
        <w:topLinePunct w:val="0"/>
        <w:autoSpaceDE/>
        <w:autoSpaceDN/>
        <w:bidi w:val="0"/>
        <w:spacing w:line="240" w:lineRule="atLeast"/>
        <w:jc w:val="left"/>
        <w:rPr>
          <w:rFonts w:hint="eastAsia" w:ascii="楷体" w:hAnsi="楷体" w:eastAsia="楷体"/>
          <w:sz w:val="30"/>
          <w:szCs w:val="30"/>
        </w:rPr>
      </w:pPr>
      <w:r>
        <w:rPr>
          <w:rFonts w:hint="eastAsia" w:ascii="楷体" w:hAnsi="楷体" w:eastAsia="楷体"/>
          <w:sz w:val="30"/>
          <w:szCs w:val="30"/>
        </w:rPr>
        <w:t>二、部门基本情况</w:t>
      </w: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val="en-US" w:eastAsia="zh-CN"/>
        </w:rPr>
        <w:t>2021</w:t>
      </w:r>
      <w:r>
        <w:rPr>
          <w:rFonts w:hint="eastAsia" w:ascii="黑体" w:hAnsi="黑体" w:eastAsia="黑体"/>
          <w:sz w:val="30"/>
          <w:szCs w:val="30"/>
        </w:rPr>
        <w:t>年度部门决算表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一、收入支出决算总表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二、收入决算表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三、支出决算表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四、财政拨款收入支出决算总表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五、一般公共预算财政拨款收入支出决算表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六、一般公共预算财政拨款基本支出决算表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七、政府性基金预算财政拨款收入支出决算表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八、国有资本经营预算财政拨款收入支出决算表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lang w:eastAsia="zh-CN"/>
        </w:rPr>
        <w:t>九</w:t>
      </w:r>
      <w:r>
        <w:rPr>
          <w:rFonts w:hint="eastAsia" w:ascii="楷体" w:hAnsi="楷体" w:eastAsia="楷体"/>
          <w:sz w:val="30"/>
          <w:szCs w:val="30"/>
        </w:rPr>
        <w:t>、“三公”经费、行政参公单位机关运行经费情况表</w:t>
      </w: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第三部</w:t>
      </w:r>
      <w:r>
        <w:rPr>
          <w:rFonts w:hint="eastAsia" w:ascii="黑体" w:hAnsi="黑体" w:eastAsia="黑体"/>
          <w:sz w:val="30"/>
          <w:szCs w:val="30"/>
          <w:lang w:eastAsia="zh-CN"/>
        </w:rPr>
        <w:t>分</w:t>
      </w:r>
      <w:r>
        <w:rPr>
          <w:rFonts w:hint="eastAsia" w:ascii="黑体" w:hAnsi="黑体" w:eastAsia="黑体"/>
          <w:sz w:val="30"/>
          <w:szCs w:val="30"/>
        </w:rPr>
        <w:t xml:space="preserve">  </w:t>
      </w:r>
      <w:r>
        <w:rPr>
          <w:rFonts w:hint="eastAsia" w:ascii="黑体" w:hAnsi="黑体" w:eastAsia="黑体"/>
          <w:sz w:val="30"/>
          <w:szCs w:val="30"/>
          <w:lang w:val="en-US" w:eastAsia="zh-CN"/>
        </w:rPr>
        <w:t>2021</w:t>
      </w:r>
      <w:r>
        <w:rPr>
          <w:rFonts w:hint="eastAsia" w:ascii="黑体" w:hAnsi="黑体" w:eastAsia="黑体"/>
          <w:sz w:val="30"/>
          <w:szCs w:val="30"/>
        </w:rPr>
        <w:t>年度部门决算情况说明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一、收入决算情况说明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二、支出决算情况说明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line="360" w:lineRule="auto"/>
        <w:jc w:val="left"/>
        <w:rPr>
          <w:rFonts w:hint="eastAsia" w:ascii="楷体" w:hAnsi="楷体" w:eastAsia="楷体"/>
          <w:sz w:val="30"/>
          <w:szCs w:val="30"/>
        </w:rPr>
      </w:pPr>
      <w:r>
        <w:rPr>
          <w:rFonts w:hint="eastAsia" w:ascii="楷体" w:hAnsi="楷体" w:eastAsia="楷体"/>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line="360" w:lineRule="auto"/>
        <w:jc w:val="left"/>
        <w:outlineLvl w:val="0"/>
        <w:rPr>
          <w:rFonts w:hint="eastAsia" w:ascii="黑体" w:hAnsi="黑体" w:eastAsia="黑体"/>
          <w:sz w:val="30"/>
          <w:szCs w:val="30"/>
        </w:rPr>
      </w:pPr>
      <w:r>
        <w:rPr>
          <w:rFonts w:hint="eastAsia" w:ascii="黑体" w:hAnsi="黑体" w:eastAsia="黑体"/>
          <w:sz w:val="30"/>
          <w:szCs w:val="30"/>
          <w:lang w:eastAsia="zh-CN"/>
        </w:rPr>
        <w:t>第四部分</w:t>
      </w:r>
      <w:r>
        <w:rPr>
          <w:rFonts w:hint="eastAsia" w:ascii="楷体" w:hAnsi="楷体" w:eastAsia="楷体"/>
          <w:sz w:val="30"/>
          <w:szCs w:val="30"/>
          <w:lang w:val="en-US" w:eastAsia="zh-CN"/>
        </w:rPr>
        <w:t xml:space="preserve">  </w:t>
      </w:r>
      <w:r>
        <w:rPr>
          <w:rFonts w:hint="eastAsia" w:ascii="黑体" w:hAnsi="黑体" w:eastAsia="黑体"/>
          <w:sz w:val="30"/>
          <w:szCs w:val="30"/>
        </w:rPr>
        <w:t>其他重要事项及相关口径情况说明</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一、</w:t>
      </w:r>
      <w:r>
        <w:rPr>
          <w:rFonts w:hint="eastAsia" w:ascii="楷体" w:hAnsi="楷体" w:eastAsia="楷体"/>
          <w:sz w:val="30"/>
          <w:szCs w:val="30"/>
        </w:rPr>
        <w:t>机关运行经费支出情况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二、</w:t>
      </w:r>
      <w:r>
        <w:rPr>
          <w:rFonts w:hint="eastAsia" w:ascii="楷体" w:hAnsi="楷体" w:eastAsia="楷体"/>
          <w:sz w:val="30"/>
          <w:szCs w:val="30"/>
        </w:rPr>
        <w:t>国有资产占用情况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三、</w:t>
      </w:r>
      <w:r>
        <w:rPr>
          <w:rFonts w:hint="eastAsia" w:ascii="楷体" w:hAnsi="楷体" w:eastAsia="楷体"/>
          <w:sz w:val="30"/>
          <w:szCs w:val="30"/>
        </w:rPr>
        <w:t>政府采购支出情况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val="en-US" w:eastAsia="zh-CN"/>
        </w:rPr>
      </w:pPr>
      <w:r>
        <w:rPr>
          <w:rFonts w:hint="eastAsia" w:ascii="楷体" w:hAnsi="楷体" w:eastAsia="楷体"/>
          <w:sz w:val="30"/>
          <w:szCs w:val="30"/>
          <w:lang w:eastAsia="zh-CN"/>
        </w:rPr>
        <w:t>四、</w:t>
      </w:r>
      <w:r>
        <w:rPr>
          <w:rFonts w:hint="eastAsia" w:ascii="楷体" w:hAnsi="楷体" w:eastAsia="楷体"/>
          <w:sz w:val="30"/>
          <w:szCs w:val="30"/>
          <w:lang w:val="en-US" w:eastAsia="zh-CN"/>
        </w:rPr>
        <w:t>部门绩效自评情况</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（一）</w:t>
      </w:r>
      <w:r>
        <w:rPr>
          <w:rFonts w:hint="eastAsia" w:ascii="楷体" w:hAnsi="楷体" w:eastAsia="楷体"/>
          <w:sz w:val="30"/>
          <w:szCs w:val="30"/>
          <w:lang w:eastAsia="zh-CN"/>
        </w:rPr>
        <w:t>部门整体支出绩效自评情况</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（二）</w:t>
      </w:r>
      <w:r>
        <w:rPr>
          <w:rFonts w:hint="eastAsia" w:ascii="楷体" w:hAnsi="楷体" w:eastAsia="楷体"/>
          <w:sz w:val="30"/>
          <w:szCs w:val="30"/>
          <w:lang w:eastAsia="zh-CN"/>
        </w:rPr>
        <w:t>部门整体支出绩效自评表</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（三）项目支出绩效自评表</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五、</w:t>
      </w:r>
      <w:r>
        <w:rPr>
          <w:rFonts w:hint="eastAsia" w:ascii="楷体" w:hAnsi="楷体" w:eastAsia="楷体"/>
          <w:sz w:val="30"/>
          <w:szCs w:val="30"/>
          <w:lang w:val="en-US" w:eastAsia="zh-CN"/>
        </w:rPr>
        <w:t>其他重要事项情况说明</w:t>
      </w:r>
    </w:p>
    <w:p>
      <w:pPr>
        <w:keepNext w:val="0"/>
        <w:keepLines w:val="0"/>
        <w:pageBreakBefore w:val="0"/>
        <w:widowControl/>
        <w:kinsoku/>
        <w:wordWrap/>
        <w:overflowPunct/>
        <w:topLinePunct w:val="0"/>
        <w:autoSpaceDE/>
        <w:autoSpaceDN/>
        <w:bidi w:val="0"/>
        <w:snapToGrid w:val="0"/>
        <w:spacing w:line="360" w:lineRule="auto"/>
        <w:jc w:val="left"/>
        <w:outlineLvl w:val="0"/>
        <w:rPr>
          <w:rFonts w:hint="eastAsia" w:ascii="黑体" w:hAnsi="黑体" w:eastAsia="黑体"/>
          <w:sz w:val="30"/>
          <w:szCs w:val="30"/>
        </w:rPr>
      </w:pPr>
      <w:r>
        <w:rPr>
          <w:rFonts w:hint="eastAsia" w:ascii="黑体" w:hAnsi="黑体" w:eastAsia="黑体"/>
          <w:sz w:val="30"/>
          <w:szCs w:val="30"/>
        </w:rPr>
        <w:t>第</w:t>
      </w:r>
      <w:r>
        <w:rPr>
          <w:rFonts w:hint="eastAsia" w:ascii="黑体" w:hAnsi="黑体" w:eastAsia="黑体"/>
          <w:sz w:val="30"/>
          <w:szCs w:val="30"/>
          <w:lang w:eastAsia="zh-CN"/>
        </w:rPr>
        <w:t>五</w:t>
      </w:r>
      <w:r>
        <w:rPr>
          <w:rFonts w:hint="eastAsia" w:ascii="黑体" w:hAnsi="黑体" w:eastAsia="黑体"/>
          <w:sz w:val="30"/>
          <w:szCs w:val="30"/>
        </w:rPr>
        <w:t>部分  名词解释</w:t>
      </w:r>
    </w:p>
    <w:p>
      <w:pPr>
        <w:keepNext w:val="0"/>
        <w:keepLines w:val="0"/>
        <w:pageBreakBefore w:val="0"/>
        <w:kinsoku/>
        <w:wordWrap/>
        <w:overflowPunct/>
        <w:topLinePunct w:val="0"/>
        <w:autoSpaceDE/>
        <w:autoSpaceDN/>
        <w:bidi w:val="0"/>
        <w:jc w:val="center"/>
        <w:rPr>
          <w:rFonts w:hint="eastAsia" w:ascii="黑体" w:hAnsi="黑体" w:eastAsia="黑体"/>
          <w:sz w:val="32"/>
          <w:szCs w:val="32"/>
        </w:rPr>
      </w:pPr>
    </w:p>
    <w:p>
      <w:pPr>
        <w:keepNext w:val="0"/>
        <w:keepLines w:val="0"/>
        <w:pageBreakBefore w:val="0"/>
        <w:kinsoku/>
        <w:wordWrap/>
        <w:overflowPunct/>
        <w:topLinePunct w:val="0"/>
        <w:autoSpaceDE/>
        <w:autoSpaceDN/>
        <w:bidi w:val="0"/>
        <w:jc w:val="center"/>
        <w:rPr>
          <w:rFonts w:hint="eastAsia" w:ascii="黑体" w:hAnsi="黑体" w:eastAsia="黑体"/>
          <w:sz w:val="32"/>
          <w:szCs w:val="32"/>
        </w:rPr>
      </w:pPr>
    </w:p>
    <w:p>
      <w:pPr>
        <w:keepNext w:val="0"/>
        <w:keepLines w:val="0"/>
        <w:pageBreakBefore w:val="0"/>
        <w:kinsoku/>
        <w:wordWrap/>
        <w:overflowPunct/>
        <w:topLinePunct w:val="0"/>
        <w:autoSpaceDE/>
        <w:autoSpaceDN/>
        <w:bidi w:val="0"/>
        <w:jc w:val="both"/>
        <w:rPr>
          <w:rFonts w:hint="eastAsia" w:ascii="黑体" w:hAnsi="黑体" w:eastAsia="黑体"/>
          <w:sz w:val="32"/>
          <w:szCs w:val="32"/>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highlight w:val="none"/>
          <w:lang w:val="en-US" w:eastAsia="zh-CN"/>
        </w:rPr>
        <w:t>共青团盘龙区委</w:t>
      </w:r>
      <w:r>
        <w:rPr>
          <w:rFonts w:hint="eastAsia" w:ascii="黑体" w:hAnsi="黑体" w:eastAsia="黑体"/>
          <w:sz w:val="32"/>
          <w:szCs w:val="32"/>
        </w:rPr>
        <w:t>概况</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一、主要职能</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sz w:val="30"/>
          <w:szCs w:val="30"/>
        </w:rPr>
      </w:pPr>
      <w:r>
        <w:rPr>
          <w:rFonts w:hint="eastAsia" w:ascii="楷体" w:hAnsi="楷体" w:eastAsia="楷体"/>
          <w:bCs/>
          <w:sz w:val="30"/>
          <w:szCs w:val="30"/>
        </w:rPr>
        <w:t>（一）主要职能</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default"/>
          <w:bCs/>
          <w:color w:val="auto"/>
          <w:szCs w:val="30"/>
          <w:lang w:val="en-US" w:eastAsia="zh-CN"/>
        </w:rPr>
      </w:pPr>
      <w:r>
        <w:rPr>
          <w:rFonts w:hint="eastAsia"/>
          <w:bCs/>
          <w:color w:val="auto"/>
          <w:szCs w:val="30"/>
          <w:lang w:val="en-US" w:eastAsia="zh-CN"/>
        </w:rPr>
        <w:t>共青团盘龙区委</w:t>
      </w:r>
      <w:r>
        <w:rPr>
          <w:rFonts w:hint="eastAsia"/>
          <w:bCs/>
          <w:color w:val="auto"/>
          <w:szCs w:val="30"/>
        </w:rPr>
        <w:t>是中国共产主义青年团在昆明市盘龙区的地方组织的领导机关，在中共盘龙区委和团昆明市委的领导下，依照《中国共产主义青年团章程》和团的代表大会决议，围绕党的中心任务开展工作。</w:t>
      </w:r>
      <w:r>
        <w:rPr>
          <w:rFonts w:hint="eastAsia"/>
          <w:bCs/>
          <w:color w:val="auto"/>
          <w:szCs w:val="30"/>
          <w:lang w:val="en-US" w:eastAsia="zh-CN"/>
        </w:rPr>
        <w:t>主要职能职责如下：</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1.履行区委、团市委赋予的领导全区共青团工作的职责，指导社区和新经济组织建团工作，依据有关章程对全区少先队工作、社区青年组织及其他青少年社团组织进行管理和指导。</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2.参与制定盘龙区青少年事业发展规划和青少年工作方针、政策，对盘龙区青少年活动阵地(区青少年活动中心)，青少年服务机构的建设进行管理和指导。</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3.协调与青少年利益相关的事务，会同有关部门做好未成年人的保护工作，维护青少年的合法权益。</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4.调查掌握青少年思想动态和青年工作状态，研究青少年工作理论和思想教育问题，提出相应对策，开展各种实践活动。</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5.协助政府教育行政主管部门做好全区中、小学学生的教育管理，组织开展健康有益的活动，引导青少年树立正确的世界观、人生观和价值观。</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6.根据党的中心任务，带领全区各级团组织按照《团章》要求，创造性地开展共青团工作，指导全区“青年文明号 ”“优秀青少年维权岗 ”和 “五四红旗团组织 ”的创建和申报工作。团结带领全区团员青年积极投身社会主义物质文明建设和精神文明建设。</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7.树立典型，培养人才，负责向全区各级党组织推荐优秀青年团员入党，引导广大青少年在实践中岗位建功、岗位成才。</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default" w:eastAsia="仿宋_GB2312"/>
          <w:bCs/>
          <w:color w:val="auto"/>
          <w:szCs w:val="30"/>
          <w:lang w:val="en-US" w:eastAsia="zh-CN"/>
        </w:rPr>
      </w:pPr>
      <w:r>
        <w:rPr>
          <w:rFonts w:hint="eastAsia"/>
          <w:bCs/>
          <w:color w:val="auto"/>
          <w:szCs w:val="30"/>
          <w:lang w:val="en-US" w:eastAsia="zh-CN"/>
        </w:rPr>
        <w:t>8.完成区委、区政府和上级机关交办的其他事项。</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ascii="楷体" w:hAnsi="楷体" w:eastAsia="楷体"/>
          <w:bCs/>
          <w:szCs w:val="30"/>
        </w:rPr>
      </w:pPr>
      <w:r>
        <w:rPr>
          <w:rFonts w:hint="eastAsia" w:ascii="楷体" w:hAnsi="楷体" w:eastAsia="楷体"/>
          <w:bCs/>
          <w:szCs w:val="30"/>
        </w:rPr>
        <w:t>（二）</w:t>
      </w:r>
      <w:r>
        <w:rPr>
          <w:rFonts w:hint="eastAsia" w:ascii="楷体" w:hAnsi="楷体" w:eastAsia="楷体"/>
          <w:bCs/>
          <w:szCs w:val="30"/>
          <w:lang w:val="en-US" w:eastAsia="zh-CN"/>
        </w:rPr>
        <w:t>2021</w:t>
      </w:r>
      <w:r>
        <w:rPr>
          <w:rFonts w:hint="eastAsia" w:ascii="楷体" w:hAnsi="楷体" w:eastAsia="楷体"/>
          <w:bCs/>
          <w:szCs w:val="30"/>
        </w:rPr>
        <w:t>年度重点工作任务介绍</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2021年工作的总体思路是：以习近平新时代中国特色社会主义思想为指导，全面贯彻党的十九大和十九届二中、三中、四中、五中全会精神，深入贯彻习近平总书记关于青年工作的重要思想和考察云南重要讲话精神，聚焦保持和增强政治性、先进性、群众性，围绕立足新发展阶段、贯彻新发展理念、构建新发展格局，不断提升组织力、引领力、服务力和大局贡献度，着力深化改革，着力从严治团，突出庆祝中国共产党成立100周年这条主线，团结动员全区广大团员青年围绕开局“十四五”，为高质量推进区域性国际中心城市核心城区建设贡献青春智慧和力量，充分展现盘龙青年的作为与担当。</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二、部门基本情况</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sz w:val="30"/>
          <w:szCs w:val="30"/>
        </w:rPr>
      </w:pPr>
      <w:r>
        <w:rPr>
          <w:rFonts w:hint="eastAsia" w:ascii="楷体" w:hAnsi="楷体" w:eastAsia="楷体"/>
          <w:sz w:val="30"/>
          <w:szCs w:val="30"/>
        </w:rPr>
        <w:t>（一）部门决算单位构成</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eastAsia="仿宋_GB2312"/>
          <w:sz w:val="30"/>
          <w:szCs w:val="30"/>
        </w:rPr>
      </w:pPr>
      <w:r>
        <w:rPr>
          <w:rFonts w:hint="eastAsia" w:ascii="仿宋_GB2312" w:eastAsia="仿宋_GB2312"/>
          <w:sz w:val="30"/>
          <w:szCs w:val="30"/>
        </w:rPr>
        <w:t>纳入</w:t>
      </w:r>
      <w:r>
        <w:rPr>
          <w:rFonts w:hint="eastAsia" w:ascii="仿宋_GB2312" w:eastAsia="仿宋_GB2312"/>
          <w:sz w:val="30"/>
          <w:szCs w:val="30"/>
          <w:lang w:val="en-US" w:eastAsia="zh-CN"/>
        </w:rPr>
        <w:t>共青团盘龙区委2021</w:t>
      </w:r>
      <w:r>
        <w:rPr>
          <w:rFonts w:hint="eastAsia" w:ascii="仿宋_GB2312" w:eastAsia="仿宋_GB2312"/>
          <w:sz w:val="30"/>
          <w:szCs w:val="30"/>
        </w:rPr>
        <w:t>年度部门决算编报的单位共</w:t>
      </w:r>
      <w:r>
        <w:rPr>
          <w:rFonts w:hint="eastAsia" w:ascii="仿宋_GB2312" w:eastAsia="仿宋_GB2312"/>
          <w:sz w:val="30"/>
          <w:szCs w:val="30"/>
          <w:lang w:val="en-US" w:eastAsia="zh-CN"/>
        </w:rPr>
        <w:t>1</w:t>
      </w:r>
      <w:r>
        <w:rPr>
          <w:rFonts w:hint="eastAsia" w:ascii="仿宋_GB2312" w:eastAsia="仿宋_GB2312"/>
          <w:sz w:val="30"/>
          <w:szCs w:val="30"/>
        </w:rPr>
        <w:t>个。其中：行政单位</w:t>
      </w:r>
      <w:r>
        <w:rPr>
          <w:rFonts w:hint="eastAsia" w:ascii="仿宋_GB2312" w:eastAsia="仿宋_GB2312"/>
          <w:sz w:val="30"/>
          <w:szCs w:val="30"/>
          <w:lang w:val="en-US" w:eastAsia="zh-CN"/>
        </w:rPr>
        <w:t>1</w:t>
      </w:r>
      <w:r>
        <w:rPr>
          <w:rFonts w:hint="eastAsia" w:ascii="仿宋_GB2312" w:eastAsia="仿宋_GB2312"/>
          <w:sz w:val="30"/>
          <w:szCs w:val="30"/>
        </w:rPr>
        <w:t>个，参照公务员法管理的事业单位</w:t>
      </w:r>
      <w:r>
        <w:rPr>
          <w:rFonts w:hint="eastAsia" w:ascii="仿宋_GB2312" w:eastAsia="仿宋_GB2312"/>
          <w:bCs/>
          <w:sz w:val="30"/>
          <w:szCs w:val="30"/>
          <w:lang w:val="en-US" w:eastAsia="zh-CN"/>
        </w:rPr>
        <w:t>0</w:t>
      </w:r>
      <w:r>
        <w:rPr>
          <w:rFonts w:hint="eastAsia" w:ascii="仿宋_GB2312" w:eastAsia="仿宋_GB2312"/>
          <w:sz w:val="30"/>
          <w:szCs w:val="30"/>
        </w:rPr>
        <w:t>个，其他事业单位</w:t>
      </w:r>
      <w:r>
        <w:rPr>
          <w:rFonts w:hint="eastAsia" w:ascii="仿宋_GB2312" w:eastAsia="仿宋_GB2312"/>
          <w:sz w:val="30"/>
          <w:szCs w:val="30"/>
          <w:lang w:val="en-US" w:eastAsia="zh-CN"/>
        </w:rPr>
        <w:t>0</w:t>
      </w:r>
      <w:r>
        <w:rPr>
          <w:rFonts w:hint="eastAsia" w:ascii="仿宋_GB2312" w:eastAsia="仿宋_GB2312"/>
          <w:sz w:val="30"/>
          <w:szCs w:val="30"/>
        </w:rPr>
        <w:t>个。</w:t>
      </w:r>
    </w:p>
    <w:p>
      <w:pPr>
        <w:keepNext w:val="0"/>
        <w:keepLines w:val="0"/>
        <w:pageBreakBefore w:val="0"/>
        <w:kinsoku/>
        <w:wordWrap/>
        <w:overflowPunct/>
        <w:topLinePunct w:val="0"/>
        <w:autoSpaceDE/>
        <w:autoSpaceDN/>
        <w:bidi w:val="0"/>
        <w:ind w:firstLine="600" w:firstLineChars="200"/>
        <w:outlineLvl w:val="2"/>
        <w:rPr>
          <w:rFonts w:hint="eastAsia" w:ascii="楷体" w:hAnsi="楷体" w:eastAsia="楷体"/>
          <w:sz w:val="30"/>
          <w:szCs w:val="30"/>
        </w:rPr>
      </w:pPr>
      <w:r>
        <w:rPr>
          <w:rFonts w:hint="eastAsia" w:ascii="楷体" w:hAnsi="楷体" w:eastAsia="楷体"/>
          <w:sz w:val="30"/>
          <w:szCs w:val="30"/>
        </w:rPr>
        <w:t xml:space="preserve">（二）部门人员和车辆的编制及实有情况 </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hAnsi="宋体" w:eastAsia="仿宋_GB2312" w:cs="Arial"/>
          <w:kern w:val="0"/>
          <w:sz w:val="30"/>
          <w:szCs w:val="30"/>
        </w:rPr>
      </w:pPr>
      <w:r>
        <w:rPr>
          <w:rFonts w:hint="eastAsia" w:ascii="仿宋_GB2312" w:eastAsia="仿宋_GB2312"/>
          <w:sz w:val="30"/>
          <w:szCs w:val="30"/>
          <w:lang w:val="en-US" w:eastAsia="zh-CN"/>
        </w:rPr>
        <w:t>共青团盘龙区委2021</w:t>
      </w:r>
      <w:r>
        <w:rPr>
          <w:rFonts w:hint="eastAsia" w:ascii="仿宋_GB2312" w:eastAsia="仿宋_GB2312"/>
          <w:sz w:val="30"/>
          <w:szCs w:val="30"/>
        </w:rPr>
        <w:t>年末实有人员编制</w:t>
      </w:r>
      <w:r>
        <w:rPr>
          <w:rFonts w:hint="eastAsia" w:ascii="仿宋_GB2312" w:eastAsia="仿宋_GB2312"/>
          <w:sz w:val="30"/>
          <w:szCs w:val="30"/>
          <w:lang w:val="en-US" w:eastAsia="zh-CN"/>
        </w:rPr>
        <w:t>4</w:t>
      </w:r>
      <w:r>
        <w:rPr>
          <w:rFonts w:hint="eastAsia" w:ascii="仿宋_GB2312" w:hAnsi="宋体" w:eastAsia="仿宋_GB2312" w:cs="Arial"/>
          <w:kern w:val="0"/>
          <w:sz w:val="30"/>
          <w:szCs w:val="30"/>
        </w:rPr>
        <w:t>人。其中：行政编制</w:t>
      </w:r>
      <w:r>
        <w:rPr>
          <w:rFonts w:hint="eastAsia" w:ascii="仿宋_GB2312" w:eastAsia="仿宋_GB2312"/>
          <w:sz w:val="30"/>
          <w:szCs w:val="30"/>
          <w:lang w:val="en-US" w:eastAsia="zh-CN"/>
        </w:rPr>
        <w:t>4</w:t>
      </w:r>
      <w:r>
        <w:rPr>
          <w:rFonts w:hint="eastAsia" w:ascii="仿宋_GB2312" w:hAnsi="宋体" w:eastAsia="仿宋_GB2312" w:cs="Arial"/>
          <w:kern w:val="0"/>
          <w:sz w:val="30"/>
          <w:szCs w:val="30"/>
        </w:rPr>
        <w:t>人（含行政工勤编制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人），事业编制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人（含参公管理事业编制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人）；在职在编实有行政人员</w:t>
      </w:r>
      <w:r>
        <w:rPr>
          <w:rFonts w:hint="eastAsia" w:ascii="仿宋_GB2312" w:eastAsia="仿宋_GB2312"/>
          <w:sz w:val="30"/>
          <w:szCs w:val="30"/>
          <w:lang w:val="en-US" w:eastAsia="zh-CN"/>
        </w:rPr>
        <w:t>4</w:t>
      </w:r>
      <w:r>
        <w:rPr>
          <w:rFonts w:hint="eastAsia" w:ascii="仿宋_GB2312" w:hAnsi="宋体" w:eastAsia="仿宋_GB2312" w:cs="Arial"/>
          <w:kern w:val="0"/>
          <w:sz w:val="30"/>
          <w:szCs w:val="30"/>
        </w:rPr>
        <w:t>人（含行政工勤人员</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人），事业人员</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人（含参公管理事业人员</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hAnsi="宋体" w:eastAsia="仿宋_GB2312" w:cs="Arial"/>
          <w:kern w:val="0"/>
          <w:sz w:val="30"/>
          <w:szCs w:val="30"/>
        </w:rPr>
      </w:pPr>
      <w:r>
        <w:rPr>
          <w:rFonts w:hint="eastAsia" w:ascii="仿宋_GB2312" w:hAnsi="宋体" w:eastAsia="仿宋_GB2312" w:cs="Arial"/>
          <w:kern w:val="0"/>
          <w:sz w:val="30"/>
          <w:szCs w:val="30"/>
        </w:rPr>
        <w:t>离退休人员</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人。其中：离休</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人，退休</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hAnsi="宋体" w:eastAsia="仿宋_GB2312" w:cs="Arial"/>
          <w:kern w:val="0"/>
          <w:sz w:val="30"/>
          <w:szCs w:val="30"/>
        </w:rPr>
      </w:pPr>
      <w:r>
        <w:rPr>
          <w:rFonts w:hint="eastAsia" w:ascii="仿宋_GB2312" w:hAnsi="宋体" w:eastAsia="仿宋_GB2312" w:cs="Arial"/>
          <w:kern w:val="0"/>
          <w:sz w:val="30"/>
          <w:szCs w:val="30"/>
        </w:rPr>
        <w:t>实有车辆编制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辆，在编实有车辆</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辆。</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hAnsi="宋体" w:eastAsia="仿宋_GB2312" w:cs="Arial"/>
          <w:kern w:val="0"/>
          <w:sz w:val="30"/>
          <w:szCs w:val="30"/>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2021</w:t>
      </w:r>
      <w:r>
        <w:rPr>
          <w:rFonts w:hint="eastAsia" w:ascii="黑体" w:hAnsi="黑体" w:eastAsia="黑体"/>
          <w:sz w:val="32"/>
          <w:szCs w:val="32"/>
        </w:rPr>
        <w:t>年度部门决算表</w:t>
      </w:r>
    </w:p>
    <w:p>
      <w:pPr>
        <w:keepNext w:val="0"/>
        <w:keepLines w:val="0"/>
        <w:pageBreakBefore w:val="0"/>
        <w:kinsoku/>
        <w:wordWrap/>
        <w:overflowPunct/>
        <w:topLinePunct w:val="0"/>
        <w:autoSpaceDE/>
        <w:autoSpaceDN/>
        <w:bidi w:val="0"/>
        <w:spacing w:line="600" w:lineRule="exact"/>
        <w:ind w:firstLine="600" w:firstLineChars="200"/>
        <w:jc w:val="center"/>
        <w:rPr>
          <w:rFonts w:hint="eastAsia" w:ascii="仿宋_GB2312" w:eastAsia="仿宋_GB2312"/>
          <w:sz w:val="30"/>
          <w:szCs w:val="30"/>
        </w:rPr>
      </w:pPr>
      <w:r>
        <w:rPr>
          <w:rFonts w:hint="eastAsia" w:ascii="仿宋_GB2312" w:eastAsia="仿宋_GB2312"/>
          <w:sz w:val="30"/>
          <w:szCs w:val="30"/>
        </w:rPr>
        <w:t>（详见附件）</w:t>
      </w:r>
    </w:p>
    <w:p>
      <w:pPr>
        <w:keepNext w:val="0"/>
        <w:keepLines w:val="0"/>
        <w:pageBreakBefore w:val="0"/>
        <w:kinsoku/>
        <w:wordWrap/>
        <w:overflowPunct/>
        <w:topLinePunct w:val="0"/>
        <w:autoSpaceDE/>
        <w:autoSpaceDN/>
        <w:bidi w:val="0"/>
        <w:spacing w:line="600" w:lineRule="exact"/>
        <w:jc w:val="both"/>
        <w:rPr>
          <w:rFonts w:hint="eastAsia" w:ascii="仿宋_GB2312" w:eastAsia="仿宋_GB2312"/>
          <w:sz w:val="30"/>
          <w:szCs w:val="30"/>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第三部</w:t>
      </w:r>
      <w:r>
        <w:rPr>
          <w:rFonts w:hint="eastAsia" w:ascii="黑体" w:hAnsi="黑体" w:eastAsia="黑体"/>
          <w:sz w:val="32"/>
          <w:szCs w:val="32"/>
          <w:lang w:eastAsia="zh-CN"/>
        </w:rPr>
        <w:t>分</w:t>
      </w:r>
      <w:r>
        <w:rPr>
          <w:rFonts w:hint="eastAsia" w:ascii="黑体" w:hAnsi="黑体" w:eastAsia="黑体"/>
          <w:sz w:val="32"/>
          <w:szCs w:val="32"/>
        </w:rPr>
        <w:t xml:space="preserve">  </w:t>
      </w:r>
      <w:r>
        <w:rPr>
          <w:rFonts w:hint="eastAsia" w:ascii="黑体" w:hAnsi="黑体" w:eastAsia="黑体"/>
          <w:sz w:val="32"/>
          <w:szCs w:val="32"/>
          <w:lang w:val="en-US" w:eastAsia="zh-CN"/>
        </w:rPr>
        <w:t>2021</w:t>
      </w:r>
      <w:r>
        <w:rPr>
          <w:rFonts w:hint="eastAsia" w:ascii="黑体" w:hAnsi="黑体" w:eastAsia="黑体"/>
          <w:sz w:val="32"/>
          <w:szCs w:val="32"/>
        </w:rPr>
        <w:t>年度部门决算情况说明</w:t>
      </w: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sz w:val="30"/>
          <w:szCs w:val="30"/>
        </w:rPr>
      </w:pPr>
      <w:r>
        <w:rPr>
          <w:rFonts w:hint="eastAsia" w:ascii="黑体" w:hAnsi="黑体" w:eastAsia="黑体"/>
          <w:sz w:val="30"/>
          <w:szCs w:val="30"/>
        </w:rPr>
        <w:t>一、收入决算情况说明</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eastAsia="仿宋_GB2312"/>
          <w:color w:val="auto"/>
          <w:sz w:val="30"/>
          <w:szCs w:val="30"/>
          <w:lang w:val="en-US" w:eastAsia="zh-CN"/>
        </w:rPr>
      </w:pPr>
      <w:r>
        <w:rPr>
          <w:rFonts w:hint="eastAsia" w:ascii="仿宋_GB2312" w:eastAsia="仿宋_GB2312"/>
          <w:sz w:val="30"/>
          <w:szCs w:val="30"/>
          <w:highlight w:val="none"/>
          <w:lang w:val="en-US" w:eastAsia="zh-CN"/>
        </w:rPr>
        <w:t>共青团盘龙区委2021</w:t>
      </w:r>
      <w:r>
        <w:rPr>
          <w:rFonts w:hint="eastAsia" w:ascii="仿宋_GB2312" w:eastAsia="仿宋_GB2312"/>
          <w:sz w:val="30"/>
          <w:szCs w:val="30"/>
          <w:highlight w:val="none"/>
        </w:rPr>
        <w:t>年度收入合计</w:t>
      </w:r>
      <w:r>
        <w:rPr>
          <w:rFonts w:hint="eastAsia" w:ascii="仿宋_GB2312" w:eastAsia="仿宋_GB2312"/>
          <w:sz w:val="30"/>
          <w:szCs w:val="30"/>
          <w:highlight w:val="none"/>
          <w:lang w:val="en-US" w:eastAsia="zh-CN"/>
        </w:rPr>
        <w:t>226.26</w:t>
      </w:r>
      <w:r>
        <w:rPr>
          <w:rFonts w:hint="eastAsia" w:ascii="仿宋_GB2312" w:eastAsia="仿宋_GB2312"/>
          <w:sz w:val="30"/>
          <w:szCs w:val="30"/>
          <w:highlight w:val="none"/>
        </w:rPr>
        <w:t>万元。其中：财政拨款收入</w:t>
      </w:r>
      <w:r>
        <w:rPr>
          <w:rFonts w:hint="eastAsia" w:ascii="仿宋_GB2312" w:eastAsia="仿宋_GB2312"/>
          <w:sz w:val="30"/>
          <w:szCs w:val="30"/>
          <w:highlight w:val="none"/>
          <w:lang w:val="en-US" w:eastAsia="zh-CN"/>
        </w:rPr>
        <w:t>184.81</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81.68</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%；事业收入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w:t>
      </w:r>
      <w:r>
        <w:rPr>
          <w:rFonts w:hint="eastAsia" w:ascii="仿宋_GB2312" w:eastAsia="仿宋_GB2312"/>
          <w:sz w:val="30"/>
          <w:szCs w:val="30"/>
          <w:highlight w:val="none"/>
          <w:lang w:eastAsia="zh-CN"/>
        </w:rPr>
        <w:t>（含教育收费</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%；附属单位缴款收入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%；其他收入</w:t>
      </w:r>
      <w:r>
        <w:rPr>
          <w:rFonts w:hint="eastAsia" w:ascii="仿宋_GB2312" w:eastAsia="仿宋_GB2312"/>
          <w:sz w:val="30"/>
          <w:szCs w:val="30"/>
          <w:highlight w:val="none"/>
          <w:lang w:val="en-US" w:eastAsia="zh-CN"/>
        </w:rPr>
        <w:t>41.45</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18.32</w:t>
      </w:r>
      <w:r>
        <w:rPr>
          <w:rFonts w:hint="eastAsia" w:ascii="仿宋_GB2312" w:eastAsia="仿宋_GB2312"/>
          <w:sz w:val="30"/>
          <w:szCs w:val="30"/>
          <w:highlight w:val="none"/>
        </w:rPr>
        <w:t>%。</w:t>
      </w:r>
      <w:r>
        <w:rPr>
          <w:rFonts w:hint="eastAsia" w:ascii="仿宋_GB2312" w:eastAsia="仿宋_GB2312"/>
          <w:color w:val="auto"/>
          <w:sz w:val="30"/>
          <w:szCs w:val="30"/>
          <w:highlight w:val="none"/>
        </w:rPr>
        <w:t>与上年对比</w:t>
      </w:r>
      <w:r>
        <w:rPr>
          <w:rFonts w:hint="eastAsia" w:ascii="仿宋_GB2312" w:eastAsia="仿宋_GB2312"/>
          <w:color w:val="auto"/>
          <w:sz w:val="30"/>
          <w:szCs w:val="30"/>
          <w:highlight w:val="none"/>
          <w:lang w:val="en-US" w:eastAsia="zh-CN"/>
        </w:rPr>
        <w:t>增长69.19万元，增长43.99%</w:t>
      </w:r>
      <w:r>
        <w:rPr>
          <w:rFonts w:hint="eastAsia" w:ascii="仿宋_GB2312" w:eastAsia="仿宋_GB2312"/>
          <w:color w:val="auto"/>
          <w:sz w:val="30"/>
          <w:szCs w:val="30"/>
          <w:highlight w:val="none"/>
        </w:rPr>
        <w:t>，</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2020年12月单位新招录公务员1名，故相关人员经费增加；根据盘财追（2021）2号、昆财行〔2020〕264号、昆财行〔2020〕28号、盘财行追〔2021〕61号、昆财行〔2021〕110号等文件，西部计划项目经费增加及非财政拨款预算项目经费增加，故总收入增加。</w:t>
      </w:r>
    </w:p>
    <w:p>
      <w:pPr>
        <w:keepNext w:val="0"/>
        <w:keepLines w:val="0"/>
        <w:pageBreakBefore w:val="0"/>
        <w:kinsoku/>
        <w:wordWrap/>
        <w:overflowPunct/>
        <w:topLinePunct w:val="0"/>
        <w:autoSpaceDE/>
        <w:autoSpaceDN/>
        <w:bidi w:val="0"/>
        <w:spacing w:line="600" w:lineRule="exact"/>
        <w:ind w:firstLine="600" w:firstLineChars="200"/>
        <w:rPr>
          <w:rFonts w:hint="default" w:ascii="仿宋_GB2312" w:eastAsia="仿宋_GB2312"/>
          <w:color w:val="auto"/>
          <w:sz w:val="30"/>
          <w:szCs w:val="30"/>
          <w:lang w:val="en-US" w:eastAsia="zh-CN"/>
        </w:rPr>
      </w:pP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sz w:val="30"/>
          <w:szCs w:val="30"/>
        </w:rPr>
      </w:pPr>
      <w:r>
        <w:rPr>
          <w:rFonts w:hint="eastAsia" w:ascii="黑体" w:hAnsi="黑体" w:eastAsia="黑体"/>
          <w:sz w:val="30"/>
          <w:szCs w:val="30"/>
        </w:rPr>
        <w:t>二、支出决算情况说明</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eastAsia="仿宋_GB2312"/>
          <w:color w:val="auto"/>
          <w:sz w:val="30"/>
          <w:szCs w:val="30"/>
        </w:rPr>
      </w:pPr>
      <w:r>
        <w:rPr>
          <w:rFonts w:hint="eastAsia" w:ascii="仿宋_GB2312" w:eastAsia="仿宋_GB2312"/>
          <w:sz w:val="30"/>
          <w:szCs w:val="30"/>
          <w:lang w:val="en-US" w:eastAsia="zh-CN"/>
        </w:rPr>
        <w:t>共青团盘龙区委2021</w:t>
      </w:r>
      <w:r>
        <w:rPr>
          <w:rFonts w:hint="eastAsia" w:ascii="仿宋_GB2312" w:eastAsia="仿宋_GB2312"/>
          <w:sz w:val="30"/>
          <w:szCs w:val="30"/>
        </w:rPr>
        <w:t>年度支出合计</w:t>
      </w:r>
      <w:r>
        <w:rPr>
          <w:rFonts w:hint="eastAsia" w:ascii="仿宋_GB2312" w:eastAsia="仿宋_GB2312"/>
          <w:sz w:val="30"/>
          <w:szCs w:val="30"/>
          <w:lang w:val="en-US" w:eastAsia="zh-CN"/>
        </w:rPr>
        <w:t>226.26</w:t>
      </w:r>
      <w:r>
        <w:rPr>
          <w:rFonts w:hint="eastAsia" w:ascii="仿宋_GB2312" w:eastAsia="仿宋_GB2312"/>
          <w:sz w:val="30"/>
          <w:szCs w:val="30"/>
        </w:rPr>
        <w:t>万元。其中：</w:t>
      </w:r>
      <w:r>
        <w:rPr>
          <w:rFonts w:hint="eastAsia" w:ascii="仿宋_GB2312" w:hAnsi="宋体" w:eastAsia="仿宋_GB2312" w:cs="Arial"/>
          <w:kern w:val="0"/>
          <w:sz w:val="30"/>
          <w:szCs w:val="30"/>
        </w:rPr>
        <w:t>基本支出</w:t>
      </w:r>
      <w:r>
        <w:rPr>
          <w:rFonts w:hint="eastAsia" w:ascii="仿宋_GB2312" w:eastAsia="仿宋_GB2312"/>
          <w:sz w:val="30"/>
          <w:szCs w:val="30"/>
          <w:lang w:val="en-US" w:eastAsia="zh-CN"/>
        </w:rPr>
        <w:t>79.72</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35.23</w:t>
      </w:r>
      <w:r>
        <w:rPr>
          <w:rFonts w:hint="eastAsia" w:ascii="仿宋_GB2312" w:hAnsi="宋体" w:eastAsia="仿宋_GB2312" w:cs="Arial"/>
          <w:kern w:val="0"/>
          <w:sz w:val="30"/>
          <w:szCs w:val="30"/>
        </w:rPr>
        <w:t>％；项目支出</w:t>
      </w:r>
      <w:r>
        <w:rPr>
          <w:rFonts w:hint="eastAsia" w:ascii="仿宋_GB2312" w:eastAsia="仿宋_GB2312"/>
          <w:sz w:val="30"/>
          <w:szCs w:val="30"/>
          <w:lang w:val="en-US" w:eastAsia="zh-CN"/>
        </w:rPr>
        <w:t>146.54</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64.77</w:t>
      </w:r>
      <w:r>
        <w:rPr>
          <w:rFonts w:hint="eastAsia" w:ascii="仿宋_GB2312" w:hAnsi="宋体" w:eastAsia="仿宋_GB2312" w:cs="Arial"/>
          <w:kern w:val="0"/>
          <w:sz w:val="30"/>
          <w:szCs w:val="30"/>
        </w:rPr>
        <w:t>％；上缴上级支出、经营支出、对附属单位补助支出共</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w:t>
      </w:r>
      <w:r>
        <w:rPr>
          <w:rFonts w:hint="eastAsia" w:ascii="仿宋_GB2312" w:eastAsia="仿宋_GB2312"/>
          <w:color w:val="auto"/>
          <w:sz w:val="30"/>
          <w:szCs w:val="30"/>
          <w:highlight w:val="none"/>
          <w:lang w:val="en-US" w:eastAsia="zh-CN"/>
        </w:rPr>
        <w:t>增长69.19万元，增长43.99%</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单位新招录公务员1名，故相关人员经费增加；根据盘财追（2021）2号、昆财行〔2020〕264号、昆财行〔2020〕28号、盘财行追〔2021〕61号、昆财行〔2021〕110号等文件，西部计划项目经费增加及非财政拨款预算项目经费增加</w:t>
      </w:r>
      <w:r>
        <w:rPr>
          <w:rFonts w:hint="eastAsia" w:ascii="仿宋_GB2312" w:eastAsia="仿宋_GB2312"/>
          <w:color w:val="auto"/>
          <w:sz w:val="30"/>
          <w:szCs w:val="30"/>
          <w:lang w:eastAsia="zh-CN"/>
        </w:rPr>
        <w:t>，</w:t>
      </w:r>
      <w:r>
        <w:rPr>
          <w:rFonts w:hint="eastAsia" w:ascii="仿宋_GB2312" w:eastAsia="仿宋_GB2312"/>
          <w:color w:val="auto"/>
          <w:sz w:val="30"/>
          <w:szCs w:val="30"/>
          <w:lang w:val="en-US" w:eastAsia="zh-CN"/>
        </w:rPr>
        <w:t>项目支出增加，故总支出增加</w:t>
      </w:r>
      <w:r>
        <w:rPr>
          <w:rFonts w:hint="eastAsia" w:ascii="仿宋_GB2312" w:eastAsia="仿宋_GB2312"/>
          <w:color w:val="auto"/>
          <w:sz w:val="30"/>
          <w:szCs w:val="30"/>
        </w:rPr>
        <w:t>。</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hint="eastAsia" w:ascii="楷体" w:hAnsi="楷体" w:eastAsia="楷体"/>
          <w:sz w:val="30"/>
          <w:szCs w:val="30"/>
        </w:rPr>
      </w:pPr>
      <w:r>
        <w:rPr>
          <w:rFonts w:hint="eastAsia" w:ascii="楷体" w:hAnsi="楷体" w:eastAsia="楷体"/>
          <w:sz w:val="30"/>
          <w:szCs w:val="30"/>
        </w:rPr>
        <w:t>（一）基本支出情况</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rPr>
          <w:rFonts w:hint="eastAsia" w:ascii="仿宋_GB2312" w:eastAsia="仿宋_GB2312"/>
          <w:sz w:val="30"/>
          <w:szCs w:val="30"/>
        </w:rPr>
      </w:pPr>
      <w:r>
        <w:rPr>
          <w:rFonts w:hint="eastAsia" w:ascii="仿宋_GB2312" w:eastAsia="仿宋_GB2312"/>
          <w:sz w:val="30"/>
          <w:szCs w:val="30"/>
          <w:lang w:val="en-US" w:eastAsia="zh-CN"/>
        </w:rPr>
        <w:t>2021</w:t>
      </w:r>
      <w:r>
        <w:rPr>
          <w:rFonts w:hint="eastAsia" w:ascii="仿宋_GB2312" w:eastAsia="仿宋_GB2312"/>
          <w:sz w:val="30"/>
          <w:szCs w:val="30"/>
        </w:rPr>
        <w:t>年度用于保障</w:t>
      </w:r>
      <w:r>
        <w:rPr>
          <w:rFonts w:hint="eastAsia" w:ascii="仿宋_GB2312" w:eastAsia="仿宋_GB2312"/>
          <w:sz w:val="30"/>
          <w:szCs w:val="30"/>
          <w:lang w:val="en-US" w:eastAsia="zh-CN"/>
        </w:rPr>
        <w:t>共青团盘龙区委</w:t>
      </w:r>
      <w:r>
        <w:rPr>
          <w:rFonts w:hint="eastAsia" w:ascii="仿宋_GB2312" w:eastAsia="仿宋_GB2312"/>
          <w:sz w:val="30"/>
          <w:szCs w:val="30"/>
        </w:rPr>
        <w:t>正常运转的日常支出</w:t>
      </w:r>
      <w:r>
        <w:rPr>
          <w:rFonts w:hint="eastAsia" w:ascii="仿宋_GB2312" w:eastAsia="仿宋_GB2312"/>
          <w:sz w:val="30"/>
          <w:szCs w:val="30"/>
          <w:lang w:val="en-US" w:eastAsia="zh-CN"/>
        </w:rPr>
        <w:t>79.72</w:t>
      </w:r>
      <w:r>
        <w:rPr>
          <w:rFonts w:hint="eastAsia" w:ascii="仿宋_GB2312" w:eastAsia="仿宋_GB2312"/>
          <w:sz w:val="30"/>
          <w:szCs w:val="30"/>
        </w:rPr>
        <w:t>万元。</w:t>
      </w:r>
      <w:r>
        <w:rPr>
          <w:rFonts w:hint="eastAsia" w:ascii="仿宋_GB2312" w:eastAsia="仿宋_GB2312"/>
          <w:sz w:val="30"/>
          <w:szCs w:val="30"/>
          <w:lang w:val="en-US" w:eastAsia="zh-CN"/>
        </w:rPr>
        <w:t>与上年对比</w:t>
      </w:r>
      <w:r>
        <w:rPr>
          <w:rFonts w:hint="eastAsia" w:ascii="仿宋_GB2312" w:eastAsia="仿宋_GB2312"/>
          <w:color w:val="auto"/>
          <w:sz w:val="30"/>
          <w:szCs w:val="30"/>
        </w:rPr>
        <w:t>增长</w:t>
      </w:r>
      <w:r>
        <w:rPr>
          <w:rFonts w:hint="eastAsia" w:ascii="仿宋_GB2312" w:eastAsia="仿宋_GB2312"/>
          <w:color w:val="auto"/>
          <w:sz w:val="30"/>
          <w:szCs w:val="30"/>
          <w:lang w:val="en-US" w:eastAsia="zh-CN"/>
        </w:rPr>
        <w:t>18.62万</w:t>
      </w:r>
      <w:r>
        <w:rPr>
          <w:rFonts w:hint="eastAsia" w:ascii="仿宋_GB2312" w:eastAsia="仿宋_GB2312"/>
          <w:color w:val="auto"/>
          <w:sz w:val="30"/>
          <w:szCs w:val="30"/>
        </w:rPr>
        <w:t>元，增长</w:t>
      </w:r>
      <w:r>
        <w:rPr>
          <w:rFonts w:hint="eastAsia" w:ascii="仿宋_GB2312" w:eastAsia="仿宋_GB2312"/>
          <w:color w:val="auto"/>
          <w:sz w:val="30"/>
          <w:szCs w:val="30"/>
          <w:lang w:val="en-US" w:eastAsia="zh-CN"/>
        </w:rPr>
        <w:t>30.47</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2020年12月单位新招录公务员1名，故相关</w:t>
      </w:r>
      <w:r>
        <w:rPr>
          <w:rFonts w:hint="eastAsia" w:ascii="仿宋_GB2312" w:eastAsia="仿宋_GB2312"/>
          <w:color w:val="auto"/>
          <w:sz w:val="30"/>
          <w:szCs w:val="30"/>
          <w:lang w:val="en-US" w:eastAsia="zh-CN"/>
        </w:rPr>
        <w:t>基本支出</w:t>
      </w:r>
      <w:r>
        <w:rPr>
          <w:rFonts w:hint="eastAsia" w:ascii="仿宋_GB2312" w:eastAsia="仿宋_GB2312"/>
          <w:color w:val="auto"/>
          <w:sz w:val="30"/>
          <w:szCs w:val="30"/>
        </w:rPr>
        <w:t>增加</w:t>
      </w:r>
      <w:r>
        <w:rPr>
          <w:rFonts w:hint="eastAsia" w:ascii="仿宋_GB2312" w:eastAsia="仿宋_GB2312"/>
          <w:color w:val="auto"/>
          <w:sz w:val="30"/>
          <w:szCs w:val="30"/>
          <w:lang w:eastAsia="zh-CN"/>
        </w:rPr>
        <w:t>。</w:t>
      </w:r>
      <w:r>
        <w:rPr>
          <w:rFonts w:hint="eastAsia" w:ascii="仿宋_GB2312" w:eastAsia="仿宋_GB2312"/>
          <w:sz w:val="30"/>
          <w:szCs w:val="30"/>
          <w:lang w:eastAsia="zh-CN"/>
        </w:rPr>
        <w:t>其中：</w:t>
      </w:r>
      <w:r>
        <w:rPr>
          <w:rFonts w:hint="eastAsia" w:ascii="仿宋_GB2312" w:eastAsia="仿宋_GB2312"/>
          <w:sz w:val="30"/>
          <w:szCs w:val="30"/>
        </w:rPr>
        <w:t>基本工资、津贴补贴等人员经费支出</w:t>
      </w:r>
      <w:r>
        <w:rPr>
          <w:rFonts w:hint="eastAsia" w:ascii="仿宋_GB2312" w:eastAsia="仿宋_GB2312"/>
          <w:sz w:val="30"/>
          <w:szCs w:val="30"/>
          <w:lang w:val="en-US" w:eastAsia="zh-CN"/>
        </w:rPr>
        <w:t>73.69</w:t>
      </w:r>
      <w:r>
        <w:rPr>
          <w:rFonts w:hint="eastAsia" w:ascii="仿宋_GB2312" w:eastAsia="仿宋_GB2312"/>
          <w:sz w:val="30"/>
          <w:szCs w:val="30"/>
        </w:rPr>
        <w:t>万元</w:t>
      </w:r>
      <w:r>
        <w:rPr>
          <w:rFonts w:hint="eastAsia" w:ascii="仿宋_GB2312" w:eastAsia="仿宋_GB2312"/>
          <w:sz w:val="30"/>
          <w:szCs w:val="30"/>
          <w:lang w:eastAsia="zh-CN"/>
        </w:rPr>
        <w:t>，</w:t>
      </w:r>
      <w:r>
        <w:rPr>
          <w:rFonts w:hint="eastAsia" w:ascii="仿宋_GB2312" w:eastAsia="仿宋_GB2312"/>
          <w:sz w:val="30"/>
          <w:szCs w:val="30"/>
        </w:rPr>
        <w:t>占基本支出的</w:t>
      </w:r>
      <w:r>
        <w:rPr>
          <w:rFonts w:hint="eastAsia" w:ascii="仿宋_GB2312" w:eastAsia="仿宋_GB2312"/>
          <w:sz w:val="30"/>
          <w:szCs w:val="30"/>
          <w:lang w:val="en-US" w:eastAsia="zh-CN"/>
        </w:rPr>
        <w:t>92.44</w:t>
      </w:r>
      <w:r>
        <w:rPr>
          <w:rFonts w:hint="eastAsia" w:ascii="仿宋_GB2312" w:eastAsia="仿宋_GB2312"/>
          <w:sz w:val="30"/>
          <w:szCs w:val="30"/>
        </w:rPr>
        <w:t>％；办公费、印刷费、水电费、办公设备购置等公用经费</w:t>
      </w:r>
      <w:r>
        <w:rPr>
          <w:rFonts w:hint="eastAsia" w:ascii="仿宋_GB2312" w:eastAsia="仿宋_GB2312"/>
          <w:sz w:val="30"/>
          <w:szCs w:val="30"/>
          <w:lang w:val="en-US" w:eastAsia="zh-CN"/>
        </w:rPr>
        <w:t>6.03</w:t>
      </w:r>
      <w:r>
        <w:rPr>
          <w:rFonts w:hint="eastAsia" w:ascii="仿宋_GB2312" w:eastAsia="仿宋_GB2312"/>
          <w:sz w:val="30"/>
          <w:szCs w:val="30"/>
        </w:rPr>
        <w:t>万元</w:t>
      </w:r>
      <w:r>
        <w:rPr>
          <w:rFonts w:hint="eastAsia" w:ascii="仿宋_GB2312" w:eastAsia="仿宋_GB2312"/>
          <w:sz w:val="30"/>
          <w:szCs w:val="30"/>
          <w:lang w:eastAsia="zh-CN"/>
        </w:rPr>
        <w:t>，</w:t>
      </w:r>
      <w:r>
        <w:rPr>
          <w:rFonts w:hint="eastAsia" w:ascii="仿宋_GB2312" w:eastAsia="仿宋_GB2312"/>
          <w:sz w:val="30"/>
          <w:szCs w:val="30"/>
        </w:rPr>
        <w:t>占基本支出的</w:t>
      </w:r>
      <w:r>
        <w:rPr>
          <w:rFonts w:hint="eastAsia" w:ascii="仿宋_GB2312" w:eastAsia="仿宋_GB2312"/>
          <w:sz w:val="30"/>
          <w:szCs w:val="30"/>
          <w:lang w:val="en-US" w:eastAsia="zh-CN"/>
        </w:rPr>
        <w:t>7.56</w:t>
      </w:r>
      <w:r>
        <w:rPr>
          <w:rFonts w:hint="eastAsia" w:ascii="仿宋_GB2312" w:eastAsia="仿宋_GB2312"/>
          <w:sz w:val="30"/>
          <w:szCs w:val="30"/>
        </w:rPr>
        <w:t>％。</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hint="eastAsia" w:ascii="楷体" w:hAnsi="楷体" w:eastAsia="楷体"/>
          <w:sz w:val="30"/>
          <w:szCs w:val="30"/>
        </w:rPr>
      </w:pPr>
      <w:r>
        <w:rPr>
          <w:rFonts w:hint="eastAsia" w:ascii="楷体" w:hAnsi="楷体" w:eastAsia="楷体"/>
          <w:sz w:val="30"/>
          <w:szCs w:val="30"/>
        </w:rPr>
        <w:t>（二）项目支出情况</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hint="eastAsia" w:ascii="仿宋_GB2312" w:eastAsia="仿宋_GB2312"/>
          <w:color w:val="auto"/>
          <w:sz w:val="30"/>
          <w:szCs w:val="30"/>
          <w:lang w:val="en-US" w:eastAsia="zh-CN"/>
        </w:rPr>
      </w:pPr>
      <w:r>
        <w:rPr>
          <w:rFonts w:hint="eastAsia" w:ascii="仿宋_GB2312" w:eastAsia="仿宋_GB2312"/>
          <w:sz w:val="30"/>
          <w:szCs w:val="30"/>
          <w:lang w:val="en-US" w:eastAsia="zh-CN"/>
        </w:rPr>
        <w:t>2021</w:t>
      </w:r>
      <w:r>
        <w:rPr>
          <w:rFonts w:hint="eastAsia" w:ascii="仿宋_GB2312" w:eastAsia="仿宋_GB2312"/>
          <w:sz w:val="30"/>
          <w:szCs w:val="30"/>
        </w:rPr>
        <w:t>年度用于保障</w:t>
      </w:r>
      <w:r>
        <w:rPr>
          <w:rFonts w:hint="eastAsia" w:ascii="仿宋_GB2312" w:eastAsia="仿宋_GB2312"/>
          <w:sz w:val="30"/>
          <w:szCs w:val="30"/>
          <w:lang w:val="en-US" w:eastAsia="zh-CN"/>
        </w:rPr>
        <w:t>共青团盘龙区委</w:t>
      </w:r>
      <w:r>
        <w:rPr>
          <w:rFonts w:hint="eastAsia" w:ascii="仿宋_GB2312" w:eastAsia="仿宋_GB2312"/>
          <w:sz w:val="30"/>
          <w:szCs w:val="30"/>
        </w:rPr>
        <w:t>为完成特定的行政工作任务或事业发展目标，用于专项业务工作的经费支出</w:t>
      </w:r>
      <w:r>
        <w:rPr>
          <w:rFonts w:hint="eastAsia" w:ascii="仿宋_GB2312" w:eastAsia="仿宋_GB2312"/>
          <w:sz w:val="30"/>
          <w:szCs w:val="30"/>
          <w:lang w:val="en-US" w:eastAsia="zh-CN"/>
        </w:rPr>
        <w:t>146.54</w:t>
      </w:r>
      <w:r>
        <w:rPr>
          <w:rFonts w:hint="eastAsia" w:ascii="仿宋_GB2312" w:eastAsia="仿宋_GB2312"/>
          <w:sz w:val="30"/>
          <w:szCs w:val="30"/>
        </w:rPr>
        <w:t>万元。</w:t>
      </w:r>
      <w:r>
        <w:rPr>
          <w:rFonts w:hint="eastAsia" w:ascii="仿宋_GB2312" w:eastAsia="仿宋_GB2312"/>
          <w:sz w:val="30"/>
          <w:szCs w:val="30"/>
          <w:lang w:val="en-US" w:eastAsia="zh-CN"/>
        </w:rPr>
        <w:t>与上年对比</w:t>
      </w:r>
      <w:r>
        <w:rPr>
          <w:rFonts w:hint="eastAsia" w:ascii="仿宋_GB2312" w:eastAsia="仿宋_GB2312"/>
          <w:color w:val="auto"/>
          <w:sz w:val="30"/>
          <w:szCs w:val="30"/>
        </w:rPr>
        <w:t>增长</w:t>
      </w:r>
      <w:r>
        <w:rPr>
          <w:rFonts w:hint="eastAsia" w:ascii="仿宋_GB2312" w:eastAsia="仿宋_GB2312"/>
          <w:color w:val="auto"/>
          <w:sz w:val="30"/>
          <w:szCs w:val="30"/>
          <w:lang w:val="en-US" w:eastAsia="zh-CN"/>
        </w:rPr>
        <w:t>50.58</w:t>
      </w:r>
      <w:r>
        <w:rPr>
          <w:rFonts w:hint="eastAsia" w:ascii="仿宋_GB2312" w:eastAsia="仿宋_GB2312"/>
          <w:color w:val="auto"/>
          <w:sz w:val="30"/>
          <w:szCs w:val="30"/>
        </w:rPr>
        <w:t>万元，增长</w:t>
      </w:r>
      <w:r>
        <w:rPr>
          <w:rFonts w:hint="eastAsia" w:ascii="仿宋_GB2312" w:eastAsia="仿宋_GB2312"/>
          <w:color w:val="auto"/>
          <w:sz w:val="30"/>
          <w:szCs w:val="30"/>
          <w:lang w:val="en-US" w:eastAsia="zh-CN"/>
        </w:rPr>
        <w:t>52.93</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根据盘财追（2021）2号、昆财行〔2020〕264号、昆财行〔2020〕28号、盘财行追〔2021〕61号、昆财行〔2021〕110号等文件，西部计划项目经费</w:t>
      </w:r>
      <w:r>
        <w:rPr>
          <w:rFonts w:hint="eastAsia" w:ascii="仿宋_GB2312" w:eastAsia="仿宋_GB2312"/>
          <w:color w:val="auto"/>
          <w:sz w:val="30"/>
          <w:szCs w:val="30"/>
          <w:lang w:val="en-US" w:eastAsia="zh-CN"/>
        </w:rPr>
        <w:t>增加及非财政拨款预算项目经费增加</w:t>
      </w:r>
      <w:r>
        <w:rPr>
          <w:rFonts w:hint="eastAsia" w:ascii="仿宋_GB2312" w:eastAsia="仿宋_GB2312"/>
          <w:color w:val="auto"/>
          <w:sz w:val="30"/>
          <w:szCs w:val="30"/>
        </w:rPr>
        <w:t>。项目</w:t>
      </w:r>
      <w:r>
        <w:rPr>
          <w:rFonts w:hint="eastAsia" w:ascii="仿宋_GB2312" w:eastAsia="仿宋_GB2312"/>
          <w:color w:val="auto"/>
          <w:sz w:val="30"/>
          <w:szCs w:val="30"/>
          <w:lang w:val="en-US" w:eastAsia="zh-CN"/>
        </w:rPr>
        <w:t>支出主要用于完成团区委日常工作、预防未成年人违法犯罪工作、基层街道团组织建设工作、五四青年节活动、关心下一代工作、西部计划相关工作等</w:t>
      </w:r>
      <w:r>
        <w:rPr>
          <w:rFonts w:hint="eastAsia" w:ascii="仿宋_GB2312" w:eastAsia="仿宋_GB2312"/>
          <w:color w:val="auto"/>
          <w:sz w:val="30"/>
          <w:szCs w:val="30"/>
          <w:lang w:eastAsia="zh-CN"/>
        </w:rPr>
        <w:t>。</w:t>
      </w:r>
    </w:p>
    <w:p>
      <w:pPr>
        <w:keepNext w:val="0"/>
        <w:keepLines w:val="0"/>
        <w:pageBreakBefore w:val="0"/>
        <w:kinsoku/>
        <w:wordWrap/>
        <w:overflowPunct/>
        <w:topLinePunct w:val="0"/>
        <w:autoSpaceDE/>
        <w:autoSpaceDN/>
        <w:bidi w:val="0"/>
        <w:spacing w:line="600" w:lineRule="exact"/>
        <w:ind w:firstLine="600" w:firstLineChars="200"/>
        <w:rPr>
          <w:rFonts w:hint="default" w:ascii="仿宋_GB2312" w:hAnsi="Times New Roman" w:eastAsia="仿宋_GB2312" w:cs="Times New Roman"/>
          <w:color w:val="FF0000"/>
          <w:sz w:val="30"/>
          <w:szCs w:val="30"/>
          <w:lang w:val="en-US" w:eastAsia="zh-CN"/>
        </w:rPr>
      </w:pP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1"/>
        <w:rPr>
          <w:rFonts w:hint="eastAsia" w:ascii="黑体" w:hAnsi="黑体" w:eastAsia="黑体"/>
          <w:sz w:val="30"/>
          <w:szCs w:val="30"/>
        </w:rPr>
      </w:pPr>
      <w:r>
        <w:rPr>
          <w:rFonts w:hint="eastAsia" w:ascii="黑体" w:hAnsi="黑体" w:eastAsia="黑体"/>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hint="eastAsia" w:ascii="楷体" w:hAnsi="楷体" w:eastAsia="楷体"/>
          <w:sz w:val="30"/>
          <w:szCs w:val="30"/>
        </w:rPr>
      </w:pPr>
      <w:r>
        <w:rPr>
          <w:rFonts w:hint="eastAsia" w:ascii="楷体" w:hAnsi="楷体" w:eastAsia="楷体"/>
          <w:sz w:val="30"/>
          <w:szCs w:val="30"/>
        </w:rPr>
        <w:t>（一）一般公共预算财政拨款支出决算总体情况</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rPr>
          <w:rFonts w:hint="default" w:ascii="仿宋_GB2312" w:hAnsi="Times New Roman" w:eastAsia="仿宋_GB2312" w:cs="Times New Roman"/>
          <w:color w:val="FF0000"/>
          <w:sz w:val="30"/>
          <w:szCs w:val="30"/>
          <w:lang w:val="en-US" w:eastAsia="zh-CN"/>
        </w:rPr>
      </w:pPr>
      <w:r>
        <w:rPr>
          <w:rFonts w:hint="eastAsia" w:ascii="仿宋_GB2312" w:eastAsia="仿宋_GB2312"/>
          <w:sz w:val="30"/>
          <w:szCs w:val="30"/>
          <w:lang w:val="en-US" w:eastAsia="zh-CN"/>
        </w:rPr>
        <w:t>共青团盘龙区委2021</w:t>
      </w:r>
      <w:r>
        <w:rPr>
          <w:rFonts w:hint="eastAsia" w:ascii="仿宋_GB2312" w:eastAsia="仿宋_GB2312"/>
          <w:sz w:val="30"/>
          <w:szCs w:val="30"/>
        </w:rPr>
        <w:t>年度一般公共预算财政拨款支出</w:t>
      </w:r>
      <w:r>
        <w:rPr>
          <w:rFonts w:hint="eastAsia" w:ascii="仿宋_GB2312" w:hAnsi="宋体" w:eastAsia="仿宋_GB2312" w:cs="Arial"/>
          <w:kern w:val="0"/>
          <w:sz w:val="30"/>
          <w:szCs w:val="30"/>
          <w:lang w:val="en-US" w:eastAsia="zh-CN"/>
        </w:rPr>
        <w:t>184.81</w:t>
      </w:r>
      <w:r>
        <w:rPr>
          <w:rFonts w:hint="eastAsia" w:ascii="仿宋_GB2312" w:hAnsi="宋体" w:eastAsia="仿宋_GB2312" w:cs="Arial"/>
          <w:kern w:val="0"/>
          <w:sz w:val="30"/>
          <w:szCs w:val="30"/>
        </w:rPr>
        <w:t>万元,占本年支出合计的</w:t>
      </w:r>
      <w:r>
        <w:rPr>
          <w:rFonts w:hint="eastAsia" w:ascii="仿宋_GB2312" w:eastAsia="仿宋_GB2312"/>
          <w:sz w:val="30"/>
          <w:szCs w:val="30"/>
          <w:lang w:val="en-US" w:eastAsia="zh-CN"/>
        </w:rPr>
        <w:t>81.68</w:t>
      </w:r>
      <w:r>
        <w:rPr>
          <w:rFonts w:hint="eastAsia" w:ascii="仿宋_GB2312" w:hAnsi="宋体" w:eastAsia="仿宋_GB2312" w:cs="Arial"/>
          <w:kern w:val="0"/>
          <w:sz w:val="30"/>
          <w:szCs w:val="30"/>
        </w:rPr>
        <w:t>%。</w:t>
      </w:r>
      <w:r>
        <w:rPr>
          <w:rFonts w:hint="eastAsia" w:ascii="仿宋_GB2312" w:eastAsia="仿宋_GB2312"/>
          <w:sz w:val="30"/>
          <w:szCs w:val="30"/>
          <w:lang w:val="en-US" w:eastAsia="zh-CN"/>
        </w:rPr>
        <w:t>与上年对比</w:t>
      </w:r>
      <w:r>
        <w:rPr>
          <w:rFonts w:hint="eastAsia" w:ascii="仿宋_GB2312" w:eastAsia="仿宋_GB2312"/>
          <w:color w:val="auto"/>
          <w:sz w:val="30"/>
          <w:szCs w:val="30"/>
        </w:rPr>
        <w:t>增长</w:t>
      </w:r>
      <w:r>
        <w:rPr>
          <w:rFonts w:hint="eastAsia" w:ascii="仿宋_GB2312" w:eastAsia="仿宋_GB2312"/>
          <w:color w:val="auto"/>
          <w:sz w:val="30"/>
          <w:szCs w:val="30"/>
          <w:lang w:val="en-US" w:eastAsia="zh-CN"/>
        </w:rPr>
        <w:t>27.74</w:t>
      </w:r>
      <w:r>
        <w:rPr>
          <w:rFonts w:hint="eastAsia" w:ascii="仿宋_GB2312" w:eastAsia="仿宋_GB2312"/>
          <w:color w:val="auto"/>
          <w:sz w:val="30"/>
          <w:szCs w:val="30"/>
        </w:rPr>
        <w:t>万元，增长</w:t>
      </w:r>
      <w:r>
        <w:rPr>
          <w:rFonts w:hint="eastAsia" w:ascii="仿宋_GB2312" w:eastAsia="仿宋_GB2312"/>
          <w:color w:val="auto"/>
          <w:sz w:val="30"/>
          <w:szCs w:val="30"/>
          <w:lang w:val="en-US" w:eastAsia="zh-CN"/>
        </w:rPr>
        <w:t>17.67</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2020年12月单位新招录公务员1名，故相关人员经费增加</w:t>
      </w:r>
      <w:r>
        <w:rPr>
          <w:rFonts w:hint="eastAsia" w:ascii="仿宋_GB2312" w:hAnsi="宋体" w:eastAsia="仿宋_GB2312" w:cs="Arial"/>
          <w:color w:val="auto"/>
          <w:kern w:val="0"/>
          <w:sz w:val="30"/>
          <w:szCs w:val="30"/>
        </w:rPr>
        <w:t>。</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hint="eastAsia" w:ascii="楷体" w:hAnsi="楷体" w:eastAsia="楷体"/>
          <w:sz w:val="30"/>
          <w:szCs w:val="30"/>
        </w:rPr>
      </w:pPr>
      <w:r>
        <w:rPr>
          <w:rFonts w:hint="eastAsia" w:ascii="楷体" w:hAnsi="楷体" w:eastAsia="楷体"/>
          <w:sz w:val="30"/>
          <w:szCs w:val="30"/>
        </w:rPr>
        <w:t>（二）一般公共预算财政拨款支出决算具体情况</w:t>
      </w:r>
      <w:r>
        <w:rPr>
          <w:rFonts w:hint="eastAsia" w:ascii="楷体" w:hAnsi="楷体" w:eastAsia="楷体"/>
          <w:sz w:val="30"/>
          <w:szCs w:val="30"/>
        </w:rPr>
        <w:tab/>
      </w:r>
      <w:r>
        <w:rPr>
          <w:rFonts w:hint="eastAsia" w:ascii="楷体" w:hAnsi="楷体" w:eastAsia="楷体"/>
          <w:sz w:val="30"/>
          <w:szCs w:val="30"/>
        </w:rPr>
        <w:tab/>
      </w:r>
      <w:r>
        <w:rPr>
          <w:rFonts w:hint="eastAsia" w:ascii="楷体" w:hAnsi="楷体" w:eastAsia="楷体"/>
          <w:sz w:val="30"/>
          <w:szCs w:val="30"/>
        </w:rPr>
        <w:tab/>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eastAsia="仿宋_GB2312"/>
          <w:color w:val="auto"/>
          <w:sz w:val="30"/>
          <w:szCs w:val="30"/>
          <w:highlight w:val="none"/>
          <w:lang w:val="en-US" w:eastAsia="zh-CN"/>
        </w:rPr>
      </w:pPr>
      <w:r>
        <w:rPr>
          <w:rFonts w:hint="eastAsia" w:ascii="仿宋_GB2312" w:hAnsi="宋体" w:eastAsia="仿宋_GB2312" w:cs="Arial"/>
          <w:kern w:val="0"/>
          <w:sz w:val="30"/>
          <w:szCs w:val="30"/>
        </w:rPr>
        <w:t>1.一般公共服务（类）支出</w:t>
      </w:r>
      <w:r>
        <w:rPr>
          <w:rFonts w:hint="eastAsia" w:ascii="仿宋_GB2312" w:hAnsi="宋体" w:eastAsia="仿宋_GB2312" w:cs="Arial"/>
          <w:kern w:val="0"/>
          <w:sz w:val="30"/>
          <w:szCs w:val="30"/>
          <w:lang w:val="en-US" w:eastAsia="zh-CN"/>
        </w:rPr>
        <w:t>168.76</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91.32</w:t>
      </w:r>
      <w:r>
        <w:rPr>
          <w:rFonts w:hint="eastAsia" w:ascii="仿宋_GB2312" w:eastAsia="仿宋_GB2312"/>
          <w:sz w:val="30"/>
          <w:szCs w:val="30"/>
        </w:rPr>
        <w:t>%。</w:t>
      </w:r>
      <w:r>
        <w:rPr>
          <w:rFonts w:hint="eastAsia" w:ascii="仿宋_GB2312" w:hAnsi="宋体" w:eastAsia="仿宋_GB2312" w:cs="Arial"/>
          <w:kern w:val="0"/>
          <w:sz w:val="30"/>
          <w:szCs w:val="30"/>
        </w:rPr>
        <w:t>主要用于</w:t>
      </w:r>
      <w:r>
        <w:rPr>
          <w:rFonts w:hint="eastAsia" w:ascii="仿宋_GB2312" w:eastAsia="仿宋_GB2312"/>
          <w:color w:val="auto"/>
          <w:sz w:val="30"/>
          <w:szCs w:val="30"/>
          <w:highlight w:val="none"/>
          <w:lang w:val="en-US" w:eastAsia="zh-CN"/>
        </w:rPr>
        <w:t>团区委人员工资福利发放，单位日常运转所需水电费、差旅费、办公费等支出；</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hAnsi="宋体" w:eastAsia="仿宋_GB2312" w:cs="Arial"/>
          <w:kern w:val="0"/>
          <w:sz w:val="30"/>
          <w:szCs w:val="30"/>
          <w:lang w:val="en-US" w:eastAsia="zh-CN"/>
        </w:rPr>
      </w:pPr>
      <w:r>
        <w:rPr>
          <w:rFonts w:hint="eastAsia" w:ascii="仿宋_GB2312" w:eastAsia="仿宋_GB2312"/>
          <w:color w:val="auto"/>
          <w:sz w:val="30"/>
          <w:szCs w:val="30"/>
          <w:highlight w:val="none"/>
          <w:lang w:val="en-US" w:eastAsia="zh-CN"/>
        </w:rPr>
        <w:t>2.社会保障和就业支出5.46万元，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2.95</w:t>
      </w:r>
      <w:r>
        <w:rPr>
          <w:rFonts w:hint="eastAsia" w:ascii="仿宋_GB2312" w:eastAsia="仿宋_GB2312"/>
          <w:sz w:val="30"/>
          <w:szCs w:val="30"/>
        </w:rPr>
        <w:t>%。</w:t>
      </w:r>
      <w:r>
        <w:rPr>
          <w:rFonts w:hint="eastAsia" w:ascii="仿宋_GB2312" w:hAnsi="宋体" w:eastAsia="仿宋_GB2312" w:cs="Arial"/>
          <w:kern w:val="0"/>
          <w:sz w:val="30"/>
          <w:szCs w:val="30"/>
          <w:lang w:val="en-US" w:eastAsia="zh-CN"/>
        </w:rPr>
        <w:t>主要用于单位人员社会保险缴纳；</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3.卫生健康支出4.88万元，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2.64</w:t>
      </w:r>
      <w:r>
        <w:rPr>
          <w:rFonts w:hint="eastAsia" w:ascii="仿宋_GB2312" w:eastAsia="仿宋_GB2312"/>
          <w:sz w:val="30"/>
          <w:szCs w:val="30"/>
        </w:rPr>
        <w:t>%。</w:t>
      </w:r>
      <w:r>
        <w:rPr>
          <w:rFonts w:hint="eastAsia" w:ascii="仿宋_GB2312" w:hAnsi="宋体" w:eastAsia="仿宋_GB2312" w:cs="Arial"/>
          <w:kern w:val="0"/>
          <w:sz w:val="30"/>
          <w:szCs w:val="30"/>
          <w:lang w:val="en-US" w:eastAsia="zh-CN"/>
        </w:rPr>
        <w:t>主要用于单位人员医疗保险缴纳；</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4.</w:t>
      </w:r>
      <w:r>
        <w:rPr>
          <w:rFonts w:hint="default" w:ascii="仿宋_GB2312" w:hAnsi="宋体" w:eastAsia="仿宋_GB2312" w:cs="Arial"/>
          <w:kern w:val="0"/>
          <w:sz w:val="30"/>
          <w:szCs w:val="30"/>
          <w:lang w:val="en-US" w:eastAsia="zh-CN"/>
        </w:rPr>
        <w:t>住房保障支出</w:t>
      </w:r>
      <w:r>
        <w:rPr>
          <w:rFonts w:hint="eastAsia" w:ascii="仿宋_GB2312" w:hAnsi="宋体" w:eastAsia="仿宋_GB2312" w:cs="Arial"/>
          <w:kern w:val="0"/>
          <w:sz w:val="30"/>
          <w:szCs w:val="30"/>
          <w:lang w:val="en-US" w:eastAsia="zh-CN"/>
        </w:rPr>
        <w:t>5.91万元，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3.2</w:t>
      </w:r>
      <w:r>
        <w:rPr>
          <w:rFonts w:hint="eastAsia" w:ascii="仿宋_GB2312" w:eastAsia="仿宋_GB2312"/>
          <w:sz w:val="30"/>
          <w:szCs w:val="30"/>
        </w:rPr>
        <w:t>%。</w:t>
      </w:r>
      <w:r>
        <w:rPr>
          <w:rFonts w:hint="eastAsia" w:ascii="仿宋_GB2312" w:hAnsi="宋体" w:eastAsia="仿宋_GB2312" w:cs="Arial"/>
          <w:kern w:val="0"/>
          <w:sz w:val="30"/>
          <w:szCs w:val="30"/>
          <w:lang w:val="en-US" w:eastAsia="zh-CN"/>
        </w:rPr>
        <w:t>主要用于单位人员住房公积金缴纳。</w:t>
      </w:r>
      <w:bookmarkStart w:id="0" w:name="_GoBack"/>
      <w:bookmarkEnd w:id="0"/>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hAnsi="宋体" w:eastAsia="仿宋_GB2312" w:cs="Arial"/>
          <w:color w:val="FF0000"/>
          <w:kern w:val="0"/>
          <w:sz w:val="30"/>
          <w:szCs w:val="30"/>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hint="eastAsia" w:ascii="黑体" w:hAnsi="黑体" w:eastAsia="黑体"/>
          <w:sz w:val="30"/>
          <w:szCs w:val="30"/>
        </w:rPr>
      </w:pPr>
      <w:r>
        <w:rPr>
          <w:rFonts w:hint="eastAsia" w:ascii="黑体" w:hAnsi="黑体" w:eastAsia="黑体"/>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2"/>
        <w:rPr>
          <w:rFonts w:hint="eastAsia" w:ascii="楷体" w:hAnsi="楷体" w:eastAsia="楷体"/>
          <w:sz w:val="30"/>
          <w:szCs w:val="30"/>
        </w:rPr>
      </w:pPr>
      <w:r>
        <w:rPr>
          <w:rFonts w:hint="eastAsia" w:ascii="楷体" w:hAnsi="楷体" w:eastAsia="楷体"/>
          <w:sz w:val="30"/>
          <w:szCs w:val="30"/>
        </w:rPr>
        <w:t>(一)</w:t>
      </w:r>
      <w:r>
        <w:rPr>
          <w:rFonts w:hint="eastAsia" w:ascii="黑体" w:hAnsi="黑体" w:eastAsia="黑体"/>
          <w:sz w:val="30"/>
          <w:szCs w:val="30"/>
        </w:rPr>
        <w:t xml:space="preserve"> </w:t>
      </w:r>
      <w:r>
        <w:rPr>
          <w:rFonts w:hint="eastAsia" w:ascii="楷体" w:hAnsi="楷体" w:eastAsia="楷体"/>
          <w:sz w:val="30"/>
          <w:szCs w:val="30"/>
        </w:rPr>
        <w:t>一般公共预算财政拨款“三公”经费支出决算总体情况</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default" w:ascii="仿宋_GB2312" w:hAnsi="Times New Roman" w:eastAsia="仿宋_GB2312" w:cs="Times New Roman"/>
          <w:color w:val="FF0000"/>
          <w:sz w:val="30"/>
          <w:szCs w:val="30"/>
          <w:lang w:val="en-US" w:eastAsia="zh-CN"/>
        </w:rPr>
      </w:pPr>
      <w:r>
        <w:rPr>
          <w:rFonts w:hint="eastAsia" w:ascii="仿宋_GB2312" w:eastAsia="仿宋_GB2312"/>
          <w:sz w:val="30"/>
          <w:szCs w:val="30"/>
          <w:lang w:val="en-US" w:eastAsia="zh-CN"/>
        </w:rPr>
        <w:t>共青团盘龙区委2021</w:t>
      </w:r>
      <w:r>
        <w:rPr>
          <w:rFonts w:hint="eastAsia" w:ascii="仿宋_GB2312" w:eastAsia="仿宋_GB2312"/>
          <w:sz w:val="30"/>
          <w:szCs w:val="30"/>
        </w:rPr>
        <w:t>年度一般公共预算财政拨款“三公”经费支出预算为</w:t>
      </w:r>
      <w:r>
        <w:rPr>
          <w:rFonts w:hint="eastAsia" w:ascii="仿宋_GB2312" w:eastAsia="仿宋_GB2312"/>
          <w:sz w:val="30"/>
          <w:szCs w:val="30"/>
          <w:lang w:val="en-US" w:eastAsia="zh-CN"/>
        </w:rPr>
        <w:t>0.95</w:t>
      </w:r>
      <w:r>
        <w:rPr>
          <w:rFonts w:hint="eastAsia" w:ascii="仿宋_GB2312" w:eastAsia="仿宋_GB2312"/>
          <w:sz w:val="30"/>
          <w:szCs w:val="30"/>
        </w:rPr>
        <w:t>万元，支出决算为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%。其中：因公出国（境）费支出决算为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%；公务接待费支出决算为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w:t>
      </w: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年度一般公共预算财政拨款“三公”经费支出决算数</w:t>
      </w:r>
      <w:r>
        <w:rPr>
          <w:rFonts w:hint="eastAsia" w:ascii="仿宋_GB2312" w:eastAsia="仿宋_GB2312"/>
          <w:sz w:val="30"/>
          <w:szCs w:val="30"/>
          <w:lang w:val="en-US" w:eastAsia="zh-CN"/>
        </w:rPr>
        <w:t>小于</w:t>
      </w:r>
      <w:r>
        <w:rPr>
          <w:rFonts w:hint="eastAsia" w:ascii="仿宋_GB2312" w:eastAsia="仿宋_GB2312"/>
          <w:sz w:val="30"/>
          <w:szCs w:val="30"/>
        </w:rPr>
        <w:t>预算数</w:t>
      </w:r>
      <w:r>
        <w:rPr>
          <w:rFonts w:hint="eastAsia" w:ascii="仿宋_GB2312" w:eastAsia="仿宋_GB2312"/>
          <w:sz w:val="30"/>
          <w:szCs w:val="30"/>
          <w:lang w:eastAsia="zh-CN"/>
        </w:rPr>
        <w:t>，</w:t>
      </w:r>
      <w:r>
        <w:rPr>
          <w:rFonts w:hint="eastAsia" w:ascii="仿宋_GB2312" w:eastAsia="仿宋_GB2312"/>
          <w:sz w:val="30"/>
          <w:szCs w:val="30"/>
          <w:lang w:val="en-US" w:eastAsia="zh-CN"/>
        </w:rPr>
        <w:t>原因是我单位2021年无相关公务接待活动。</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eastAsia="仿宋_GB2312"/>
          <w:color w:val="auto"/>
          <w:sz w:val="30"/>
          <w:szCs w:val="30"/>
        </w:rPr>
      </w:pP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年度一般公共预算财政拨款“三公”经费支出决算数比</w:t>
      </w:r>
      <w:r>
        <w:rPr>
          <w:rFonts w:hint="eastAsia" w:ascii="仿宋_GB2312" w:eastAsia="仿宋_GB2312"/>
          <w:sz w:val="30"/>
          <w:szCs w:val="30"/>
          <w:lang w:val="en-US" w:eastAsia="zh-CN"/>
        </w:rPr>
        <w:t>2020</w:t>
      </w:r>
      <w:r>
        <w:rPr>
          <w:rFonts w:hint="eastAsia" w:ascii="仿宋_GB2312" w:eastAsia="仿宋_GB2312"/>
          <w:sz w:val="30"/>
          <w:szCs w:val="30"/>
        </w:rPr>
        <w:t>年增加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%。其中：因公出国（境）费支出决算增加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%；公务接待费支出决算增加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w:t>
      </w: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w:t>
      </w:r>
      <w:r>
        <w:rPr>
          <w:rFonts w:hint="eastAsia" w:ascii="仿宋_GB2312" w:eastAsia="仿宋_GB2312"/>
          <w:color w:val="auto"/>
          <w:sz w:val="30"/>
          <w:szCs w:val="30"/>
        </w:rPr>
        <w:t>决算与上年持平的主要原因</w:t>
      </w:r>
      <w:r>
        <w:rPr>
          <w:rFonts w:hint="eastAsia" w:ascii="仿宋_GB2312" w:eastAsia="仿宋_GB2312"/>
          <w:color w:val="auto"/>
          <w:sz w:val="30"/>
          <w:szCs w:val="30"/>
          <w:highlight w:val="none"/>
          <w:lang w:val="en-US" w:eastAsia="zh-CN"/>
        </w:rPr>
        <w:t>是：团区委无三公经费支出需求</w:t>
      </w:r>
      <w:r>
        <w:rPr>
          <w:rFonts w:hint="eastAsia" w:ascii="仿宋_GB2312" w:eastAsia="仿宋_GB2312"/>
          <w:color w:val="auto"/>
          <w:sz w:val="30"/>
          <w:szCs w:val="30"/>
        </w:rPr>
        <w:t>。</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2"/>
        <w:rPr>
          <w:rFonts w:hint="eastAsia" w:ascii="楷体" w:hAnsi="楷体" w:eastAsia="楷体"/>
          <w:sz w:val="30"/>
          <w:szCs w:val="30"/>
        </w:rPr>
      </w:pPr>
      <w:r>
        <w:rPr>
          <w:rFonts w:hint="eastAsia" w:ascii="楷体" w:hAnsi="楷体" w:eastAsia="楷体"/>
          <w:sz w:val="30"/>
          <w:szCs w:val="30"/>
        </w:rPr>
        <w:t>(二)</w:t>
      </w:r>
      <w:r>
        <w:rPr>
          <w:rFonts w:hint="eastAsia" w:ascii="仿宋_GB2312" w:eastAsia="仿宋_GB2312"/>
          <w:sz w:val="30"/>
          <w:szCs w:val="30"/>
        </w:rPr>
        <w:t xml:space="preserve"> </w:t>
      </w:r>
      <w:r>
        <w:rPr>
          <w:rFonts w:hint="eastAsia" w:ascii="楷体" w:hAnsi="楷体" w:eastAsia="楷体"/>
          <w:sz w:val="30"/>
          <w:szCs w:val="30"/>
        </w:rPr>
        <w:t>一般公共预算财政拨款“三公”经费支出决算具体情况</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eastAsia="仿宋_GB2312"/>
          <w:sz w:val="30"/>
          <w:szCs w:val="30"/>
        </w:rPr>
      </w:pP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年度一般公共预算财政拨款“三公”经费支出决算中，因公出国（境）费支出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%；公务用车购置及运行维护费支出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%；公务接待费支出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%。具体情况如下：</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default" w:ascii="仿宋_GB2312" w:hAnsi="Times New Roman" w:eastAsia="仿宋_GB2312" w:cs="Times New Roman"/>
          <w:color w:val="FF0000"/>
          <w:sz w:val="30"/>
          <w:szCs w:val="30"/>
          <w:lang w:val="en-US" w:eastAsia="zh-CN"/>
        </w:rPr>
      </w:pPr>
      <w:r>
        <w:rPr>
          <w:rFonts w:hint="eastAsia" w:ascii="仿宋_GB2312" w:eastAsia="仿宋_GB2312"/>
          <w:b/>
          <w:sz w:val="30"/>
          <w:szCs w:val="30"/>
        </w:rPr>
        <w:t>1.因公出国（境）费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万元，共安排因公出国（境）团组</w:t>
      </w:r>
      <w:r>
        <w:rPr>
          <w:rFonts w:hint="eastAsia" w:ascii="仿宋_GB2312" w:eastAsia="仿宋_GB2312"/>
          <w:sz w:val="30"/>
          <w:szCs w:val="30"/>
          <w:lang w:val="en-US" w:eastAsia="zh-CN"/>
        </w:rPr>
        <w:t>0</w:t>
      </w:r>
      <w:r>
        <w:rPr>
          <w:rFonts w:hint="eastAsia" w:ascii="仿宋_GB2312" w:eastAsia="仿宋_GB2312"/>
          <w:sz w:val="30"/>
          <w:szCs w:val="30"/>
        </w:rPr>
        <w:t>个，累计</w:t>
      </w:r>
      <w:r>
        <w:rPr>
          <w:rFonts w:hint="eastAsia" w:ascii="仿宋_GB2312" w:eastAsia="仿宋_GB2312"/>
          <w:sz w:val="30"/>
          <w:szCs w:val="30"/>
          <w:lang w:val="en-US" w:eastAsia="zh-CN"/>
        </w:rPr>
        <w:t>0</w:t>
      </w:r>
      <w:r>
        <w:rPr>
          <w:rFonts w:hint="eastAsia" w:ascii="仿宋_GB2312" w:eastAsia="仿宋_GB2312"/>
          <w:sz w:val="30"/>
          <w:szCs w:val="30"/>
        </w:rPr>
        <w:t>人次。开展内容包括：</w:t>
      </w:r>
      <w:r>
        <w:rPr>
          <w:rFonts w:hint="eastAsia" w:ascii="仿宋_GB2312" w:eastAsia="仿宋_GB2312"/>
          <w:sz w:val="30"/>
          <w:szCs w:val="30"/>
          <w:lang w:val="en-US" w:eastAsia="zh-CN"/>
        </w:rPr>
        <w:t>未开展</w:t>
      </w:r>
      <w:r>
        <w:rPr>
          <w:rFonts w:hint="eastAsia" w:ascii="仿宋_GB2312" w:eastAsia="仿宋_GB2312"/>
          <w:sz w:val="30"/>
          <w:szCs w:val="30"/>
        </w:rPr>
        <w:t>。</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2. 公务用车购置及运行维护费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公务用车购置</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万元，购置车辆</w:t>
      </w:r>
      <w:r>
        <w:rPr>
          <w:rFonts w:hint="eastAsia" w:ascii="仿宋_GB2312" w:eastAsia="仿宋_GB2312"/>
          <w:sz w:val="30"/>
          <w:szCs w:val="30"/>
          <w:lang w:val="en-US" w:eastAsia="zh-CN"/>
        </w:rPr>
        <w:t>0</w:t>
      </w:r>
      <w:r>
        <w:rPr>
          <w:rFonts w:hint="eastAsia" w:ascii="仿宋_GB2312" w:eastAsia="仿宋_GB2312"/>
          <w:sz w:val="30"/>
          <w:szCs w:val="30"/>
        </w:rPr>
        <w:t>辆。</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hAnsi="Times New Roman" w:eastAsia="仿宋_GB2312" w:cs="Times New Roman"/>
          <w:color w:val="FF0000"/>
          <w:sz w:val="30"/>
          <w:szCs w:val="30"/>
          <w:lang w:val="en-US" w:eastAsia="zh-CN"/>
        </w:rPr>
      </w:pPr>
      <w:r>
        <w:rPr>
          <w:rFonts w:hint="eastAsia" w:ascii="仿宋_GB2312" w:eastAsia="仿宋_GB2312"/>
          <w:b/>
          <w:sz w:val="30"/>
          <w:szCs w:val="30"/>
        </w:rPr>
        <w:t>公务用车运行维护</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万元，开支一般公共预算财政拨款的公务用车保有量为</w:t>
      </w:r>
      <w:r>
        <w:rPr>
          <w:rFonts w:hint="eastAsia" w:ascii="仿宋_GB2312" w:eastAsia="仿宋_GB2312"/>
          <w:sz w:val="30"/>
          <w:szCs w:val="30"/>
          <w:lang w:val="en-US" w:eastAsia="zh-CN"/>
        </w:rPr>
        <w:t>0</w:t>
      </w:r>
      <w:r>
        <w:rPr>
          <w:rFonts w:hint="eastAsia" w:ascii="仿宋_GB2312" w:eastAsia="仿宋_GB2312"/>
          <w:sz w:val="30"/>
          <w:szCs w:val="30"/>
        </w:rPr>
        <w:t>辆。</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3.公务接待费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国内接待费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万元（其中：外事接待费支出</w:t>
      </w:r>
      <w:r>
        <w:rPr>
          <w:rFonts w:hint="eastAsia" w:ascii="仿宋_GB2312" w:eastAsia="仿宋_GB2312"/>
          <w:sz w:val="30"/>
          <w:szCs w:val="30"/>
          <w:lang w:val="en-US" w:eastAsia="zh-CN"/>
        </w:rPr>
        <w:t>0</w:t>
      </w:r>
      <w:r>
        <w:rPr>
          <w:rFonts w:hint="eastAsia" w:ascii="仿宋_GB2312" w:eastAsia="仿宋_GB2312"/>
          <w:sz w:val="30"/>
          <w:szCs w:val="30"/>
        </w:rPr>
        <w:t>万元），共安排国内公务接待</w:t>
      </w:r>
      <w:r>
        <w:rPr>
          <w:rFonts w:hint="eastAsia" w:ascii="仿宋_GB2312" w:eastAsia="仿宋_GB2312"/>
          <w:sz w:val="30"/>
          <w:szCs w:val="30"/>
          <w:lang w:val="en-US" w:eastAsia="zh-CN"/>
        </w:rPr>
        <w:t>0</w:t>
      </w:r>
      <w:r>
        <w:rPr>
          <w:rFonts w:hint="eastAsia" w:ascii="仿宋_GB2312" w:eastAsia="仿宋_GB2312"/>
          <w:sz w:val="30"/>
          <w:szCs w:val="30"/>
        </w:rPr>
        <w:t>批次（其中：外事接待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人（其中：外事接待人次</w:t>
      </w:r>
      <w:r>
        <w:rPr>
          <w:rFonts w:hint="eastAsia" w:ascii="仿宋_GB2312" w:eastAsia="仿宋_GB2312"/>
          <w:sz w:val="30"/>
          <w:szCs w:val="30"/>
          <w:lang w:val="en-US" w:eastAsia="zh-CN"/>
        </w:rPr>
        <w:t>0</w:t>
      </w:r>
      <w:r>
        <w:rPr>
          <w:rFonts w:hint="eastAsia" w:ascii="仿宋_GB2312" w:eastAsia="仿宋_GB2312"/>
          <w:sz w:val="30"/>
          <w:szCs w:val="30"/>
        </w:rPr>
        <w:t>人）。</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国（境）外接待费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万元，共安排国（境）外公务接待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w:t>
      </w:r>
    </w:p>
    <w:p>
      <w:pPr>
        <w:keepNext w:val="0"/>
        <w:keepLines w:val="0"/>
        <w:pageBreakBefore w:val="0"/>
        <w:numPr>
          <w:ilvl w:val="0"/>
          <w:numId w:val="0"/>
        </w:numPr>
        <w:kinsoku/>
        <w:wordWrap/>
        <w:overflowPunct/>
        <w:topLinePunct w:val="0"/>
        <w:autoSpaceDE/>
        <w:autoSpaceDN/>
        <w:bidi w:val="0"/>
        <w:spacing w:line="600" w:lineRule="exact"/>
        <w:ind w:firstLine="600" w:firstLineChars="200"/>
        <w:rPr>
          <w:rFonts w:hint="default" w:ascii="仿宋_GB2312" w:hAnsi="Times New Roman" w:eastAsia="仿宋_GB2312" w:cs="Times New Roman"/>
          <w:color w:val="FF0000"/>
          <w:sz w:val="30"/>
          <w:szCs w:val="30"/>
          <w:lang w:val="en-US" w:eastAsia="zh-CN"/>
        </w:rPr>
      </w:pPr>
    </w:p>
    <w:p>
      <w:pPr>
        <w:keepNext w:val="0"/>
        <w:keepLines w:val="0"/>
        <w:pageBreakBefore w:val="0"/>
        <w:widowControl/>
        <w:kinsoku/>
        <w:wordWrap/>
        <w:overflowPunct/>
        <w:topLinePunct w:val="0"/>
        <w:autoSpaceDE/>
        <w:autoSpaceDN/>
        <w:bidi w:val="0"/>
        <w:snapToGrid w:val="0"/>
        <w:spacing w:line="360" w:lineRule="auto"/>
        <w:jc w:val="center"/>
        <w:outlineLvl w:val="0"/>
        <w:rPr>
          <w:rFonts w:hint="eastAsia" w:ascii="仿宋_GB2312" w:eastAsia="仿宋_GB2312"/>
          <w:sz w:val="32"/>
          <w:szCs w:val="32"/>
        </w:rPr>
      </w:pPr>
      <w:r>
        <w:rPr>
          <w:rFonts w:hint="eastAsia" w:ascii="黑体" w:hAnsi="黑体" w:eastAsia="黑体" w:cs="方正小标宋简体"/>
          <w:sz w:val="32"/>
          <w:szCs w:val="32"/>
        </w:rPr>
        <w:t xml:space="preserve">第四部分  </w:t>
      </w:r>
      <w:r>
        <w:rPr>
          <w:rFonts w:hint="eastAsia" w:ascii="黑体" w:hAnsi="黑体" w:eastAsia="黑体"/>
          <w:sz w:val="32"/>
          <w:szCs w:val="32"/>
        </w:rPr>
        <w:t>其他重要事项及相关口径情况说明</w:t>
      </w: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cs="黑体"/>
          <w:sz w:val="30"/>
          <w:szCs w:val="30"/>
        </w:rPr>
      </w:pPr>
      <w:r>
        <w:rPr>
          <w:rFonts w:hint="eastAsia" w:ascii="黑体" w:hAnsi="黑体" w:eastAsia="黑体" w:cs="黑体"/>
          <w:sz w:val="30"/>
          <w:szCs w:val="30"/>
        </w:rPr>
        <w:t>一</w:t>
      </w:r>
      <w:r>
        <w:rPr>
          <w:rFonts w:hint="eastAsia" w:ascii="黑体" w:hAnsi="黑体" w:eastAsia="黑体" w:cs="黑体"/>
          <w:sz w:val="30"/>
          <w:szCs w:val="30"/>
          <w:lang w:eastAsia="zh-CN"/>
        </w:rPr>
        <w:t>、</w:t>
      </w:r>
      <w:r>
        <w:rPr>
          <w:rFonts w:hint="eastAsia" w:ascii="黑体" w:hAnsi="黑体" w:eastAsia="黑体" w:cs="黑体"/>
          <w:sz w:val="30"/>
          <w:szCs w:val="30"/>
        </w:rPr>
        <w:t>机关运行经费支出情况</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val="en-US" w:eastAsia="zh-CN"/>
        </w:rPr>
        <w:t>共青团盘龙区委2021</w:t>
      </w:r>
      <w:r>
        <w:rPr>
          <w:rFonts w:hint="eastAsia" w:ascii="仿宋_GB2312" w:hAnsi="黑体" w:eastAsia="仿宋_GB2312" w:cs="方正小标宋简体"/>
          <w:sz w:val="30"/>
          <w:szCs w:val="30"/>
        </w:rPr>
        <w:t>年机关运行经费支出</w:t>
      </w:r>
      <w:r>
        <w:rPr>
          <w:rFonts w:hint="eastAsia" w:ascii="仿宋_GB2312" w:hAnsi="黑体" w:eastAsia="仿宋_GB2312" w:cs="方正小标宋简体"/>
          <w:sz w:val="30"/>
          <w:szCs w:val="30"/>
          <w:lang w:val="en-US" w:eastAsia="zh-CN"/>
        </w:rPr>
        <w:t>6.03</w:t>
      </w:r>
      <w:r>
        <w:rPr>
          <w:rFonts w:hint="eastAsia" w:ascii="仿宋_GB2312" w:hAnsi="黑体" w:eastAsia="仿宋_GB2312" w:cs="方正小标宋简体"/>
          <w:sz w:val="30"/>
          <w:szCs w:val="30"/>
        </w:rPr>
        <w:t>万元，</w:t>
      </w:r>
      <w:r>
        <w:rPr>
          <w:rFonts w:hint="eastAsia" w:ascii="仿宋_GB2312" w:eastAsia="仿宋_GB2312"/>
          <w:sz w:val="30"/>
          <w:szCs w:val="30"/>
          <w:lang w:val="en-US" w:eastAsia="zh-CN"/>
        </w:rPr>
        <w:t>与上年</w:t>
      </w:r>
      <w:r>
        <w:rPr>
          <w:rFonts w:hint="eastAsia" w:ascii="仿宋_GB2312" w:eastAsia="仿宋_GB2312"/>
          <w:color w:val="auto"/>
          <w:sz w:val="30"/>
          <w:szCs w:val="30"/>
          <w:lang w:val="en-US" w:eastAsia="zh-CN"/>
        </w:rPr>
        <w:t>对比</w:t>
      </w:r>
      <w:r>
        <w:rPr>
          <w:rFonts w:hint="eastAsia" w:ascii="仿宋_GB2312" w:eastAsia="仿宋_GB2312"/>
          <w:color w:val="auto"/>
          <w:sz w:val="30"/>
          <w:szCs w:val="30"/>
        </w:rPr>
        <w:t>增长</w:t>
      </w:r>
      <w:r>
        <w:rPr>
          <w:rFonts w:hint="eastAsia" w:ascii="仿宋_GB2312" w:eastAsia="仿宋_GB2312"/>
          <w:color w:val="auto"/>
          <w:sz w:val="30"/>
          <w:szCs w:val="30"/>
          <w:lang w:val="en-US" w:eastAsia="zh-CN"/>
        </w:rPr>
        <w:t>0.47</w:t>
      </w:r>
      <w:r>
        <w:rPr>
          <w:rFonts w:hint="eastAsia" w:ascii="仿宋_GB2312" w:eastAsia="仿宋_GB2312"/>
          <w:color w:val="auto"/>
          <w:sz w:val="30"/>
          <w:szCs w:val="30"/>
        </w:rPr>
        <w:t>万元，主要原因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2020年12月单位新招录公务员1名，故相关</w:t>
      </w:r>
      <w:r>
        <w:rPr>
          <w:rFonts w:hint="eastAsia" w:ascii="仿宋_GB2312" w:eastAsia="仿宋_GB2312"/>
          <w:color w:val="auto"/>
          <w:sz w:val="30"/>
          <w:szCs w:val="30"/>
          <w:lang w:val="en-US" w:eastAsia="zh-CN"/>
        </w:rPr>
        <w:t>机关运行</w:t>
      </w:r>
      <w:r>
        <w:rPr>
          <w:rFonts w:hint="eastAsia" w:ascii="仿宋_GB2312" w:eastAsia="仿宋_GB2312"/>
          <w:color w:val="auto"/>
          <w:sz w:val="30"/>
          <w:szCs w:val="30"/>
        </w:rPr>
        <w:t>经费增加</w:t>
      </w:r>
      <w:r>
        <w:rPr>
          <w:rFonts w:hint="eastAsia" w:ascii="仿宋_GB2312" w:hAnsi="黑体" w:eastAsia="仿宋_GB2312" w:cs="方正小标宋简体"/>
          <w:color w:val="auto"/>
          <w:sz w:val="30"/>
          <w:szCs w:val="30"/>
        </w:rPr>
        <w:t>。部门机关运行经费主要用于</w:t>
      </w:r>
      <w:r>
        <w:rPr>
          <w:rFonts w:hint="eastAsia" w:ascii="仿宋_GB2312" w:eastAsia="仿宋_GB2312"/>
          <w:color w:val="auto"/>
          <w:sz w:val="30"/>
          <w:szCs w:val="30"/>
          <w:lang w:val="en-US" w:eastAsia="zh-CN"/>
        </w:rPr>
        <w:t>日常公用经费支出，包括：办公费、</w:t>
      </w:r>
      <w:r>
        <w:rPr>
          <w:rFonts w:hint="eastAsia" w:ascii="仿宋_GB2312" w:eastAsia="仿宋_GB2312"/>
          <w:color w:val="auto"/>
          <w:sz w:val="30"/>
          <w:szCs w:val="30"/>
        </w:rPr>
        <w:t>邮电费、差旅费、福利费、维修</w:t>
      </w:r>
      <w:r>
        <w:rPr>
          <w:rFonts w:hint="eastAsia" w:ascii="仿宋_GB2312" w:eastAsia="仿宋_GB2312"/>
          <w:color w:val="auto"/>
          <w:sz w:val="30"/>
          <w:szCs w:val="30"/>
          <w:lang w:eastAsia="zh-CN"/>
        </w:rPr>
        <w:t>（</w:t>
      </w:r>
      <w:r>
        <w:rPr>
          <w:rFonts w:hint="eastAsia" w:ascii="仿宋_GB2312" w:eastAsia="仿宋_GB2312"/>
          <w:color w:val="auto"/>
          <w:sz w:val="30"/>
          <w:szCs w:val="30"/>
          <w:lang w:val="en-US" w:eastAsia="zh-CN"/>
        </w:rPr>
        <w:t>护</w:t>
      </w:r>
      <w:r>
        <w:rPr>
          <w:rFonts w:hint="eastAsia" w:ascii="仿宋_GB2312" w:eastAsia="仿宋_GB2312"/>
          <w:color w:val="auto"/>
          <w:sz w:val="30"/>
          <w:szCs w:val="30"/>
          <w:lang w:eastAsia="zh-CN"/>
        </w:rPr>
        <w:t>）</w:t>
      </w:r>
      <w:r>
        <w:rPr>
          <w:rFonts w:hint="eastAsia" w:ascii="仿宋_GB2312" w:eastAsia="仿宋_GB2312"/>
          <w:color w:val="auto"/>
          <w:sz w:val="30"/>
          <w:szCs w:val="30"/>
        </w:rPr>
        <w:t>费</w:t>
      </w:r>
      <w:r>
        <w:rPr>
          <w:rFonts w:hint="eastAsia" w:ascii="仿宋_GB2312" w:eastAsia="仿宋_GB2312"/>
          <w:color w:val="auto"/>
          <w:sz w:val="30"/>
          <w:szCs w:val="30"/>
          <w:lang w:val="en-US" w:eastAsia="zh-CN"/>
        </w:rPr>
        <w:t>等</w:t>
      </w:r>
      <w:r>
        <w:rPr>
          <w:rFonts w:hint="eastAsia" w:ascii="仿宋_GB2312" w:hAnsi="黑体" w:eastAsia="仿宋_GB2312" w:cs="方正小标宋简体"/>
          <w:color w:val="auto"/>
          <w:sz w:val="30"/>
          <w:szCs w:val="30"/>
        </w:rPr>
        <w:t>。</w:t>
      </w:r>
    </w:p>
    <w:p>
      <w:pPr>
        <w:keepNext w:val="0"/>
        <w:keepLines w:val="0"/>
        <w:pageBreakBefore w:val="0"/>
        <w:numPr>
          <w:ilvl w:val="0"/>
          <w:numId w:val="0"/>
        </w:numPr>
        <w:kinsoku/>
        <w:wordWrap/>
        <w:overflowPunct/>
        <w:topLinePunct w:val="0"/>
        <w:autoSpaceDE/>
        <w:autoSpaceDN/>
        <w:bidi w:val="0"/>
        <w:spacing w:line="600" w:lineRule="exact"/>
        <w:ind w:firstLine="600" w:firstLineChars="200"/>
        <w:rPr>
          <w:rFonts w:hint="default" w:ascii="仿宋_GB2312" w:hAnsi="Times New Roman" w:eastAsia="仿宋_GB2312" w:cs="Times New Roman"/>
          <w:color w:val="FF0000"/>
          <w:sz w:val="30"/>
          <w:szCs w:val="30"/>
          <w:lang w:val="en-US" w:eastAsia="zh-CN"/>
        </w:rPr>
      </w:pPr>
    </w:p>
    <w:p>
      <w:pPr>
        <w:keepNext w:val="0"/>
        <w:keepLines w:val="0"/>
        <w:pageBreakBefore w:val="0"/>
        <w:widowControl/>
        <w:kinsoku/>
        <w:wordWrap/>
        <w:overflowPunct/>
        <w:topLinePunct w:val="0"/>
        <w:autoSpaceDE/>
        <w:autoSpaceDN/>
        <w:bidi w:val="0"/>
        <w:ind w:firstLine="600" w:firstLineChars="200"/>
        <w:outlineLvl w:val="1"/>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lang w:eastAsia="zh-CN"/>
        </w:rPr>
        <w:t>二、</w:t>
      </w:r>
      <w:r>
        <w:rPr>
          <w:rFonts w:hint="eastAsia" w:ascii="黑体" w:hAnsi="黑体" w:eastAsia="黑体" w:cs="黑体"/>
          <w:color w:val="000000"/>
          <w:kern w:val="0"/>
          <w:sz w:val="30"/>
          <w:szCs w:val="30"/>
        </w:rPr>
        <w:t>国有资产占用情况</w:t>
      </w:r>
    </w:p>
    <w:p>
      <w:pPr>
        <w:keepNext w:val="0"/>
        <w:keepLines w:val="0"/>
        <w:pageBreakBefore w:val="0"/>
        <w:widowControl/>
        <w:kinsoku/>
        <w:wordWrap/>
        <w:overflowPunct/>
        <w:topLinePunct w:val="0"/>
        <w:autoSpaceDE/>
        <w:autoSpaceDN/>
        <w:bidi w:val="0"/>
        <w:ind w:firstLine="600" w:firstLineChars="200"/>
        <w:rPr>
          <w:rFonts w:hint="eastAsia" w:ascii="仿宋_GB2312" w:hAnsi="黑体" w:eastAsia="仿宋_GB2312" w:cs="方正小标宋简体"/>
          <w:color w:val="000000"/>
          <w:kern w:val="0"/>
          <w:sz w:val="30"/>
          <w:szCs w:val="30"/>
        </w:rPr>
      </w:pPr>
      <w:r>
        <w:rPr>
          <w:rFonts w:hint="eastAsia" w:ascii="仿宋_GB2312" w:hAnsi="黑体" w:eastAsia="仿宋_GB2312" w:cs="方正小标宋简体"/>
          <w:color w:val="000000"/>
          <w:kern w:val="0"/>
          <w:sz w:val="30"/>
          <w:szCs w:val="30"/>
        </w:rPr>
        <w:t>截至</w:t>
      </w:r>
      <w:r>
        <w:rPr>
          <w:rFonts w:hint="eastAsia" w:ascii="仿宋_GB2312" w:hAnsi="黑体" w:eastAsia="仿宋_GB2312" w:cs="方正小标宋简体"/>
          <w:color w:val="000000"/>
          <w:kern w:val="0"/>
          <w:sz w:val="30"/>
          <w:szCs w:val="30"/>
          <w:lang w:val="en-US" w:eastAsia="zh-CN"/>
        </w:rPr>
        <w:t>2021</w:t>
      </w:r>
      <w:r>
        <w:rPr>
          <w:rFonts w:hint="eastAsia" w:ascii="仿宋_GB2312" w:hAnsi="黑体" w:eastAsia="仿宋_GB2312" w:cs="方正小标宋简体"/>
          <w:color w:val="000000"/>
          <w:kern w:val="0"/>
          <w:sz w:val="30"/>
          <w:szCs w:val="30"/>
        </w:rPr>
        <w:t>年</w:t>
      </w:r>
      <w:r>
        <w:rPr>
          <w:rFonts w:hint="eastAsia" w:ascii="仿宋_GB2312" w:hAnsi="黑体" w:eastAsia="仿宋_GB2312" w:cs="方正小标宋简体"/>
          <w:color w:val="000000"/>
          <w:kern w:val="0"/>
          <w:sz w:val="30"/>
          <w:szCs w:val="30"/>
          <w:lang w:val="en-US" w:eastAsia="zh-CN"/>
        </w:rPr>
        <w:t>12</w:t>
      </w:r>
      <w:r>
        <w:rPr>
          <w:rFonts w:hint="eastAsia" w:ascii="仿宋_GB2312" w:hAnsi="黑体" w:eastAsia="仿宋_GB2312" w:cs="方正小标宋简体"/>
          <w:color w:val="000000"/>
          <w:kern w:val="0"/>
          <w:sz w:val="30"/>
          <w:szCs w:val="30"/>
        </w:rPr>
        <w:t>月</w:t>
      </w:r>
      <w:r>
        <w:rPr>
          <w:rFonts w:hint="eastAsia" w:ascii="仿宋_GB2312" w:hAnsi="黑体" w:eastAsia="仿宋_GB2312" w:cs="方正小标宋简体"/>
          <w:color w:val="000000"/>
          <w:kern w:val="0"/>
          <w:sz w:val="30"/>
          <w:szCs w:val="30"/>
          <w:lang w:val="en-US" w:eastAsia="zh-CN"/>
        </w:rPr>
        <w:t>31</w:t>
      </w:r>
      <w:r>
        <w:rPr>
          <w:rFonts w:hint="eastAsia" w:ascii="仿宋_GB2312" w:hAnsi="黑体" w:eastAsia="仿宋_GB2312" w:cs="方正小标宋简体"/>
          <w:color w:val="000000"/>
          <w:kern w:val="0"/>
          <w:sz w:val="30"/>
          <w:szCs w:val="30"/>
        </w:rPr>
        <w:t>日，</w:t>
      </w:r>
      <w:r>
        <w:rPr>
          <w:rFonts w:hint="eastAsia" w:ascii="仿宋_GB2312" w:hAnsi="黑体" w:eastAsia="仿宋_GB2312" w:cs="方正小标宋简体"/>
          <w:color w:val="000000"/>
          <w:kern w:val="0"/>
          <w:sz w:val="30"/>
          <w:szCs w:val="30"/>
          <w:lang w:val="en-US" w:eastAsia="zh-CN"/>
        </w:rPr>
        <w:t>共青团盘龙区委</w:t>
      </w:r>
      <w:r>
        <w:rPr>
          <w:rFonts w:hint="eastAsia" w:ascii="仿宋_GB2312" w:hAnsi="黑体" w:eastAsia="仿宋_GB2312" w:cs="方正小标宋简体"/>
          <w:color w:val="000000"/>
          <w:kern w:val="0"/>
          <w:sz w:val="30"/>
          <w:szCs w:val="30"/>
        </w:rPr>
        <w:t>资产总额</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万元，其中，流动资产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万元，固定资产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万元，对外投资及有价证券</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万元，在建工程</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万元，无形资产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万元，其他资产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万元（具体内容详见附表）。与上年相比，本年资产总额增加</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万元，其中固定资产增加</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万元。处置房屋建筑物</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平方米，账面原值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万元；处置车辆</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辆，账面原值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万元；报废报损资产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项，账面原值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万元，实现资产处置收入</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万元；出租房屋</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平方米，账面原值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万元，实现资产使用收入</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w:t>
      </w:r>
    </w:p>
    <w:p>
      <w:pPr>
        <w:keepNext w:val="0"/>
        <w:keepLines w:val="0"/>
        <w:pageBreakBefore w:val="0"/>
        <w:widowControl/>
        <w:kinsoku/>
        <w:wordWrap/>
        <w:overflowPunct/>
        <w:topLinePunct w:val="0"/>
        <w:autoSpaceDE/>
        <w:autoSpaceDN/>
        <w:bidi w:val="0"/>
        <w:ind w:firstLine="640" w:firstLineChars="200"/>
        <w:rPr>
          <w:rFonts w:hint="eastAsia" w:ascii="仿宋_GB2312" w:hAnsi="黑体" w:eastAsia="仿宋_GB2312" w:cs="方正小标宋简体"/>
          <w:color w:val="000000"/>
          <w:kern w:val="0"/>
          <w:sz w:val="32"/>
          <w:szCs w:val="32"/>
        </w:rPr>
      </w:pPr>
    </w:p>
    <w:tbl>
      <w:tblPr>
        <w:tblStyle w:val="8"/>
        <w:tblpPr w:leftFromText="180" w:rightFromText="180" w:topFromText="100" w:bottomFromText="100" w:vertAnchor="text" w:horzAnchor="page" w:tblpX="534" w:tblpY="490"/>
        <w:tblOverlap w:val="never"/>
        <w:tblW w:w="0" w:type="auto"/>
        <w:tblInd w:w="0" w:type="dxa"/>
        <w:tblLayout w:type="fixed"/>
        <w:tblCellMar>
          <w:top w:w="0" w:type="dxa"/>
          <w:left w:w="0" w:type="dxa"/>
          <w:bottom w:w="0" w:type="dxa"/>
          <w:right w:w="0" w:type="dxa"/>
        </w:tblCellMar>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476"/>
        <w:gridCol w:w="142"/>
      </w:tblGrid>
      <w:tr>
        <w:tblPrEx>
          <w:tblCellMar>
            <w:top w:w="0" w:type="dxa"/>
            <w:left w:w="0" w:type="dxa"/>
            <w:bottom w:w="0" w:type="dxa"/>
            <w:right w:w="0" w:type="dxa"/>
          </w:tblCellMar>
        </w:tblPrEx>
        <w:trPr>
          <w:trHeight w:val="495" w:hRule="atLeast"/>
        </w:trPr>
        <w:tc>
          <w:tcPr>
            <w:tcW w:w="10628" w:type="dxa"/>
            <w:gridSpan w:val="19"/>
            <w:tcBorders>
              <w:top w:val="nil"/>
              <w:left w:val="nil"/>
              <w:bottom w:val="nil"/>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仿宋_GB2312" w:hAnsi="方正小标宋_GBK" w:eastAsia="仿宋_GB2312" w:cs="方正小标宋_GBK"/>
                <w:b/>
                <w:color w:val="000000"/>
                <w:kern w:val="0"/>
                <w:sz w:val="30"/>
                <w:szCs w:val="30"/>
                <w:lang w:bidi="ar"/>
              </w:rPr>
              <w:t>国有资产占有使用情况表</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textAlignment w:val="center"/>
              <w:rPr>
                <w:rFonts w:ascii="宋体" w:hAnsi="宋体" w:cs="宋体"/>
                <w:color w:val="000000"/>
                <w:kern w:val="0"/>
                <w:sz w:val="24"/>
                <w:szCs w:val="24"/>
              </w:rPr>
            </w:pPr>
            <w:r>
              <w:rPr>
                <w:rFonts w:hint="eastAsia" w:ascii="宋体" w:hAnsi="宋体" w:cs="宋体"/>
                <w:color w:val="000000"/>
                <w:kern w:val="0"/>
                <w:sz w:val="20"/>
                <w:szCs w:val="20"/>
              </w:rPr>
              <w:t> </w:t>
            </w:r>
          </w:p>
        </w:tc>
        <w:tc>
          <w:tcPr>
            <w:tcW w:w="865"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4" w:type="dxa"/>
            <w:gridSpan w:val="2"/>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196"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8"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9"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1956" w:type="dxa"/>
            <w:gridSpan w:val="5"/>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单位：万元</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项目</w:t>
            </w:r>
          </w:p>
        </w:tc>
        <w:tc>
          <w:tcPr>
            <w:tcW w:w="5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行次</w:t>
            </w:r>
          </w:p>
        </w:tc>
        <w:tc>
          <w:tcPr>
            <w:tcW w:w="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资产总额</w:t>
            </w:r>
          </w:p>
        </w:tc>
        <w:tc>
          <w:tcPr>
            <w:tcW w:w="6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流动资产</w:t>
            </w:r>
          </w:p>
        </w:tc>
        <w:tc>
          <w:tcPr>
            <w:tcW w:w="4070"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固定资产</w:t>
            </w:r>
          </w:p>
        </w:tc>
        <w:tc>
          <w:tcPr>
            <w:tcW w:w="97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对外投资/有价证券</w:t>
            </w:r>
          </w:p>
        </w:tc>
        <w:tc>
          <w:tcPr>
            <w:tcW w:w="97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在建工程</w:t>
            </w:r>
          </w:p>
        </w:tc>
        <w:tc>
          <w:tcPr>
            <w:tcW w:w="978" w:type="dxa"/>
            <w:gridSpan w:val="2"/>
            <w:vMerge w:val="restart"/>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无形资产</w:t>
            </w:r>
          </w:p>
        </w:tc>
        <w:tc>
          <w:tcPr>
            <w:tcW w:w="978" w:type="dxa"/>
            <w:gridSpan w:val="3"/>
            <w:vMerge w:val="restart"/>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其他资产</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4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小计</w:t>
            </w:r>
          </w:p>
        </w:tc>
        <w:tc>
          <w:tcPr>
            <w:tcW w:w="7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房屋构筑物</w:t>
            </w:r>
          </w:p>
        </w:tc>
        <w:tc>
          <w:tcPr>
            <w:tcW w:w="7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车辆</w:t>
            </w:r>
          </w:p>
        </w:tc>
        <w:tc>
          <w:tcPr>
            <w:tcW w:w="1263"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单价200万以上大型设备</w:t>
            </w:r>
          </w:p>
        </w:tc>
        <w:tc>
          <w:tcPr>
            <w:tcW w:w="839"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其他固定资产</w:t>
            </w:r>
          </w:p>
        </w:tc>
        <w:tc>
          <w:tcPr>
            <w:tcW w:w="9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2"/>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3"/>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9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47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26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2"/>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3"/>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栏次</w:t>
            </w:r>
          </w:p>
        </w:tc>
        <w:tc>
          <w:tcPr>
            <w:tcW w:w="5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w:t>
            </w:r>
          </w:p>
        </w:tc>
        <w:tc>
          <w:tcPr>
            <w:tcW w:w="6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2</w:t>
            </w:r>
          </w:p>
        </w:tc>
        <w:tc>
          <w:tcPr>
            <w:tcW w:w="47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3</w:t>
            </w:r>
          </w:p>
        </w:tc>
        <w:tc>
          <w:tcPr>
            <w:tcW w:w="72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4</w:t>
            </w:r>
          </w:p>
        </w:tc>
        <w:tc>
          <w:tcPr>
            <w:tcW w:w="7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5</w:t>
            </w:r>
          </w:p>
        </w:tc>
        <w:tc>
          <w:tcPr>
            <w:tcW w:w="126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6</w:t>
            </w:r>
          </w:p>
        </w:tc>
        <w:tc>
          <w:tcPr>
            <w:tcW w:w="8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7</w:t>
            </w:r>
          </w:p>
        </w:tc>
        <w:tc>
          <w:tcPr>
            <w:tcW w:w="97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8</w:t>
            </w:r>
          </w:p>
        </w:tc>
        <w:tc>
          <w:tcPr>
            <w:tcW w:w="97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9</w:t>
            </w:r>
          </w:p>
        </w:tc>
        <w:tc>
          <w:tcPr>
            <w:tcW w:w="9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10</w:t>
            </w:r>
          </w:p>
        </w:tc>
        <w:tc>
          <w:tcPr>
            <w:tcW w:w="9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11</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合计</w:t>
            </w:r>
          </w:p>
        </w:tc>
        <w:tc>
          <w:tcPr>
            <w:tcW w:w="5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6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47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72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7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126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8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97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97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9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9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gridAfter w:val="2"/>
          <w:wAfter w:w="618" w:type="dxa"/>
          <w:trHeight w:val="259" w:hRule="atLeast"/>
        </w:trPr>
        <w:tc>
          <w:tcPr>
            <w:tcW w:w="8672" w:type="dxa"/>
            <w:gridSpan w:val="14"/>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rPr>
                <w:rFonts w:ascii="宋体" w:hAnsi="宋体" w:cs="宋体"/>
                <w:color w:val="000000"/>
                <w:kern w:val="0"/>
                <w:sz w:val="24"/>
                <w:szCs w:val="24"/>
              </w:rPr>
            </w:pPr>
          </w:p>
        </w:tc>
        <w:tc>
          <w:tcPr>
            <w:tcW w:w="360" w:type="dxa"/>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rPr>
                <w:rFonts w:ascii="宋体" w:hAnsi="宋体" w:cs="宋体"/>
                <w:color w:val="000000"/>
                <w:kern w:val="0"/>
                <w:sz w:val="20"/>
                <w:lang w:bidi="ar"/>
              </w:rPr>
            </w:pPr>
          </w:p>
        </w:tc>
        <w:tc>
          <w:tcPr>
            <w:tcW w:w="978" w:type="dxa"/>
            <w:gridSpan w:val="2"/>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ind w:firstLine="400" w:firstLineChars="200"/>
              <w:rPr>
                <w:rFonts w:hint="eastAsia" w:ascii="宋体" w:hAnsi="宋体" w:eastAsia="宋体" w:cs="宋体"/>
                <w:color w:val="000000"/>
                <w:kern w:val="0"/>
                <w:sz w:val="20"/>
                <w:szCs w:val="20"/>
                <w:lang w:eastAsia="zh-CN"/>
              </w:rPr>
            </w:pPr>
            <w:r>
              <w:rPr>
                <w:rFonts w:hint="eastAsia" w:ascii="宋体" w:hAnsi="宋体" w:cs="宋体"/>
                <w:color w:val="000000"/>
                <w:kern w:val="0"/>
                <w:sz w:val="20"/>
                <w:szCs w:val="20"/>
              </w:rPr>
              <w:t>填报说明：1.资产总额＝流动资产＋固定资产＋对外投资／有价证券＋在建工程＋无形资产＋其他资产</w:t>
            </w:r>
            <w:r>
              <w:rPr>
                <w:rFonts w:hint="eastAsia" w:ascii="宋体" w:hAnsi="宋体" w:cs="宋体"/>
                <w:color w:val="000000"/>
                <w:kern w:val="0"/>
                <w:sz w:val="20"/>
                <w:szCs w:val="20"/>
                <w:lang w:eastAsia="zh-CN"/>
              </w:rPr>
              <w:t>；</w:t>
            </w:r>
          </w:p>
          <w:p>
            <w:pPr>
              <w:keepNext w:val="0"/>
              <w:keepLines w:val="0"/>
              <w:pageBreakBefore w:val="0"/>
              <w:widowControl/>
              <w:numPr>
                <w:ilvl w:val="0"/>
                <w:numId w:val="1"/>
              </w:numPr>
              <w:kinsoku/>
              <w:wordWrap/>
              <w:overflowPunct/>
              <w:topLinePunct w:val="0"/>
              <w:autoSpaceDE/>
              <w:autoSpaceDN/>
              <w:bidi w:val="0"/>
              <w:ind w:firstLine="1400" w:firstLineChars="700"/>
              <w:rPr>
                <w:rFonts w:hint="eastAsia" w:ascii="宋体" w:hAnsi="宋体" w:cs="宋体"/>
                <w:color w:val="000000"/>
                <w:kern w:val="0"/>
                <w:sz w:val="20"/>
                <w:szCs w:val="20"/>
              </w:rPr>
            </w:pPr>
            <w:r>
              <w:rPr>
                <w:rFonts w:hint="eastAsia" w:ascii="宋体" w:hAnsi="宋体" w:cs="宋体"/>
                <w:color w:val="000000"/>
                <w:kern w:val="0"/>
                <w:sz w:val="20"/>
                <w:szCs w:val="20"/>
              </w:rPr>
              <w:t>固定资产＝房屋构筑物＋车辆＋单价200万元以上大型设备＋其他固定资产</w:t>
            </w:r>
            <w:r>
              <w:rPr>
                <w:rFonts w:hint="eastAsia" w:ascii="宋体" w:hAnsi="宋体" w:cs="宋体"/>
                <w:color w:val="000000"/>
                <w:kern w:val="0"/>
                <w:sz w:val="20"/>
                <w:szCs w:val="20"/>
                <w:lang w:eastAsia="zh-CN"/>
              </w:rPr>
              <w:t>；</w:t>
            </w:r>
          </w:p>
          <w:p>
            <w:pPr>
              <w:keepNext w:val="0"/>
              <w:keepLines w:val="0"/>
              <w:pageBreakBefore w:val="0"/>
              <w:widowControl/>
              <w:numPr>
                <w:ilvl w:val="0"/>
                <w:numId w:val="1"/>
              </w:numPr>
              <w:kinsoku/>
              <w:wordWrap/>
              <w:overflowPunct/>
              <w:topLinePunct w:val="0"/>
              <w:autoSpaceDE/>
              <w:autoSpaceDN/>
              <w:bidi w:val="0"/>
              <w:ind w:firstLine="1400" w:firstLineChars="700"/>
              <w:rPr>
                <w:rFonts w:hint="eastAsia" w:ascii="宋体" w:hAnsi="宋体" w:cs="宋体"/>
                <w:color w:val="000000"/>
                <w:kern w:val="0"/>
                <w:sz w:val="20"/>
                <w:szCs w:val="20"/>
              </w:rPr>
            </w:pPr>
            <w:r>
              <w:rPr>
                <w:rFonts w:hint="eastAsia" w:ascii="宋体" w:hAnsi="宋体" w:cs="宋体"/>
                <w:color w:val="000000"/>
                <w:kern w:val="0"/>
                <w:sz w:val="20"/>
                <w:szCs w:val="20"/>
                <w:lang w:eastAsia="zh-CN"/>
              </w:rPr>
              <w:t>填报金额为资产“账面原值”。</w:t>
            </w:r>
          </w:p>
        </w:tc>
        <w:tc>
          <w:tcPr>
            <w:tcW w:w="978" w:type="dxa"/>
            <w:gridSpan w:val="3"/>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Arial" w:hAnsi="Arial" w:cs="Arial"/>
                <w:color w:val="000000"/>
                <w:kern w:val="0"/>
                <w:sz w:val="20"/>
                <w:szCs w:val="20"/>
              </w:rPr>
              <w:t> </w:t>
            </w:r>
          </w:p>
        </w:tc>
        <w:tc>
          <w:tcPr>
            <w:tcW w:w="142" w:type="dxa"/>
            <w:noWrap w:val="0"/>
            <w:vAlign w:val="center"/>
          </w:tcPr>
          <w:p>
            <w:pPr>
              <w:keepNext w:val="0"/>
              <w:keepLines w:val="0"/>
              <w:pageBreakBefore w:val="0"/>
              <w:widowControl/>
              <w:kinsoku/>
              <w:wordWrap/>
              <w:overflowPunct/>
              <w:topLinePunct w:val="0"/>
              <w:autoSpaceDE/>
              <w:autoSpaceDN/>
              <w:bidi w:val="0"/>
              <w:jc w:val="left"/>
              <w:rPr>
                <w:rFonts w:ascii="Times New Roman" w:hAnsi="Times New Roman" w:eastAsia="Times New Roman"/>
                <w:kern w:val="0"/>
                <w:sz w:val="20"/>
                <w:szCs w:val="20"/>
              </w:rPr>
            </w:pPr>
          </w:p>
        </w:tc>
      </w:tr>
    </w:tbl>
    <w:p>
      <w:pPr>
        <w:rPr>
          <w:rFonts w:hint="eastAsia"/>
          <w:lang w:eastAsia="zh-CN"/>
        </w:rPr>
      </w:pP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cs="黑体"/>
          <w:sz w:val="30"/>
          <w:szCs w:val="30"/>
        </w:rPr>
      </w:pPr>
      <w:r>
        <w:rPr>
          <w:rFonts w:hint="eastAsia" w:ascii="黑体" w:hAnsi="黑体" w:eastAsia="黑体" w:cs="黑体"/>
          <w:sz w:val="30"/>
          <w:szCs w:val="30"/>
          <w:lang w:eastAsia="zh-CN"/>
        </w:rPr>
        <w:t>三、</w:t>
      </w:r>
      <w:r>
        <w:rPr>
          <w:rFonts w:hint="eastAsia" w:ascii="黑体" w:hAnsi="黑体" w:eastAsia="黑体" w:cs="黑体"/>
          <w:sz w:val="30"/>
          <w:szCs w:val="30"/>
        </w:rPr>
        <w:t>政府采购支出情况</w:t>
      </w:r>
    </w:p>
    <w:p>
      <w:pPr>
        <w:keepNext w:val="0"/>
        <w:keepLines w:val="0"/>
        <w:pageBreakBefore w:val="0"/>
        <w:kinsoku/>
        <w:wordWrap/>
        <w:overflowPunct/>
        <w:topLinePunct w:val="0"/>
        <w:autoSpaceDE/>
        <w:autoSpaceDN/>
        <w:bidi w:val="0"/>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2021年度，部门政府采购支出总额0万元，其中：政府采购货物支出0万元；政府采购工程支出X0万元；政府采购服务支出0万元。授予中小企业合同金额0万元，占政府采购支出总额的0%。</w:t>
      </w:r>
    </w:p>
    <w:p>
      <w:pPr>
        <w:keepNext w:val="0"/>
        <w:keepLines w:val="0"/>
        <w:pageBreakBefore w:val="0"/>
        <w:kinsoku/>
        <w:wordWrap/>
        <w:overflowPunct/>
        <w:topLinePunct w:val="0"/>
        <w:autoSpaceDE/>
        <w:autoSpaceDN/>
        <w:bidi w:val="0"/>
        <w:ind w:firstLine="600" w:firstLineChars="200"/>
        <w:jc w:val="left"/>
        <w:rPr>
          <w:rFonts w:hint="default" w:ascii="仿宋_GB2312" w:hAnsi="黑体" w:eastAsia="仿宋_GB2312" w:cs="方正小标宋简体"/>
          <w:color w:val="FF0000"/>
          <w:sz w:val="30"/>
          <w:szCs w:val="30"/>
          <w:lang w:val="en-US" w:eastAsia="zh-CN"/>
        </w:rPr>
      </w:pP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四、部门绩效自评情况</w:t>
      </w:r>
    </w:p>
    <w:p>
      <w:pPr>
        <w:keepNext w:val="0"/>
        <w:keepLines w:val="0"/>
        <w:pageBreakBefore w:val="0"/>
        <w:widowControl/>
        <w:kinsoku/>
        <w:wordWrap/>
        <w:overflowPunct/>
        <w:topLinePunct w:val="0"/>
        <w:autoSpaceDE/>
        <w:autoSpaceDN/>
        <w:bidi w:val="0"/>
        <w:snapToGrid w:val="0"/>
        <w:spacing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lang w:val="en-US" w:eastAsia="zh-CN"/>
        </w:rPr>
        <w:t>部门绩效自评情况详见附表</w:t>
      </w:r>
      <w:r>
        <w:rPr>
          <w:rFonts w:hint="eastAsia" w:ascii="仿宋_GB2312" w:hAnsi="仿宋_GB2312" w:eastAsia="仿宋_GB2312" w:cs="仿宋_GB2312"/>
          <w:sz w:val="30"/>
          <w:szCs w:val="30"/>
          <w:highlight w:val="none"/>
          <w:lang w:val="en-US" w:eastAsia="zh-CN"/>
        </w:rPr>
        <w:t>（附表10—附表12）。</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hint="eastAsia" w:ascii="黑体" w:hAnsi="黑体" w:eastAsia="黑体" w:cs="黑体"/>
          <w:sz w:val="30"/>
          <w:szCs w:val="30"/>
          <w:lang w:val="en-US" w:eastAsia="zh-CN"/>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五、其他重要事项情况说明</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color w:val="auto"/>
          <w:sz w:val="30"/>
          <w:szCs w:val="30"/>
          <w:lang w:eastAsia="zh-CN"/>
        </w:rPr>
      </w:pPr>
      <w:r>
        <w:rPr>
          <w:rFonts w:hint="eastAsia" w:ascii="仿宋_GB2312" w:hAnsi="黑体" w:eastAsia="仿宋_GB2312" w:cs="方正小标宋简体"/>
          <w:color w:val="auto"/>
          <w:sz w:val="30"/>
          <w:szCs w:val="30"/>
        </w:rPr>
        <w:t>我单位无其他重要事项情况说明</w:t>
      </w:r>
      <w:r>
        <w:rPr>
          <w:rFonts w:hint="eastAsia" w:ascii="仿宋_GB2312" w:hAnsi="黑体" w:eastAsia="仿宋_GB2312" w:cs="方正小标宋简体"/>
          <w:color w:val="auto"/>
          <w:sz w:val="30"/>
          <w:szCs w:val="30"/>
          <w:lang w:eastAsia="zh-CN"/>
        </w:rPr>
        <w:t>。</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color w:val="FF0000"/>
          <w:sz w:val="30"/>
          <w:szCs w:val="30"/>
          <w:lang w:eastAsia="zh-CN"/>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六、相关口径说明</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（一）</w:t>
      </w:r>
      <w:r>
        <w:rPr>
          <w:rFonts w:hint="eastAsia" w:ascii="仿宋_GB2312" w:hAnsi="黑体" w:eastAsia="仿宋_GB2312" w:cs="方正小标宋简体"/>
          <w:sz w:val="30"/>
          <w:szCs w:val="30"/>
        </w:rPr>
        <w:t>基本支出中人员经费包括工资福利支出和对个人和家庭的补助，公用</w:t>
      </w:r>
      <w:r>
        <w:rPr>
          <w:rFonts w:hint="eastAsia" w:ascii="仿宋_GB2312" w:hAnsi="黑体" w:eastAsia="仿宋_GB2312" w:cs="方正小标宋简体"/>
          <w:sz w:val="30"/>
          <w:szCs w:val="30"/>
          <w:lang w:eastAsia="zh-CN"/>
        </w:rPr>
        <w:t>经费</w:t>
      </w:r>
      <w:r>
        <w:rPr>
          <w:rFonts w:hint="eastAsia" w:ascii="仿宋_GB2312" w:hAnsi="黑体" w:eastAsia="仿宋_GB2312" w:cs="方正小标宋简体"/>
          <w:sz w:val="30"/>
          <w:szCs w:val="30"/>
        </w:rPr>
        <w:t>包括商品和服务支出、资本性支出等人员经费以外的支出。</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（二）</w:t>
      </w:r>
      <w:r>
        <w:rPr>
          <w:rFonts w:hint="eastAsia" w:ascii="仿宋_GB2312" w:hAnsi="黑体" w:eastAsia="仿宋_GB2312" w:cs="方正小标宋简体"/>
          <w:sz w:val="30"/>
          <w:szCs w:val="30"/>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lang w:eastAsia="zh-CN"/>
        </w:rPr>
        <w:t>。</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lang w:eastAsia="zh-CN"/>
        </w:rPr>
        <w:t>（三）</w:t>
      </w:r>
      <w:r>
        <w:rPr>
          <w:rFonts w:hint="eastAsia" w:ascii="仿宋_GB2312" w:hAnsi="黑体" w:eastAsia="仿宋_GB2312" w:cs="方正小标宋简体"/>
          <w:sz w:val="30"/>
          <w:szCs w:val="30"/>
        </w:rPr>
        <w:t>按照党中央、国务院有关文件及部门预算管理有关规定，“三公”经费包括因公出国（境）费、公务用车购置及运行维护费、公务接待费。</w:t>
      </w:r>
      <w:r>
        <w:rPr>
          <w:rFonts w:hint="eastAsia" w:ascii="仿宋_GB2312" w:hAnsi="黑体" w:eastAsia="仿宋_GB2312" w:cs="方正小标宋简体"/>
          <w:sz w:val="30"/>
          <w:szCs w:val="30"/>
          <w:highlight w:val="none"/>
        </w:rPr>
        <w:t>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（四）</w:t>
      </w:r>
      <w:r>
        <w:rPr>
          <w:rFonts w:hint="eastAsia" w:ascii="仿宋_GB2312" w:hAnsi="黑体" w:eastAsia="仿宋_GB2312" w:cs="方正小标宋简体"/>
          <w:sz w:val="30"/>
          <w:szCs w:val="30"/>
        </w:rPr>
        <w:t>“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keepNext w:val="0"/>
        <w:keepLines w:val="0"/>
        <w:pageBreakBefore w:val="0"/>
        <w:kinsoku/>
        <w:wordWrap/>
        <w:overflowPunct/>
        <w:topLinePunct w:val="0"/>
        <w:autoSpaceDE/>
        <w:autoSpaceDN/>
        <w:bidi w:val="0"/>
        <w:jc w:val="center"/>
        <w:outlineLvl w:val="0"/>
        <w:rPr>
          <w:rFonts w:hint="eastAsia" w:ascii="黑体" w:hAnsi="黑体" w:eastAsia="黑体" w:cs="方正小标宋简体"/>
          <w:sz w:val="32"/>
          <w:szCs w:val="32"/>
        </w:rPr>
      </w:pPr>
      <w:r>
        <w:rPr>
          <w:rFonts w:hint="eastAsia" w:ascii="黑体" w:hAnsi="黑体" w:eastAsia="黑体" w:cs="方正小标宋简体"/>
          <w:sz w:val="32"/>
          <w:szCs w:val="32"/>
        </w:rPr>
        <w:t>第</w:t>
      </w:r>
      <w:r>
        <w:rPr>
          <w:rFonts w:hint="eastAsia" w:ascii="黑体" w:hAnsi="黑体" w:eastAsia="黑体" w:cs="方正小标宋简体"/>
          <w:sz w:val="32"/>
          <w:szCs w:val="32"/>
          <w:lang w:eastAsia="zh-CN"/>
        </w:rPr>
        <w:t>五</w:t>
      </w:r>
      <w:r>
        <w:rPr>
          <w:rFonts w:hint="eastAsia" w:ascii="黑体" w:hAnsi="黑体" w:eastAsia="黑体" w:cs="方正小标宋简体"/>
          <w:sz w:val="32"/>
          <w:szCs w:val="32"/>
        </w:rPr>
        <w:t>部分  名词解释</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color w:val="auto"/>
          <w:sz w:val="30"/>
          <w:szCs w:val="30"/>
          <w:lang w:eastAsia="zh-CN"/>
        </w:rPr>
      </w:pPr>
      <w:r>
        <w:rPr>
          <w:rFonts w:hint="eastAsia" w:ascii="仿宋_GB2312" w:hAnsi="黑体" w:eastAsia="仿宋_GB2312" w:cs="方正小标宋简体"/>
          <w:color w:val="auto"/>
          <w:sz w:val="30"/>
          <w:szCs w:val="30"/>
        </w:rPr>
        <w:t>不涉及专用名词</w:t>
      </w:r>
      <w:r>
        <w:rPr>
          <w:rFonts w:hint="eastAsia" w:ascii="仿宋_GB2312" w:hAnsi="黑体" w:eastAsia="仿宋_GB2312" w:cs="方正小标宋简体"/>
          <w:color w:val="auto"/>
          <w:sz w:val="30"/>
          <w:szCs w:val="30"/>
          <w:lang w:eastAsia="zh-CN"/>
        </w:rPr>
        <w:t>。</w:t>
      </w:r>
    </w:p>
    <w:p>
      <w:pPr>
        <w:keepNext w:val="0"/>
        <w:keepLines w:val="0"/>
        <w:pageBreakBefore w:val="0"/>
        <w:kinsoku/>
        <w:wordWrap/>
        <w:overflowPunct/>
        <w:topLinePunct w:val="0"/>
        <w:autoSpaceDE/>
        <w:autoSpaceDN/>
        <w:bidi w:val="0"/>
        <w:ind w:firstLine="442" w:firstLineChars="200"/>
        <w:jc w:val="left"/>
        <w:rPr>
          <w:rFonts w:ascii="Arial" w:hAnsi="Arial" w:eastAsia="宋体" w:cs="Arial"/>
          <w:b/>
          <w:bCs/>
          <w:i w:val="0"/>
          <w:iCs w:val="0"/>
          <w:caps w:val="0"/>
          <w:color w:val="000000"/>
          <w:spacing w:val="0"/>
          <w:sz w:val="22"/>
          <w:szCs w:val="22"/>
        </w:rPr>
      </w:pPr>
    </w:p>
    <w:p>
      <w:pPr>
        <w:keepNext w:val="0"/>
        <w:keepLines w:val="0"/>
        <w:pageBreakBefore w:val="0"/>
        <w:kinsoku/>
        <w:wordWrap/>
        <w:overflowPunct/>
        <w:topLinePunct w:val="0"/>
        <w:autoSpaceDE/>
        <w:autoSpaceDN/>
        <w:bidi w:val="0"/>
        <w:jc w:val="left"/>
        <w:rPr>
          <w:rFonts w:hint="eastAsia" w:ascii="仿宋_GB2312" w:hAnsi="黑体" w:eastAsia="仿宋_GB2312" w:cs="方正小标宋简体"/>
          <w:color w:val="FF0000"/>
          <w:sz w:val="44"/>
          <w:szCs w:val="44"/>
          <w:lang w:eastAsia="zh-CN"/>
        </w:rPr>
      </w:pPr>
      <w:r>
        <w:rPr>
          <w:rFonts w:ascii="Arial" w:hAnsi="Arial" w:eastAsia="宋体" w:cs="Arial"/>
          <w:b/>
          <w:bCs/>
          <w:i w:val="0"/>
          <w:iCs w:val="0"/>
          <w:caps w:val="0"/>
          <w:color w:val="000000"/>
          <w:spacing w:val="0"/>
          <w:sz w:val="24"/>
          <w:szCs w:val="24"/>
        </w:rPr>
        <w:t>监督索引号53010300171200201111</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5"/>
                            <w:rPr>
                              <w:rStyle w:val="10"/>
                            </w:rPr>
                          </w:pP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9umys5gEA&#10;AMgDAAAOAAAAAAAAAAEAIAAAACIBAABkcnMvZTJvRG9jLnhtbFBLBQYAAAAABgAGAFkBAAB6BQAA&#10;AAA=&#10;">
              <v:fill on="f" focussize="0,0"/>
              <v:stroke on="f" weight="1.25pt"/>
              <v:imagedata o:title=""/>
              <o:lock v:ext="edit" aspectratio="f"/>
              <v:textbox inset="0mm,0mm,0mm,0mm" style="mso-fit-shape-to-text:t;">
                <w:txbxContent>
                  <w:p>
                    <w:pPr>
                      <w:pStyle w:val="5"/>
                      <w:rPr>
                        <w:rStyle w:val="10"/>
                      </w:rPr>
                    </w:pP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8A1DF"/>
    <w:multiLevelType w:val="singleLevel"/>
    <w:tmpl w:val="FF78A1DF"/>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2MzI1MTgxODNjMTc0MmRlN2M0NTdmZGIyNTNkM2IifQ=="/>
  </w:docVars>
  <w:rsids>
    <w:rsidRoot w:val="00172A27"/>
    <w:rsid w:val="0001258E"/>
    <w:rsid w:val="00014033"/>
    <w:rsid w:val="00015917"/>
    <w:rsid w:val="00030CAE"/>
    <w:rsid w:val="0003511E"/>
    <w:rsid w:val="000913E4"/>
    <w:rsid w:val="00096FD6"/>
    <w:rsid w:val="000A6010"/>
    <w:rsid w:val="000C3242"/>
    <w:rsid w:val="000E1FB4"/>
    <w:rsid w:val="000F1483"/>
    <w:rsid w:val="0010004D"/>
    <w:rsid w:val="001263DA"/>
    <w:rsid w:val="001374A6"/>
    <w:rsid w:val="001536A4"/>
    <w:rsid w:val="00154575"/>
    <w:rsid w:val="001749E4"/>
    <w:rsid w:val="00182815"/>
    <w:rsid w:val="001A0E45"/>
    <w:rsid w:val="001A3A9F"/>
    <w:rsid w:val="001C2096"/>
    <w:rsid w:val="001C6512"/>
    <w:rsid w:val="00224AF2"/>
    <w:rsid w:val="002360A6"/>
    <w:rsid w:val="002718E1"/>
    <w:rsid w:val="0029065D"/>
    <w:rsid w:val="002A35DC"/>
    <w:rsid w:val="002B295A"/>
    <w:rsid w:val="002D0360"/>
    <w:rsid w:val="002D1722"/>
    <w:rsid w:val="002E1618"/>
    <w:rsid w:val="00310284"/>
    <w:rsid w:val="003663D2"/>
    <w:rsid w:val="00371195"/>
    <w:rsid w:val="00392FEE"/>
    <w:rsid w:val="00393375"/>
    <w:rsid w:val="003938CD"/>
    <w:rsid w:val="003A263E"/>
    <w:rsid w:val="003C233F"/>
    <w:rsid w:val="003E167F"/>
    <w:rsid w:val="003F462A"/>
    <w:rsid w:val="0040467A"/>
    <w:rsid w:val="00430657"/>
    <w:rsid w:val="004375EE"/>
    <w:rsid w:val="0045007E"/>
    <w:rsid w:val="004636A8"/>
    <w:rsid w:val="0048090A"/>
    <w:rsid w:val="0049341E"/>
    <w:rsid w:val="004D1694"/>
    <w:rsid w:val="004D5A12"/>
    <w:rsid w:val="004E71D9"/>
    <w:rsid w:val="0050289F"/>
    <w:rsid w:val="005144D0"/>
    <w:rsid w:val="0052295E"/>
    <w:rsid w:val="00550133"/>
    <w:rsid w:val="0055230D"/>
    <w:rsid w:val="005545C8"/>
    <w:rsid w:val="00557069"/>
    <w:rsid w:val="00575AC5"/>
    <w:rsid w:val="0057690C"/>
    <w:rsid w:val="00577096"/>
    <w:rsid w:val="005A1A61"/>
    <w:rsid w:val="005B558B"/>
    <w:rsid w:val="005C5BF9"/>
    <w:rsid w:val="005D3F26"/>
    <w:rsid w:val="005E4A61"/>
    <w:rsid w:val="0060151B"/>
    <w:rsid w:val="006021EC"/>
    <w:rsid w:val="00607AF7"/>
    <w:rsid w:val="006219B9"/>
    <w:rsid w:val="0062634D"/>
    <w:rsid w:val="00640B67"/>
    <w:rsid w:val="00651567"/>
    <w:rsid w:val="006546F4"/>
    <w:rsid w:val="0066092E"/>
    <w:rsid w:val="00680F7A"/>
    <w:rsid w:val="00697350"/>
    <w:rsid w:val="006A112F"/>
    <w:rsid w:val="006C4F21"/>
    <w:rsid w:val="006D02F7"/>
    <w:rsid w:val="006E45B7"/>
    <w:rsid w:val="006E7A1A"/>
    <w:rsid w:val="007249B2"/>
    <w:rsid w:val="00734A8A"/>
    <w:rsid w:val="007627A1"/>
    <w:rsid w:val="0076459B"/>
    <w:rsid w:val="00776986"/>
    <w:rsid w:val="00783A0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C6076"/>
    <w:rsid w:val="008D757B"/>
    <w:rsid w:val="008E399D"/>
    <w:rsid w:val="008F39D5"/>
    <w:rsid w:val="00905397"/>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BF1"/>
    <w:rsid w:val="00A86C65"/>
    <w:rsid w:val="00A94999"/>
    <w:rsid w:val="00A96DEB"/>
    <w:rsid w:val="00AC573F"/>
    <w:rsid w:val="00B07829"/>
    <w:rsid w:val="00B115F4"/>
    <w:rsid w:val="00B4333E"/>
    <w:rsid w:val="00B5366F"/>
    <w:rsid w:val="00B80AAC"/>
    <w:rsid w:val="00B81D10"/>
    <w:rsid w:val="00B9604E"/>
    <w:rsid w:val="00BA3948"/>
    <w:rsid w:val="00BB3509"/>
    <w:rsid w:val="00BC73ED"/>
    <w:rsid w:val="00BE3E47"/>
    <w:rsid w:val="00BE7B81"/>
    <w:rsid w:val="00BF0A0B"/>
    <w:rsid w:val="00BF7CE7"/>
    <w:rsid w:val="00C0360F"/>
    <w:rsid w:val="00C236BC"/>
    <w:rsid w:val="00C3042C"/>
    <w:rsid w:val="00C35F72"/>
    <w:rsid w:val="00C37B42"/>
    <w:rsid w:val="00C430D2"/>
    <w:rsid w:val="00C4706B"/>
    <w:rsid w:val="00C53096"/>
    <w:rsid w:val="00C61925"/>
    <w:rsid w:val="00C94711"/>
    <w:rsid w:val="00CC1CE8"/>
    <w:rsid w:val="00CD4CE9"/>
    <w:rsid w:val="00D1253E"/>
    <w:rsid w:val="00D2484E"/>
    <w:rsid w:val="00DA0649"/>
    <w:rsid w:val="00DB4697"/>
    <w:rsid w:val="00DB67A4"/>
    <w:rsid w:val="00DC77E2"/>
    <w:rsid w:val="00DD261E"/>
    <w:rsid w:val="00DF1053"/>
    <w:rsid w:val="00DF1BEC"/>
    <w:rsid w:val="00E36604"/>
    <w:rsid w:val="00E662AA"/>
    <w:rsid w:val="00E769E8"/>
    <w:rsid w:val="00E80B36"/>
    <w:rsid w:val="00E9395C"/>
    <w:rsid w:val="00EA2124"/>
    <w:rsid w:val="00EC24BF"/>
    <w:rsid w:val="00ED7654"/>
    <w:rsid w:val="00EE750D"/>
    <w:rsid w:val="00F37401"/>
    <w:rsid w:val="00F44882"/>
    <w:rsid w:val="00F73DAF"/>
    <w:rsid w:val="00F74193"/>
    <w:rsid w:val="00F9286C"/>
    <w:rsid w:val="00F94DB0"/>
    <w:rsid w:val="00FA48DF"/>
    <w:rsid w:val="00FF6A71"/>
    <w:rsid w:val="01F6517F"/>
    <w:rsid w:val="029D424B"/>
    <w:rsid w:val="02B669DF"/>
    <w:rsid w:val="03031491"/>
    <w:rsid w:val="030B4E6A"/>
    <w:rsid w:val="03501375"/>
    <w:rsid w:val="055C77B1"/>
    <w:rsid w:val="059B1097"/>
    <w:rsid w:val="064F3766"/>
    <w:rsid w:val="06C77DCE"/>
    <w:rsid w:val="08101212"/>
    <w:rsid w:val="09275162"/>
    <w:rsid w:val="092B4317"/>
    <w:rsid w:val="09A530D2"/>
    <w:rsid w:val="0A9114C7"/>
    <w:rsid w:val="0A920BA2"/>
    <w:rsid w:val="0AF14EB7"/>
    <w:rsid w:val="0C90283F"/>
    <w:rsid w:val="0DBC04D7"/>
    <w:rsid w:val="0E297F01"/>
    <w:rsid w:val="0FBF2BE4"/>
    <w:rsid w:val="0FDD0B5A"/>
    <w:rsid w:val="0FF40642"/>
    <w:rsid w:val="1004319E"/>
    <w:rsid w:val="109A2368"/>
    <w:rsid w:val="10C23ADD"/>
    <w:rsid w:val="11F50B3F"/>
    <w:rsid w:val="124179BE"/>
    <w:rsid w:val="1253626C"/>
    <w:rsid w:val="12841E90"/>
    <w:rsid w:val="12AF3DA1"/>
    <w:rsid w:val="13196855"/>
    <w:rsid w:val="13A63124"/>
    <w:rsid w:val="14047949"/>
    <w:rsid w:val="144559C7"/>
    <w:rsid w:val="146B6E96"/>
    <w:rsid w:val="14BC3B96"/>
    <w:rsid w:val="14F50E56"/>
    <w:rsid w:val="16AB5C70"/>
    <w:rsid w:val="1A862C7C"/>
    <w:rsid w:val="1B1879FE"/>
    <w:rsid w:val="1B9A76F1"/>
    <w:rsid w:val="1CBB0ED4"/>
    <w:rsid w:val="1E1D7FBF"/>
    <w:rsid w:val="1F1C6739"/>
    <w:rsid w:val="210711BE"/>
    <w:rsid w:val="22BA1854"/>
    <w:rsid w:val="233D2346"/>
    <w:rsid w:val="23FB2603"/>
    <w:rsid w:val="24266039"/>
    <w:rsid w:val="253B1B6C"/>
    <w:rsid w:val="256F6C59"/>
    <w:rsid w:val="25952D61"/>
    <w:rsid w:val="25D83CCB"/>
    <w:rsid w:val="27A35DFB"/>
    <w:rsid w:val="28535BF8"/>
    <w:rsid w:val="28AF6300"/>
    <w:rsid w:val="2907270B"/>
    <w:rsid w:val="294A5E46"/>
    <w:rsid w:val="29AA2BD5"/>
    <w:rsid w:val="29AB5281"/>
    <w:rsid w:val="2A771145"/>
    <w:rsid w:val="2ACE39FA"/>
    <w:rsid w:val="2B8C5C18"/>
    <w:rsid w:val="2B934CE5"/>
    <w:rsid w:val="2C2C7BFF"/>
    <w:rsid w:val="2E137B25"/>
    <w:rsid w:val="2E170EBB"/>
    <w:rsid w:val="2EBD6C76"/>
    <w:rsid w:val="30A1395A"/>
    <w:rsid w:val="31EE7D4C"/>
    <w:rsid w:val="324972D3"/>
    <w:rsid w:val="33A959E9"/>
    <w:rsid w:val="3498562E"/>
    <w:rsid w:val="34C6660E"/>
    <w:rsid w:val="351F21C4"/>
    <w:rsid w:val="356E038F"/>
    <w:rsid w:val="369C5976"/>
    <w:rsid w:val="36CE5888"/>
    <w:rsid w:val="37364169"/>
    <w:rsid w:val="37517D16"/>
    <w:rsid w:val="378C451A"/>
    <w:rsid w:val="38C92C72"/>
    <w:rsid w:val="392B061F"/>
    <w:rsid w:val="3B8C0B37"/>
    <w:rsid w:val="3C03014C"/>
    <w:rsid w:val="3D4313C4"/>
    <w:rsid w:val="3D960B78"/>
    <w:rsid w:val="3DB94156"/>
    <w:rsid w:val="3EB94E7F"/>
    <w:rsid w:val="3EBB07A6"/>
    <w:rsid w:val="3EFE4F89"/>
    <w:rsid w:val="3F1B1335"/>
    <w:rsid w:val="40125AA7"/>
    <w:rsid w:val="405D525F"/>
    <w:rsid w:val="408700F6"/>
    <w:rsid w:val="41387D15"/>
    <w:rsid w:val="41986808"/>
    <w:rsid w:val="42BC508B"/>
    <w:rsid w:val="43650ECA"/>
    <w:rsid w:val="478A57A6"/>
    <w:rsid w:val="47A16424"/>
    <w:rsid w:val="47F25562"/>
    <w:rsid w:val="48F23662"/>
    <w:rsid w:val="4A041DB5"/>
    <w:rsid w:val="4B4E5D5E"/>
    <w:rsid w:val="4E906A33"/>
    <w:rsid w:val="4F337FD5"/>
    <w:rsid w:val="4FCC7BC5"/>
    <w:rsid w:val="50067F1B"/>
    <w:rsid w:val="51360F17"/>
    <w:rsid w:val="51373AA3"/>
    <w:rsid w:val="523666CC"/>
    <w:rsid w:val="52456C59"/>
    <w:rsid w:val="52BC6998"/>
    <w:rsid w:val="52E36F40"/>
    <w:rsid w:val="53C02053"/>
    <w:rsid w:val="54533E3E"/>
    <w:rsid w:val="55D87DB9"/>
    <w:rsid w:val="55E84EF3"/>
    <w:rsid w:val="56C129DC"/>
    <w:rsid w:val="57B27EF0"/>
    <w:rsid w:val="58714DD0"/>
    <w:rsid w:val="587F7B63"/>
    <w:rsid w:val="58890172"/>
    <w:rsid w:val="58A531B9"/>
    <w:rsid w:val="58B762CA"/>
    <w:rsid w:val="590B7573"/>
    <w:rsid w:val="59BD569A"/>
    <w:rsid w:val="5A3A6C02"/>
    <w:rsid w:val="5ABF3065"/>
    <w:rsid w:val="5ADC59C5"/>
    <w:rsid w:val="5B03314F"/>
    <w:rsid w:val="5B191766"/>
    <w:rsid w:val="5B24111A"/>
    <w:rsid w:val="5B837502"/>
    <w:rsid w:val="5C1841E6"/>
    <w:rsid w:val="5C424B52"/>
    <w:rsid w:val="5D632CD1"/>
    <w:rsid w:val="5DC7295C"/>
    <w:rsid w:val="5EDD7F5D"/>
    <w:rsid w:val="5FBA73B8"/>
    <w:rsid w:val="60B42F40"/>
    <w:rsid w:val="61F1593E"/>
    <w:rsid w:val="62171866"/>
    <w:rsid w:val="63E610A2"/>
    <w:rsid w:val="64D4584D"/>
    <w:rsid w:val="65FE5DD1"/>
    <w:rsid w:val="660D17DD"/>
    <w:rsid w:val="664B1C51"/>
    <w:rsid w:val="66752F7A"/>
    <w:rsid w:val="66981BC3"/>
    <w:rsid w:val="66D83242"/>
    <w:rsid w:val="66EB5B9A"/>
    <w:rsid w:val="677A7689"/>
    <w:rsid w:val="67A26CDE"/>
    <w:rsid w:val="67BE6A13"/>
    <w:rsid w:val="684B35BD"/>
    <w:rsid w:val="68891BED"/>
    <w:rsid w:val="68A80C0C"/>
    <w:rsid w:val="69314FE0"/>
    <w:rsid w:val="69990E04"/>
    <w:rsid w:val="69E0699C"/>
    <w:rsid w:val="6A0A1458"/>
    <w:rsid w:val="6C6D7564"/>
    <w:rsid w:val="6C8D7331"/>
    <w:rsid w:val="6D2C1DBC"/>
    <w:rsid w:val="6D401DE3"/>
    <w:rsid w:val="6DB9657F"/>
    <w:rsid w:val="6EFD6F4F"/>
    <w:rsid w:val="6F20011E"/>
    <w:rsid w:val="6FFF1475"/>
    <w:rsid w:val="70DD294E"/>
    <w:rsid w:val="71F52123"/>
    <w:rsid w:val="72907369"/>
    <w:rsid w:val="7398436E"/>
    <w:rsid w:val="73FC458A"/>
    <w:rsid w:val="74291371"/>
    <w:rsid w:val="74B26768"/>
    <w:rsid w:val="74EE6AD0"/>
    <w:rsid w:val="755239FC"/>
    <w:rsid w:val="7662726E"/>
    <w:rsid w:val="766C6359"/>
    <w:rsid w:val="768220A0"/>
    <w:rsid w:val="76E45ED5"/>
    <w:rsid w:val="77207610"/>
    <w:rsid w:val="77C12B2C"/>
    <w:rsid w:val="780D320A"/>
    <w:rsid w:val="78AF2483"/>
    <w:rsid w:val="79EB17A6"/>
    <w:rsid w:val="7AD46261"/>
    <w:rsid w:val="7B095F8D"/>
    <w:rsid w:val="7C1E6FCE"/>
    <w:rsid w:val="7DD532A2"/>
    <w:rsid w:val="7E5F5E41"/>
    <w:rsid w:val="7F2B323F"/>
    <w:rsid w:val="7FC04D1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Body Text"/>
    <w:basedOn w:val="1"/>
    <w:qFormat/>
    <w:uiPriority w:val="0"/>
    <w:pPr>
      <w:spacing w:before="93" w:beforeLines="30"/>
    </w:pPr>
    <w:rPr>
      <w:rFonts w:ascii="仿宋_GB2312" w:eastAsia="仿宋_GB2312"/>
      <w:sz w:val="30"/>
    </w:rPr>
  </w:style>
  <w:style w:type="paragraph" w:styleId="4">
    <w:name w:val="Balloon Text"/>
    <w:basedOn w:val="1"/>
    <w:semiHidden/>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page number"/>
    <w:basedOn w:val="9"/>
    <w:qFormat/>
    <w:uiPriority w:val="0"/>
  </w:style>
  <w:style w:type="character" w:styleId="11">
    <w:name w:val="FollowedHyperlink"/>
    <w:basedOn w:val="9"/>
    <w:uiPriority w:val="0"/>
    <w:rPr>
      <w:color w:val="800080"/>
      <w:u w:val="single"/>
    </w:rPr>
  </w:style>
  <w:style w:type="character" w:styleId="12">
    <w:name w:val="Hyperlink"/>
    <w:basedOn w:val="9"/>
    <w:qFormat/>
    <w:uiPriority w:val="0"/>
    <w:rPr>
      <w:color w:val="0000FF"/>
      <w:u w:val="single"/>
    </w:rPr>
  </w:style>
  <w:style w:type="character" w:customStyle="1" w:styleId="13">
    <w:name w:val="font01"/>
    <w:basedOn w:val="9"/>
    <w:qFormat/>
    <w:uiPriority w:val="0"/>
    <w:rPr>
      <w:rFonts w:hint="default" w:ascii="Arial" w:hAnsi="Arial" w:cs="Arial"/>
      <w:color w:val="000000"/>
      <w:sz w:val="20"/>
      <w:szCs w:val="20"/>
      <w:u w:val="none"/>
    </w:rPr>
  </w:style>
  <w:style w:type="character" w:customStyle="1" w:styleId="14">
    <w:name w:val="font11"/>
    <w:basedOn w:val="9"/>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4654</Words>
  <Characters>5028</Characters>
  <Lines>28</Lines>
  <Paragraphs>8</Paragraphs>
  <TotalTime>0</TotalTime>
  <ScaleCrop>false</ScaleCrop>
  <LinksUpToDate>false</LinksUpToDate>
  <CharactersWithSpaces>5078</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2013-05-09T09:41:00Z</dcterms:created>
  <dc:creator>赵树子</dc:creator>
  <cp:lastModifiedBy>酷</cp:lastModifiedBy>
  <cp:lastPrinted>2021-06-10T03:46:00Z</cp:lastPrinted>
  <dcterms:modified xsi:type="dcterms:W3CDTF">2022-10-25T03:27:58Z</dcterms:modified>
  <dc:title>四川省财政厅2011年部门预算编制说明</dc:title>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1E4719950C7140C894CD76E872CD68B1</vt:lpwstr>
  </property>
</Properties>
</file>