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ascii="黑体" w:hAnsi="黑体" w:eastAsia="黑体" w:cs="黑体"/>
          <w:bCs/>
          <w:sz w:val="52"/>
          <w:szCs w:val="52"/>
        </w:rPr>
      </w:pPr>
      <w:r>
        <w:rPr>
          <w:rFonts w:hint="eastAsia" w:ascii="黑体" w:hAnsi="黑体" w:eastAsia="黑体" w:cs="黑体"/>
          <w:bCs/>
          <w:sz w:val="52"/>
          <w:szCs w:val="52"/>
        </w:rPr>
        <w:t>辅助性岗位工作人员薪酬专项经费项目支出绩效自评报告</w:t>
      </w:r>
    </w:p>
    <w:p>
      <w:pPr>
        <w:keepNext w:val="0"/>
        <w:keepLines w:val="0"/>
        <w:pageBreakBefore w:val="0"/>
        <w:widowControl w:val="0"/>
        <w:kinsoku/>
        <w:wordWrap/>
        <w:overflowPunct/>
        <w:topLinePunct w:val="0"/>
        <w:autoSpaceDE/>
        <w:autoSpaceDN/>
        <w:bidi w:val="0"/>
        <w:adjustRightInd/>
        <w:snapToGrid/>
        <w:jc w:val="center"/>
        <w:textAlignment w:val="auto"/>
        <w:rPr>
          <w:rFonts w:ascii="黑体" w:hAnsi="黑体" w:eastAsia="黑体"/>
          <w:bCs/>
          <w:sz w:val="52"/>
          <w:szCs w:val="52"/>
        </w:rPr>
      </w:pPr>
      <w:r>
        <w:rPr>
          <w:rFonts w:hint="eastAsia" w:ascii="黑体" w:hAnsi="黑体" w:eastAsia="黑体" w:cs="黑体"/>
          <w:bCs/>
          <w:sz w:val="52"/>
          <w:szCs w:val="52"/>
        </w:rPr>
        <w:t>（2022年度）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val="0"/>
          <w:bCs w:val="0"/>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0288" behindDoc="0" locked="0" layoutInCell="1" allowOverlap="1">
                <wp:simplePos x="0" y="0"/>
                <wp:positionH relativeFrom="column">
                  <wp:posOffset>2413635</wp:posOffset>
                </wp:positionH>
                <wp:positionV relativeFrom="paragraph">
                  <wp:posOffset>260985</wp:posOffset>
                </wp:positionV>
                <wp:extent cx="2495550" cy="0"/>
                <wp:effectExtent l="0" t="0" r="19050" b="1905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90.05pt;margin-top:20.55pt;height:0pt;width:196.5pt;z-index:251660288;mso-width-relative:page;mso-height-relative:page;" filled="f" stroked="t" coordsize="21600,21600" o:gfxdata="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lCGZPdYAAAAJAQAADwAAAAAAAAABACAAAAAiAAAAZHJzL2Rvd25yZXYueG1sUEsBAhQA&#10;FAAAAAgAh07iQLu8/rn0AQAAvgMAAA4AAAAAAAAAAQAgAAAAJQEAAGRycy9lMm9Eb2MueG1sUEsF&#10;BgAAAAAGAAYAWQEAAIsFA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部门名称（公章）：</w:t>
      </w:r>
      <w:r>
        <w:rPr>
          <w:rFonts w:hint="eastAsia" w:ascii="Times New Roman" w:hAnsi="Times New Roman" w:eastAsia="黑体" w:cs="黑体"/>
          <w:b w:val="0"/>
          <w:bCs w:val="0"/>
          <w:sz w:val="32"/>
          <w:szCs w:val="32"/>
        </w:rPr>
        <w:t>盘龙区政务服务管理局</w:t>
      </w:r>
    </w:p>
    <w:p>
      <w:pPr>
        <w:adjustRightInd w:val="0"/>
        <w:snapToGrid w:val="0"/>
        <w:spacing w:line="360" w:lineRule="auto"/>
        <w:ind w:left="1260" w:leftChars="600"/>
        <w:rPr>
          <w:rFonts w:ascii="Times New Roman" w:hAnsi="Times New Roman" w:eastAsia="黑体" w:cs="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1312" behindDoc="0" locked="0" layoutInCell="1" allowOverlap="1">
                <wp:simplePos x="0" y="0"/>
                <wp:positionH relativeFrom="column">
                  <wp:posOffset>1743075</wp:posOffset>
                </wp:positionH>
                <wp:positionV relativeFrom="paragraph">
                  <wp:posOffset>254000</wp:posOffset>
                </wp:positionV>
                <wp:extent cx="3175635" cy="5715"/>
                <wp:effectExtent l="0" t="0" r="0" b="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flipV="1">
                          <a:off x="0" y="0"/>
                          <a:ext cx="3175635" cy="5715"/>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flip:y;margin-left:137.25pt;margin-top:20pt;height:0.45pt;width:250.05pt;z-index:251661312;mso-width-relative:page;mso-height-relative:page;" filled="f" stroked="t" coordsize="21600,21600" o:gfxdata="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SbbOT1wAAAAkBAAAPAAAAAAAAAAEAIAAAACIAAABkcnMvZG93bnJl&#10;di54bWxQSwECFAAUAAAACACHTuJAMZvOzv4BAADLAwAADgAAAAAAAAABACAAAAAmAQAAZHJzL2Uy&#10;b0RvYy54bWxQSwUGAAAAAAYABgBZAQAAlgU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项目单位：</w:t>
      </w:r>
      <w:r>
        <w:rPr>
          <w:rFonts w:hint="eastAsia" w:ascii="Times New Roman" w:hAnsi="Times New Roman" w:eastAsia="黑体" w:cs="黑体"/>
          <w:b w:val="0"/>
          <w:bCs w:val="0"/>
          <w:sz w:val="32"/>
          <w:szCs w:val="32"/>
        </w:rPr>
        <w:t>盘龙区政务服务管理局</w:t>
      </w:r>
    </w:p>
    <w:p>
      <w:pPr>
        <w:adjustRightInd w:val="0"/>
        <w:snapToGrid w:val="0"/>
        <w:spacing w:line="360" w:lineRule="auto"/>
        <w:ind w:left="1260" w:leftChars="600"/>
        <w:rPr>
          <w:rFonts w:ascii="Times New Roman" w:hAnsi="Times New Roman" w:eastAsia="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2336" behindDoc="0" locked="0" layoutInCell="1" allowOverlap="1">
                <wp:simplePos x="0" y="0"/>
                <wp:positionH relativeFrom="column">
                  <wp:posOffset>1743075</wp:posOffset>
                </wp:positionH>
                <wp:positionV relativeFrom="paragraph">
                  <wp:posOffset>266700</wp:posOffset>
                </wp:positionV>
                <wp:extent cx="3166110" cy="1270"/>
                <wp:effectExtent l="0" t="0" r="0" b="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3166110" cy="127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7.25pt;margin-top:21pt;height:0.1pt;width:249.3pt;z-index:251662336;mso-width-relative:page;mso-height-relative:page;" filled="f" stroked="t" coordsize="21600,21600" o:gfxdata="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vlTGMNcAAAAJAQAADwAAAAAAAAABACAAAAAiAAAAZHJzL2Rvd25yZXYueG1s&#10;UEsBAhQAFAAAAAgAh07iQKV+6oP5AQAAwQ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主管部门：</w:t>
      </w:r>
      <w:r>
        <w:rPr>
          <w:rFonts w:hint="eastAsia" w:ascii="Times New Roman" w:hAnsi="Times New Roman" w:eastAsia="黑体" w:cs="黑体"/>
          <w:b w:val="0"/>
          <w:bCs w:val="0"/>
          <w:sz w:val="32"/>
          <w:szCs w:val="32"/>
        </w:rPr>
        <w:t>盘龙区政务服务管理局</w:t>
      </w:r>
    </w:p>
    <w:p>
      <w:pPr>
        <w:adjustRightInd w:val="0"/>
        <w:snapToGrid w:val="0"/>
        <w:spacing w:line="360" w:lineRule="auto"/>
        <w:ind w:left="1260" w:leftChars="600"/>
        <w:rPr>
          <w:rFonts w:ascii="Times New Roman" w:hAnsi="Times New Roman" w:eastAsia="黑体" w:cs="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3360" behindDoc="0" locked="0" layoutInCell="1" allowOverlap="1">
                <wp:simplePos x="0" y="0"/>
                <wp:positionH relativeFrom="column">
                  <wp:posOffset>1724025</wp:posOffset>
                </wp:positionH>
                <wp:positionV relativeFrom="paragraph">
                  <wp:posOffset>254000</wp:posOffset>
                </wp:positionV>
                <wp:extent cx="3204210" cy="3175"/>
                <wp:effectExtent l="0" t="0" r="0" b="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flipV="1">
                          <a:off x="0" y="0"/>
                          <a:ext cx="3204210" cy="3175"/>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flip:y;margin-left:135.75pt;margin-top:20pt;height:0.25pt;width:252.3pt;z-index:251663360;mso-width-relative:page;mso-height-relative:page;" filled="f" stroked="t" coordsize="21600,21600" o:gfxdata="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ZCmeLXAAAACQEAAA8AAAAAAAAAAQAgAAAAIgAAAGRycy9kb3ducmV2&#10;LnhtbFBLAQIUABQAAAAIAIdO4kAFXsDR/QEAAMs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项目名称：</w:t>
      </w:r>
      <w:r>
        <w:rPr>
          <w:rFonts w:hint="eastAsia" w:ascii="Times New Roman" w:hAnsi="Times New Roman" w:eastAsia="黑体" w:cs="黑体"/>
          <w:b w:val="0"/>
          <w:bCs w:val="0"/>
          <w:sz w:val="32"/>
          <w:szCs w:val="32"/>
        </w:rPr>
        <w:t>辅助性岗位工作人员薪酬专项经费</w:t>
      </w:r>
    </w:p>
    <w:p>
      <w:pPr>
        <w:adjustRightInd w:val="0"/>
        <w:snapToGrid w:val="0"/>
        <w:spacing w:line="360" w:lineRule="auto"/>
        <w:ind w:left="1260" w:leftChars="600"/>
        <w:rPr>
          <w:rFonts w:ascii="Times New Roman" w:hAnsi="Times New Roman" w:eastAsia="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4384" behindDoc="0" locked="0" layoutInCell="1" allowOverlap="1">
                <wp:simplePos x="0" y="0"/>
                <wp:positionH relativeFrom="column">
                  <wp:posOffset>2133600</wp:posOffset>
                </wp:positionH>
                <wp:positionV relativeFrom="paragraph">
                  <wp:posOffset>257175</wp:posOffset>
                </wp:positionV>
                <wp:extent cx="2804160" cy="1270"/>
                <wp:effectExtent l="0" t="0" r="0" b="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804160" cy="127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68pt;margin-top:20.25pt;height:0.1pt;width:220.8pt;z-index:251664384;mso-width-relative:page;mso-height-relative:page;" filled="f" stroked="t" coordsize="21600,21600" o:gfxdata="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XFXKNNgAAAAJAQAADwAAAAAAAAABACAAAAAiAAAAZHJzL2Rvd25yZXYueG1s&#10;UEsBAhQAFAAAAAgAh07iQKSssEf4AQAAwQMAAA4AAAAAAAAAAQAgAAAAJw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绩效自评日期：</w:t>
      </w:r>
      <w:r>
        <w:rPr>
          <w:rFonts w:ascii="Times New Roman" w:hAnsi="Times New Roman" w:eastAsia="黑体"/>
          <w:b/>
          <w:bCs/>
          <w:sz w:val="32"/>
          <w:szCs w:val="32"/>
        </w:rPr>
        <w:t xml:space="preserve"> </w:t>
      </w:r>
      <w:r>
        <w:rPr>
          <w:rFonts w:hint="eastAsia" w:ascii="Times New Roman" w:hAnsi="Times New Roman" w:eastAsia="黑体"/>
          <w:b w:val="0"/>
          <w:bCs w:val="0"/>
          <w:sz w:val="32"/>
          <w:szCs w:val="32"/>
        </w:rPr>
        <w:t>2023年4月25日</w:t>
      </w:r>
    </w:p>
    <w:p>
      <w:pPr>
        <w:spacing w:line="360" w:lineRule="auto"/>
        <w:ind w:left="1218" w:leftChars="580"/>
        <w:rPr>
          <w:rFonts w:ascii="Times New Roman" w:hAnsi="Times New Roman" w:eastAsia="黑体"/>
          <w:b/>
          <w:bCs/>
          <w:sz w:val="32"/>
          <w:szCs w:val="32"/>
        </w:rPr>
      </w:pPr>
    </w:p>
    <w:p>
      <w:pPr>
        <w:spacing w:line="360" w:lineRule="auto"/>
        <w:ind w:left="1218" w:leftChars="580"/>
        <w:rPr>
          <w:rFonts w:ascii="Times New Roman" w:hAnsi="Times New Roman" w:eastAsia="黑体"/>
          <w:b/>
          <w:bCs/>
          <w:sz w:val="32"/>
          <w:szCs w:val="32"/>
        </w:rPr>
      </w:pPr>
    </w:p>
    <w:p>
      <w:pPr>
        <w:spacing w:line="360" w:lineRule="auto"/>
        <w:ind w:left="1218" w:leftChars="580"/>
        <w:rPr>
          <w:rFonts w:ascii="Times New Roman" w:hAnsi="Times New Roman" w:eastAsia="黑体"/>
          <w:b/>
          <w:bCs/>
          <w:sz w:val="32"/>
          <w:szCs w:val="32"/>
        </w:rPr>
      </w:pPr>
    </w:p>
    <w:p>
      <w:pPr>
        <w:spacing w:line="360" w:lineRule="auto"/>
        <w:ind w:left="1218" w:leftChars="580"/>
        <w:rPr>
          <w:rFonts w:ascii="Times New Roman" w:hAnsi="Times New Roman" w:eastAsia="黑体"/>
          <w:b/>
          <w:bCs/>
          <w:sz w:val="32"/>
          <w:szCs w:val="32"/>
        </w:rPr>
      </w:pPr>
    </w:p>
    <w:p>
      <w:pPr>
        <w:spacing w:line="360" w:lineRule="auto"/>
        <w:ind w:left="1218" w:leftChars="580"/>
        <w:rPr>
          <w:rFonts w:ascii="Times New Roman" w:hAnsi="Times New Roman" w:eastAsia="黑体"/>
          <w:b/>
          <w:bCs/>
          <w:sz w:val="32"/>
          <w:szCs w:val="32"/>
        </w:rPr>
      </w:pPr>
    </w:p>
    <w:p>
      <w:pPr>
        <w:spacing w:line="360" w:lineRule="auto"/>
        <w:ind w:left="1218" w:leftChars="580"/>
        <w:rPr>
          <w:rFonts w:ascii="Times New Roman" w:hAnsi="Times New Roman" w:eastAsia="黑体"/>
          <w:b/>
          <w:bCs/>
          <w:sz w:val="32"/>
          <w:szCs w:val="32"/>
        </w:rPr>
      </w:pPr>
    </w:p>
    <w:p>
      <w:pPr>
        <w:jc w:val="center"/>
        <w:rPr>
          <w:rFonts w:ascii="Times New Roman" w:hAnsi="Times New Roman" w:eastAsia="黑体" w:cs="黑体"/>
          <w:b/>
          <w:bCs/>
          <w:sz w:val="32"/>
          <w:szCs w:val="32"/>
        </w:rPr>
      </w:pPr>
      <w:r>
        <w:rPr>
          <w:rFonts w:ascii="Times New Roman" w:hAnsi="Times New Roman" w:eastAsia="黑体"/>
          <w:b/>
          <w:bCs/>
          <w:sz w:val="32"/>
          <w:szCs w:val="32"/>
        </w:rPr>
        <w:t>20</w:t>
      </w:r>
      <w:r>
        <w:rPr>
          <w:rFonts w:hint="eastAsia" w:ascii="Times New Roman" w:hAnsi="Times New Roman" w:eastAsia="黑体"/>
          <w:b/>
          <w:bCs/>
          <w:sz w:val="32"/>
          <w:szCs w:val="32"/>
        </w:rPr>
        <w:t>23</w:t>
      </w:r>
      <w:r>
        <w:rPr>
          <w:rFonts w:hint="eastAsia" w:ascii="Times New Roman" w:hAnsi="Times New Roman" w:eastAsia="黑体" w:cs="黑体"/>
          <w:b/>
          <w:bCs/>
          <w:sz w:val="32"/>
          <w:szCs w:val="32"/>
        </w:rPr>
        <w:t>年</w:t>
      </w:r>
      <w:r>
        <w:rPr>
          <w:rFonts w:hint="eastAsia" w:ascii="Times New Roman" w:hAnsi="Times New Roman" w:eastAsia="黑体"/>
          <w:b/>
          <w:bCs/>
          <w:sz w:val="32"/>
          <w:szCs w:val="32"/>
        </w:rPr>
        <w:t>4</w:t>
      </w:r>
      <w:r>
        <w:rPr>
          <w:rFonts w:hint="eastAsia" w:ascii="Times New Roman" w:hAnsi="Times New Roman" w:eastAsia="黑体" w:cs="黑体"/>
          <w:b/>
          <w:bCs/>
          <w:sz w:val="32"/>
          <w:szCs w:val="32"/>
        </w:rPr>
        <w:t>月</w:t>
      </w:r>
    </w:p>
    <w:p>
      <w:pPr>
        <w:jc w:val="center"/>
        <w:rPr>
          <w:rFonts w:ascii="Times New Roman" w:hAnsi="Times New Roman" w:eastAsia="黑体" w:cs="黑体"/>
          <w:b/>
          <w:bCs/>
          <w:sz w:val="28"/>
          <w:szCs w:val="28"/>
        </w:rPr>
      </w:pPr>
    </w:p>
    <w:p>
      <w:pPr>
        <w:spacing w:line="360" w:lineRule="auto"/>
        <w:rPr>
          <w:rFonts w:ascii="黑体" w:hAnsi="黑体" w:eastAsia="黑体"/>
          <w:color w:val="000000"/>
          <w:sz w:val="28"/>
          <w:szCs w:val="28"/>
          <w:u w:color="000000"/>
          <w:lang w:val="zh-TW" w:eastAsia="zh-TW"/>
        </w:rPr>
      </w:pPr>
      <w:r>
        <w:rPr>
          <w:rFonts w:hint="eastAsia" w:ascii="黑体" w:hAnsi="黑体" w:eastAsia="黑体" w:cs="黑体"/>
          <w:color w:val="000000"/>
          <w:sz w:val="28"/>
          <w:szCs w:val="28"/>
          <w:u w:color="000000"/>
          <w:lang w:val="zh-TW" w:eastAsia="zh-TW"/>
        </w:rPr>
        <w:t>评价小组成员：</w:t>
      </w:r>
    </w:p>
    <w:tbl>
      <w:tblPr>
        <w:tblStyle w:val="6"/>
        <w:tblpPr w:leftFromText="180" w:rightFromText="180" w:vertAnchor="text" w:horzAnchor="margin" w:tblpXSpec="center" w:tblpY="108"/>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9"/>
        <w:gridCol w:w="1156"/>
        <w:gridCol w:w="1626"/>
        <w:gridCol w:w="2693"/>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评价小组</w:t>
            </w: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机构职位</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姓名</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职务/职称</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所属单位/处室</w:t>
            </w:r>
          </w:p>
        </w:tc>
        <w:tc>
          <w:tcPr>
            <w:tcW w:w="2268"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组  长</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周  英</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局  长</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副组长</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陈  媛</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副局长</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副组长</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黄朝穗</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副局长</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副组长</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郭  娜</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副局长</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胡  旭</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办公室主任</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高  雄</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信息科科长</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安  龙</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审改科科长</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范茂康</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窗口科科长</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吴皓荒</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公管科科长</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赵  慧</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审批科科长</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3" w:hRule="atLeast"/>
        </w:trPr>
        <w:tc>
          <w:tcPr>
            <w:tcW w:w="9322" w:type="dxa"/>
            <w:gridSpan w:val="5"/>
          </w:tcPr>
          <w:p>
            <w:pPr>
              <w:spacing w:line="360" w:lineRule="auto"/>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报告撰写人（签字）：</w:t>
            </w:r>
          </w:p>
          <w:p>
            <w:pPr>
              <w:wordWrap w:val="0"/>
              <w:spacing w:line="360" w:lineRule="auto"/>
              <w:jc w:val="both"/>
              <w:rPr>
                <w:rFonts w:hint="eastAsia" w:ascii="黑体" w:hAnsi="黑体" w:eastAsia="黑体" w:cs="黑体"/>
                <w:color w:val="000000"/>
                <w:sz w:val="24"/>
                <w:szCs w:val="24"/>
                <w:u w:color="000000"/>
                <w:lang w:val="zh-TW"/>
              </w:rPr>
            </w:pPr>
          </w:p>
          <w:p>
            <w:pPr>
              <w:wordWrap w:val="0"/>
              <w:spacing w:line="360" w:lineRule="auto"/>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322" w:type="dxa"/>
            <w:gridSpan w:val="5"/>
          </w:tcPr>
          <w:p>
            <w:pPr>
              <w:spacing w:line="360" w:lineRule="auto"/>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评价工作负责人（签字）：</w:t>
            </w:r>
          </w:p>
          <w:p>
            <w:pPr>
              <w:spacing w:line="360" w:lineRule="auto"/>
              <w:jc w:val="center"/>
              <w:rPr>
                <w:rFonts w:ascii="黑体" w:hAnsi="黑体" w:eastAsia="黑体" w:cs="黑体"/>
                <w:color w:val="000000"/>
                <w:sz w:val="24"/>
                <w:szCs w:val="24"/>
                <w:u w:color="000000"/>
                <w:lang w:val="zh-TW"/>
              </w:rPr>
            </w:pPr>
          </w:p>
          <w:p>
            <w:pPr>
              <w:spacing w:line="360" w:lineRule="auto"/>
              <w:jc w:val="center"/>
              <w:rPr>
                <w:rFonts w:ascii="黑体" w:hAnsi="黑体" w:eastAsia="黑体" w:cs="黑体"/>
                <w:color w:val="000000"/>
                <w:sz w:val="24"/>
                <w:szCs w:val="24"/>
                <w:u w:color="000000"/>
                <w:lang w:val="zh-TW"/>
              </w:rPr>
            </w:pPr>
          </w:p>
          <w:p>
            <w:pPr>
              <w:wordWrap w:val="0"/>
              <w:spacing w:line="360" w:lineRule="auto"/>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年   月   日</w:t>
            </w:r>
          </w:p>
        </w:tc>
      </w:tr>
    </w:tbl>
    <w:p>
      <w:pPr>
        <w:pStyle w:val="10"/>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lang w:val="zh-CN"/>
        </w:rPr>
        <w:t>目</w:t>
      </w:r>
      <w:r>
        <w:rPr>
          <w:rFonts w:hint="eastAsia" w:ascii="方正小标宋简体" w:hAnsi="方正小标宋简体" w:eastAsia="方正小标宋简体" w:cs="方正小标宋简体"/>
          <w:b w:val="0"/>
          <w:bCs w:val="0"/>
          <w:color w:val="auto"/>
          <w:sz w:val="44"/>
          <w:szCs w:val="44"/>
          <w:lang w:val="en-US" w:eastAsia="zh-CN"/>
        </w:rPr>
        <w:t xml:space="preserve"> </w:t>
      </w:r>
      <w:r>
        <w:rPr>
          <w:rFonts w:hint="eastAsia" w:ascii="方正小标宋简体" w:hAnsi="方正小标宋简体" w:eastAsia="方正小标宋简体" w:cs="方正小标宋简体"/>
          <w:b w:val="0"/>
          <w:bCs w:val="0"/>
          <w:color w:val="auto"/>
          <w:sz w:val="44"/>
          <w:szCs w:val="44"/>
          <w:lang w:val="zh-CN"/>
        </w:rPr>
        <w:t>录</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摘要</w:t>
      </w:r>
      <w:r>
        <w:rPr>
          <w:rFonts w:hint="eastAsia" w:ascii="黑体" w:hAnsi="黑体" w:eastAsia="黑体" w:cs="黑体"/>
          <w:sz w:val="32"/>
          <w:szCs w:val="32"/>
        </w:rPr>
        <w:tab/>
      </w:r>
      <w:r>
        <w:rPr>
          <w:rFonts w:hint="eastAsia" w:ascii="黑体" w:hAnsi="黑体" w:eastAsia="黑体" w:cs="黑体"/>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一、项目基本情况</w:t>
      </w:r>
      <w:r>
        <w:rPr>
          <w:rFonts w:hint="eastAsia" w:ascii="黑体" w:hAnsi="黑体" w:eastAsia="黑体" w:cs="黑体"/>
          <w:sz w:val="32"/>
          <w:szCs w:val="32"/>
        </w:rPr>
        <w:tab/>
      </w:r>
      <w:r>
        <w:rPr>
          <w:rFonts w:hint="eastAsia" w:ascii="黑体" w:hAnsi="黑体" w:eastAsia="黑体" w:cs="黑体"/>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（一）项目立项背景</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（二）项目立项依据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（三）项目实施内容</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（四）项目实施计划及完成情况</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（五）项目的组织及管理</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（六）项目绩效目标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二、绩效评价工作情况</w:t>
      </w:r>
      <w:r>
        <w:rPr>
          <w:rFonts w:hint="eastAsia" w:ascii="黑体" w:hAnsi="黑体" w:eastAsia="黑体" w:cs="黑体"/>
          <w:sz w:val="32"/>
          <w:szCs w:val="32"/>
        </w:rPr>
        <w:tab/>
      </w:r>
      <w:r>
        <w:rPr>
          <w:rFonts w:hint="eastAsia" w:ascii="黑体" w:hAnsi="黑体" w:eastAsia="黑体" w:cs="黑体"/>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评价的目的和依据</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绩效评价工作方案制定过程</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三</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绩效评价原则、评价方法等</w:t>
      </w:r>
      <w:r>
        <w:rPr>
          <w:rFonts w:hint="eastAsia" w:ascii="楷体_GB2312" w:hAnsi="楷体_GB2312" w:eastAsia="楷体_GB2312" w:cs="楷体_GB2312"/>
          <w:sz w:val="32"/>
          <w:szCs w:val="32"/>
        </w:rPr>
        <w:tab/>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四</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绩效评价实施过程</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五</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绩效评价的局限性</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 xml:space="preserve">三、评价结论及绩效分析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评价结论</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绩效分析</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 xml:space="preserve">四、项目主要经验及做法、存在的问题和建议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主要经验及做法</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存在的问题</w:t>
      </w:r>
      <w:r>
        <w:rPr>
          <w:rFonts w:hint="eastAsia" w:ascii="楷体_GB2312" w:hAnsi="楷体_GB2312" w:eastAsia="楷体_GB2312" w:cs="楷体_GB2312"/>
          <w:sz w:val="32"/>
          <w:szCs w:val="32"/>
        </w:rPr>
        <w:tab/>
      </w:r>
      <w:r>
        <w:rPr>
          <w:rFonts w:hint="eastAsia" w:ascii="楷体_GB2312" w:hAnsi="楷体_GB2312" w:eastAsia="楷体_GB2312" w:cs="楷体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三</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 xml:space="preserve">建议和改进措施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rPr>
        <w:t>五、附件</w:t>
      </w:r>
      <w:r>
        <w:rPr>
          <w:rFonts w:hint="eastAsia" w:ascii="黑体" w:hAnsi="黑体" w:eastAsia="黑体" w:cs="黑体"/>
          <w:sz w:val="32"/>
          <w:szCs w:val="32"/>
        </w:rPr>
        <w:tab/>
      </w:r>
      <w:r>
        <w:rPr>
          <w:rFonts w:hint="eastAsia" w:ascii="黑体" w:hAnsi="黑体" w:eastAsia="黑体" w:cs="黑体"/>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附件2：项目支出绩效评价共性指标体系框架</w:t>
      </w:r>
    </w:p>
    <w:p>
      <w:pPr>
        <w:spacing w:line="540" w:lineRule="exact"/>
        <w:rPr>
          <w:rFonts w:ascii="仿宋" w:hAnsi="仿宋" w:eastAsia="仿宋"/>
          <w:sz w:val="32"/>
          <w:szCs w:val="32"/>
        </w:rPr>
      </w:pPr>
    </w:p>
    <w:p>
      <w:pPr>
        <w:spacing w:line="540" w:lineRule="exact"/>
        <w:rPr>
          <w:rFonts w:ascii="仿宋" w:hAnsi="仿宋" w:eastAsia="仿宋"/>
          <w:sz w:val="32"/>
          <w:szCs w:val="32"/>
        </w:rPr>
      </w:pPr>
    </w:p>
    <w:p>
      <w:pPr>
        <w:topLinePunct/>
        <w:spacing w:line="440" w:lineRule="exact"/>
        <w:ind w:firstLine="1100" w:firstLineChars="250"/>
        <w:jc w:val="center"/>
        <w:rPr>
          <w:rFonts w:hint="eastAsia" w:ascii="方正小标宋_GBK" w:eastAsia="方正小标宋_GBK"/>
          <w:sz w:val="44"/>
          <w:szCs w:val="44"/>
        </w:rPr>
      </w:pPr>
    </w:p>
    <w:p>
      <w:pPr>
        <w:keepNext w:val="0"/>
        <w:keepLines w:val="0"/>
        <w:pageBreakBefore w:val="0"/>
        <w:widowControl w:val="0"/>
        <w:kinsoku/>
        <w:wordWrap/>
        <w:overflowPunct/>
        <w:topLinePunct/>
        <w:autoSpaceDE/>
        <w:autoSpaceDN/>
        <w:bidi w:val="0"/>
        <w:adjustRightInd/>
        <w:snapToGrid/>
        <w:spacing w:line="660" w:lineRule="exact"/>
        <w:jc w:val="center"/>
        <w:textAlignment w:val="auto"/>
        <w:rPr>
          <w:rFonts w:hint="eastAsia" w:ascii="方正小标宋_GBK" w:eastAsia="方正小标宋_GBK"/>
          <w:sz w:val="44"/>
          <w:szCs w:val="44"/>
        </w:rPr>
      </w:pPr>
      <w:r>
        <w:rPr>
          <w:rFonts w:hint="eastAsia" w:ascii="方正小标宋_GBK" w:eastAsia="方正小标宋_GBK"/>
          <w:sz w:val="44"/>
          <w:szCs w:val="44"/>
        </w:rPr>
        <w:t>辅助性岗位工作人员薪酬专项经费</w:t>
      </w:r>
    </w:p>
    <w:p>
      <w:pPr>
        <w:keepNext w:val="0"/>
        <w:keepLines w:val="0"/>
        <w:pageBreakBefore w:val="0"/>
        <w:widowControl w:val="0"/>
        <w:kinsoku/>
        <w:wordWrap/>
        <w:overflowPunct/>
        <w:topLinePunct/>
        <w:autoSpaceDE/>
        <w:autoSpaceDN/>
        <w:bidi w:val="0"/>
        <w:adjustRightInd/>
        <w:snapToGrid/>
        <w:spacing w:line="660" w:lineRule="exact"/>
        <w:jc w:val="center"/>
        <w:textAlignment w:val="auto"/>
        <w:rPr>
          <w:rFonts w:ascii="方正小标宋_GBK" w:eastAsia="方正小标宋_GBK"/>
          <w:sz w:val="44"/>
          <w:szCs w:val="44"/>
        </w:rPr>
      </w:pPr>
      <w:r>
        <w:rPr>
          <w:rFonts w:hint="eastAsia" w:ascii="方正小标宋_GBK" w:eastAsia="方正小标宋_GBK"/>
          <w:sz w:val="44"/>
          <w:szCs w:val="44"/>
        </w:rPr>
        <w:t>项目支出绩效自评报告</w:t>
      </w:r>
    </w:p>
    <w:p>
      <w:pPr>
        <w:topLinePunct/>
        <w:spacing w:line="440" w:lineRule="exact"/>
        <w:ind w:firstLine="800" w:firstLineChars="250"/>
        <w:rPr>
          <w:rFonts w:hint="eastAsia" w:ascii="黑体" w:eastAsia="黑体"/>
          <w:sz w:val="32"/>
          <w:szCs w:val="32"/>
        </w:rPr>
      </w:pP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黑体" w:eastAsia="黑体"/>
          <w:sz w:val="32"/>
          <w:szCs w:val="32"/>
        </w:rPr>
      </w:pPr>
      <w:r>
        <w:rPr>
          <w:rFonts w:hint="eastAsia" w:ascii="黑体" w:eastAsia="黑体"/>
          <w:sz w:val="32"/>
          <w:szCs w:val="32"/>
        </w:rPr>
        <w:t>一、项目基本情况</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楷体" w:hAnsi="楷体" w:eastAsia="楷体"/>
          <w:sz w:val="32"/>
          <w:szCs w:val="32"/>
        </w:rPr>
      </w:pPr>
      <w:r>
        <w:rPr>
          <w:rFonts w:hint="eastAsia" w:ascii="楷体" w:hAnsi="楷体" w:eastAsia="楷体"/>
          <w:sz w:val="32"/>
          <w:szCs w:val="32"/>
        </w:rPr>
        <w:t>（一）项目概况</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1.立项背景及目的</w:t>
      </w:r>
    </w:p>
    <w:p>
      <w:pPr>
        <w:keepNext w:val="0"/>
        <w:keepLines w:val="0"/>
        <w:pageBreakBefore w:val="0"/>
        <w:widowControl w:val="0"/>
        <w:kinsoku/>
        <w:wordWrap/>
        <w:overflowPunct/>
        <w:autoSpaceDE/>
        <w:autoSpaceDN/>
        <w:bidi w:val="0"/>
        <w:adjustRightInd/>
        <w:snapToGrid/>
        <w:spacing w:line="580" w:lineRule="exact"/>
        <w:ind w:left="0" w:leftChars="0" w:right="0"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根据《盘龙区关于加强政务服务工作推进政务服务“一窗式”综合办理和网上审批平台建设的实施方案》（盘政办通〔2016〕84号）工作要求，2016年盘龙区率先在全省启动“互联网+政务服务”和“一窗式”三级联动综合办理体系建设，为进一步优化政务服务软环境，提高窗口办事效率，以政府购买服务方式公开统一招聘窗口工作人员117人，招聘工资标准参照社区干部工资进行发放。2018年，按照《昆明市人民政府关于昆明市加快推进“互联网+政务服务+公共资源交易+投资服务”的实施意见》（昆政发〔2017〕35号）和《昆明市盘龙区人民政府办公室关于印发&lt;盘龙区压缩企业开办时间工作方案&gt;的通知》（盘政办通〔2018〕118号）工作要求，为压缩企业开办时间，优化营商环境，新增了10名窗口工作人员。2021年7月</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接到区人力资源和社会保障局《关于核定编外用工指标的通知》文件，经2021年7月13日政务大厅建设专题调研会议研究同意，核定</w:t>
      </w:r>
      <w:r>
        <w:rPr>
          <w:rFonts w:hint="eastAsia" w:ascii="Times New Roman" w:hAnsi="Times New Roman" w:eastAsia="仿宋_GB2312"/>
          <w:sz w:val="32"/>
          <w:szCs w:val="32"/>
          <w:lang w:eastAsia="zh-CN"/>
        </w:rPr>
        <w:t>区政务服务局</w:t>
      </w:r>
      <w:r>
        <w:rPr>
          <w:rFonts w:hint="eastAsia" w:ascii="Times New Roman" w:hAnsi="Times New Roman" w:eastAsia="仿宋_GB2312"/>
          <w:sz w:val="32"/>
          <w:szCs w:val="32"/>
        </w:rPr>
        <w:t>编外用工指标127 个，用工经费按原标准、原渠道给予保障。编外人员的管理和使用严格按照《盘龙区机关事业单位辅助性岗位用工管理暂行办法》规定执行。</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2.项目实施情况</w:t>
      </w:r>
    </w:p>
    <w:p>
      <w:pPr>
        <w:keepNext w:val="0"/>
        <w:keepLines w:val="0"/>
        <w:pageBreakBefore w:val="0"/>
        <w:widowControl w:val="0"/>
        <w:kinsoku/>
        <w:wordWrap/>
        <w:overflowPunct/>
        <w:autoSpaceDE/>
        <w:autoSpaceDN/>
        <w:bidi w:val="0"/>
        <w:adjustRightInd/>
        <w:snapToGrid/>
        <w:spacing w:line="580" w:lineRule="exact"/>
        <w:ind w:left="0" w:leftChars="0" w:right="0"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全年经费由</w:t>
      </w:r>
      <w:r>
        <w:rPr>
          <w:rFonts w:hint="eastAsia" w:ascii="Times New Roman" w:hAnsi="Times New Roman" w:eastAsia="仿宋_GB2312"/>
          <w:sz w:val="32"/>
          <w:szCs w:val="32"/>
          <w:lang w:val="en-US" w:eastAsia="zh-CN"/>
        </w:rPr>
        <w:t>区</w:t>
      </w:r>
      <w:r>
        <w:rPr>
          <w:rFonts w:hint="eastAsia" w:ascii="Times New Roman" w:hAnsi="Times New Roman" w:eastAsia="仿宋_GB2312"/>
          <w:sz w:val="32"/>
          <w:szCs w:val="32"/>
        </w:rPr>
        <w:t>财政下达后根据实际聘用人员人数，按</w:t>
      </w:r>
      <w:r>
        <w:rPr>
          <w:rFonts w:hint="eastAsia" w:ascii="Times New Roman" w:hAnsi="Times New Roman" w:eastAsia="仿宋_GB2312"/>
          <w:sz w:val="32"/>
          <w:szCs w:val="32"/>
          <w:lang w:eastAsia="zh-CN"/>
        </w:rPr>
        <w:t>区政务服务局</w:t>
      </w:r>
      <w:r>
        <w:rPr>
          <w:rFonts w:hint="eastAsia" w:ascii="Times New Roman" w:hAnsi="Times New Roman" w:eastAsia="仿宋_GB2312"/>
          <w:sz w:val="32"/>
          <w:szCs w:val="32"/>
        </w:rPr>
        <w:t>《纪律考勤管理制度》 (盘政务局［2017］59号)和《盘龙区政务服务管理局劳务派遣人员绩效考核管理办法（试行办法）》(盘政务局［2021］4号)规定进行严格考核，据实拨付资金，所需费用从辅助性岗位工作人员薪酬专项经费中列支。每月初需将本月社会保险费及管理费、上月聘用人员工资和每季度末将季度绩效考核奖拨到第三方劳务派遣公司账户，确保辅助性岗位人员工资、社保缴费及绩效奖正常发放，更好地完成</w:t>
      </w:r>
      <w:r>
        <w:rPr>
          <w:rFonts w:hint="eastAsia" w:ascii="Times New Roman" w:hAnsi="Times New Roman" w:eastAsia="仿宋_GB2312"/>
          <w:sz w:val="32"/>
          <w:szCs w:val="32"/>
          <w:lang w:eastAsia="zh-CN"/>
        </w:rPr>
        <w:t>区政务服务局</w:t>
      </w:r>
      <w:r>
        <w:rPr>
          <w:rFonts w:hint="eastAsia" w:ascii="Times New Roman" w:hAnsi="Times New Roman" w:eastAsia="仿宋_GB2312"/>
          <w:sz w:val="32"/>
          <w:szCs w:val="32"/>
        </w:rPr>
        <w:t>经费支出进度。</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3.资金来源及使用情况</w:t>
      </w:r>
    </w:p>
    <w:p>
      <w:pPr>
        <w:keepNext w:val="0"/>
        <w:keepLines w:val="0"/>
        <w:pageBreakBefore w:val="0"/>
        <w:widowControl w:val="0"/>
        <w:kinsoku/>
        <w:wordWrap/>
        <w:overflowPunct/>
        <w:autoSpaceDE/>
        <w:autoSpaceDN/>
        <w:bidi w:val="0"/>
        <w:adjustRightInd/>
        <w:snapToGrid/>
        <w:spacing w:line="580" w:lineRule="exact"/>
        <w:ind w:left="0" w:leftChars="0" w:right="0"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区政务服务局以委托第三方劳务派遣公司的方式公开统一招聘窗口工作人员127人，按盘龙区2022年财政补助人员定额标准预算，均参照社区工作人员进行。其中人员工资：工资标准3400元/人/月*127人*13个月=5,613,400元；社会保险缴费：社保缴费基数1417元/人/月*127人*12个月=2,159,508元；绩效考核奖励经费：340元/人/月*127人*12个月=518,160元，由区财政局安排资金拨付。2022年全年支付辅助性岗位工作人员薪酬专项经费7,309,794.13元。</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hint="eastAsia" w:ascii="仿宋_GB2312" w:hAnsi="楷体" w:eastAsia="仿宋_GB2312"/>
          <w:b/>
          <w:bCs/>
          <w:sz w:val="32"/>
          <w:szCs w:val="32"/>
        </w:rPr>
      </w:pPr>
      <w:r>
        <w:rPr>
          <w:rFonts w:hint="eastAsia" w:ascii="仿宋_GB2312" w:hAnsi="楷体" w:eastAsia="仿宋_GB2312"/>
          <w:b/>
          <w:bCs/>
          <w:sz w:val="32"/>
          <w:szCs w:val="32"/>
        </w:rPr>
        <w:t>4.组织及管理情况</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Times New Roman" w:hAnsi="Times New Roman" w:eastAsia="楷体_GB2312"/>
          <w:sz w:val="32"/>
          <w:szCs w:val="32"/>
        </w:rPr>
      </w:pPr>
      <w:r>
        <w:rPr>
          <w:rFonts w:hint="eastAsia" w:ascii="仿宋_GB2312" w:hAnsi="楷体" w:eastAsia="仿宋_GB2312"/>
          <w:sz w:val="32"/>
          <w:szCs w:val="32"/>
        </w:rPr>
        <w:t>包括项目组织情况、项目实施流程、资金拨付流程。</w:t>
      </w:r>
    </w:p>
    <w:p>
      <w:pPr>
        <w:keepNext w:val="0"/>
        <w:keepLines w:val="0"/>
        <w:pageBreakBefore w:val="0"/>
        <w:widowControl w:val="0"/>
        <w:kinsoku/>
        <w:wordWrap/>
        <w:overflowPunct/>
        <w:autoSpaceDE/>
        <w:autoSpaceDN/>
        <w:bidi w:val="0"/>
        <w:adjustRightInd/>
        <w:snapToGrid/>
        <w:spacing w:line="580" w:lineRule="exact"/>
        <w:ind w:left="0" w:leftChars="0" w:right="0" w:firstLine="640" w:firstLineChars="200"/>
        <w:jc w:val="both"/>
        <w:textAlignment w:val="auto"/>
        <w:rPr>
          <w:rFonts w:ascii="Times New Roman" w:hAnsi="Times New Roman" w:eastAsia="楷体_GB2312"/>
          <w:sz w:val="32"/>
          <w:szCs w:val="32"/>
        </w:rPr>
      </w:pPr>
      <w:r>
        <w:rPr>
          <w:rFonts w:ascii="Times New Roman" w:hAnsi="Times New Roman" w:eastAsia="楷体_GB2312"/>
          <w:sz w:val="32"/>
          <w:szCs w:val="32"/>
        </w:rPr>
        <w:t>（</w:t>
      </w:r>
      <w:r>
        <w:rPr>
          <w:rFonts w:hint="eastAsia" w:ascii="Times New Roman" w:hAnsi="Times New Roman" w:eastAsia="楷体_GB2312"/>
          <w:sz w:val="32"/>
          <w:szCs w:val="32"/>
          <w:lang w:val="en-US" w:eastAsia="zh-CN"/>
        </w:rPr>
        <w:t>二</w:t>
      </w:r>
      <w:r>
        <w:rPr>
          <w:rFonts w:ascii="Times New Roman" w:hAnsi="Times New Roman" w:eastAsia="楷体_GB2312"/>
          <w:sz w:val="32"/>
          <w:szCs w:val="32"/>
        </w:rPr>
        <w:t>）项目监督</w:t>
      </w:r>
    </w:p>
    <w:p>
      <w:pPr>
        <w:keepNext w:val="0"/>
        <w:keepLines w:val="0"/>
        <w:pageBreakBefore w:val="0"/>
        <w:widowControl w:val="0"/>
        <w:kinsoku/>
        <w:wordWrap/>
        <w:overflowPunct/>
        <w:autoSpaceDE/>
        <w:autoSpaceDN/>
        <w:bidi w:val="0"/>
        <w:adjustRightInd/>
        <w:snapToGrid/>
        <w:spacing w:line="580" w:lineRule="exact"/>
        <w:ind w:left="0" w:leftChars="0" w:right="0"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根据《昆明市盘龙区政务服务管理局职能配置、内设机构和人员编制规定》的相关要求以及</w:t>
      </w:r>
      <w:r>
        <w:rPr>
          <w:rFonts w:hint="eastAsia" w:ascii="Times New Roman" w:hAnsi="Times New Roman" w:eastAsia="仿宋_GB2312"/>
          <w:sz w:val="32"/>
          <w:szCs w:val="32"/>
          <w:lang w:eastAsia="zh-CN"/>
        </w:rPr>
        <w:t>区政务服务局</w:t>
      </w:r>
      <w:r>
        <w:rPr>
          <w:rFonts w:hint="eastAsia" w:ascii="Times New Roman" w:hAnsi="Times New Roman" w:eastAsia="仿宋_GB2312"/>
          <w:sz w:val="32"/>
          <w:szCs w:val="32"/>
        </w:rPr>
        <w:t>内控制度，严格开展项目支出绩效自评，将项目支出后的实际</w:t>
      </w:r>
      <w:r>
        <w:rPr>
          <w:rFonts w:hint="eastAsia" w:ascii="Times New Roman" w:hAnsi="Times New Roman" w:eastAsia="仿宋_GB2312"/>
          <w:sz w:val="32"/>
          <w:szCs w:val="32"/>
          <w:lang w:val="en-US" w:eastAsia="zh-CN"/>
        </w:rPr>
        <w:t>情况</w:t>
      </w:r>
      <w:r>
        <w:rPr>
          <w:rFonts w:hint="eastAsia" w:ascii="Times New Roman" w:hAnsi="Times New Roman" w:eastAsia="仿宋_GB2312"/>
          <w:sz w:val="32"/>
          <w:szCs w:val="32"/>
        </w:rPr>
        <w:t>与申报的绩效目标对比，从项目的经济性、效率性、有效性和可持续性等方面进行量化、具体分析</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并按规定内容、规定时限对与预算、执行、决算、监督、绩效等管理相关的预决算信息进行信息公开，各项支出基础数据信息和会计信息资料具有真实性、完整性、准确性。完成预期的绩效目标，切实做到用实、用好财政资金。</w:t>
      </w:r>
    </w:p>
    <w:p>
      <w:pPr>
        <w:keepNext w:val="0"/>
        <w:keepLines w:val="0"/>
        <w:pageBreakBefore w:val="0"/>
        <w:widowControl w:val="0"/>
        <w:kinsoku/>
        <w:wordWrap/>
        <w:overflowPunct/>
        <w:autoSpaceDE/>
        <w:autoSpaceDN/>
        <w:bidi w:val="0"/>
        <w:adjustRightInd/>
        <w:snapToGrid/>
        <w:spacing w:line="580" w:lineRule="exact"/>
        <w:ind w:left="0" w:leftChars="0" w:right="0" w:firstLine="640" w:firstLineChars="200"/>
        <w:jc w:val="both"/>
        <w:textAlignment w:val="auto"/>
        <w:rPr>
          <w:rFonts w:ascii="Times New Roman" w:hAnsi="Times New Roman" w:eastAsia="仿宋_GB2312"/>
          <w:sz w:val="32"/>
          <w:szCs w:val="32"/>
        </w:rPr>
      </w:pPr>
      <w:r>
        <w:rPr>
          <w:rFonts w:hint="eastAsia" w:ascii="楷体" w:hAnsi="楷体" w:eastAsia="楷体"/>
          <w:sz w:val="32"/>
          <w:szCs w:val="32"/>
        </w:rPr>
        <w:t>（</w:t>
      </w:r>
      <w:r>
        <w:rPr>
          <w:rFonts w:hint="eastAsia" w:ascii="楷体" w:hAnsi="楷体" w:eastAsia="楷体"/>
          <w:sz w:val="32"/>
          <w:szCs w:val="32"/>
          <w:lang w:val="en-US" w:eastAsia="zh-CN"/>
        </w:rPr>
        <w:t>三</w:t>
      </w:r>
      <w:r>
        <w:rPr>
          <w:rFonts w:hint="eastAsia" w:ascii="楷体" w:hAnsi="楷体" w:eastAsia="楷体"/>
          <w:sz w:val="32"/>
          <w:szCs w:val="32"/>
        </w:rPr>
        <w:t>）绩效目标</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1.总目标</w:t>
      </w:r>
    </w:p>
    <w:p>
      <w:pPr>
        <w:keepNext w:val="0"/>
        <w:keepLines w:val="0"/>
        <w:pageBreakBefore w:val="0"/>
        <w:widowControl w:val="0"/>
        <w:kinsoku/>
        <w:wordWrap/>
        <w:overflowPunct/>
        <w:autoSpaceDE/>
        <w:autoSpaceDN/>
        <w:bidi w:val="0"/>
        <w:adjustRightInd/>
        <w:snapToGrid/>
        <w:spacing w:line="580" w:lineRule="exact"/>
        <w:ind w:left="0" w:leftChars="0" w:right="0"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2021-2023年辅助性岗位人员薪酬预算为23,149.560元，包括127名劳务派遣人员，包括工资、社会保险缴费、绩效考核奖励经费三项。其中：工资5,613,400元(含第13个</w:t>
      </w:r>
      <w:r>
        <w:rPr>
          <w:rFonts w:hint="eastAsia" w:ascii="Times New Roman" w:hAnsi="Times New Roman" w:eastAsia="仿宋_GB2312"/>
          <w:sz w:val="32"/>
          <w:szCs w:val="32"/>
          <w:lang w:val="en-US" w:eastAsia="zh-CN"/>
        </w:rPr>
        <w:t>月</w:t>
      </w:r>
      <w:r>
        <w:rPr>
          <w:rFonts w:hint="eastAsia" w:ascii="Times New Roman" w:hAnsi="Times New Roman" w:eastAsia="仿宋_GB2312"/>
          <w:sz w:val="32"/>
          <w:szCs w:val="32"/>
        </w:rPr>
        <w:t>的工资)、社会保险缴费2,159,508元（1,040元/月人）按月支付；绩效考核奖励经费518,160元（340元/月人）按季考核支付。人员配置经费比照社区人员标准执行。</w:t>
      </w:r>
      <w:r>
        <w:rPr>
          <w:rFonts w:hint="eastAsia" w:ascii="Times New Roman" w:hAnsi="Times New Roman" w:eastAsia="仿宋_GB2312"/>
          <w:sz w:val="32"/>
          <w:szCs w:val="32"/>
          <w:lang w:val="en-US" w:eastAsia="zh-CN"/>
        </w:rPr>
        <w:t>2022</w:t>
      </w:r>
      <w:r>
        <w:rPr>
          <w:rFonts w:hint="eastAsia" w:ascii="Times New Roman" w:hAnsi="Times New Roman" w:eastAsia="仿宋_GB2312"/>
          <w:sz w:val="32"/>
          <w:szCs w:val="32"/>
        </w:rPr>
        <w:t>年合计金额为7,716,520元。三年共完成支出金额为23,149.560元。</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2.年度目标</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楷体" w:eastAsia="仿宋_GB2312"/>
          <w:sz w:val="32"/>
          <w:szCs w:val="32"/>
        </w:rPr>
      </w:pPr>
      <w:r>
        <w:rPr>
          <w:rFonts w:hint="eastAsia" w:ascii="仿宋_GB2312" w:hAnsi="楷体" w:eastAsia="仿宋_GB2312"/>
          <w:sz w:val="32"/>
          <w:szCs w:val="32"/>
        </w:rPr>
        <w:t>根据盘龙区人民政府15-74常务会议纪要，</w:t>
      </w:r>
      <w:r>
        <w:rPr>
          <w:rFonts w:hint="eastAsia" w:ascii="仿宋_GB2312" w:hAnsi="楷体" w:eastAsia="仿宋_GB2312"/>
          <w:sz w:val="32"/>
          <w:szCs w:val="32"/>
          <w:lang w:val="en-US" w:eastAsia="zh-CN"/>
        </w:rPr>
        <w:t>区政务服务局</w:t>
      </w:r>
      <w:r>
        <w:rPr>
          <w:rFonts w:hint="eastAsia" w:ascii="仿宋_GB2312" w:hAnsi="楷体" w:eastAsia="仿宋_GB2312"/>
          <w:sz w:val="32"/>
          <w:szCs w:val="32"/>
        </w:rPr>
        <w:t>2022年辅助性岗位人员127名，薪酬预算7,716,520元，包括工资、社会保险缴费、绩效考核奖励经费三项。绩效目标完成方式分别为：工资5,613,400元(含第13个</w:t>
      </w:r>
      <w:r>
        <w:rPr>
          <w:rFonts w:hint="eastAsia" w:ascii="仿宋_GB2312" w:hAnsi="楷体" w:eastAsia="仿宋_GB2312"/>
          <w:sz w:val="32"/>
          <w:szCs w:val="32"/>
          <w:lang w:val="en-US" w:eastAsia="zh-CN"/>
        </w:rPr>
        <w:t>月</w:t>
      </w:r>
      <w:r>
        <w:rPr>
          <w:rFonts w:hint="eastAsia" w:ascii="仿宋_GB2312" w:hAnsi="楷体" w:eastAsia="仿宋_GB2312"/>
          <w:sz w:val="32"/>
          <w:szCs w:val="32"/>
        </w:rPr>
        <w:t>的工资)、社会保险缴费2,159,508元（1,040元/月人）按月支付；绩效考核奖励经费518,160元（340元/月人）按季考核支付。其人员配置经费比照社区人员标准执行（盘民关</w:t>
      </w:r>
      <w:r>
        <w:rPr>
          <w:rFonts w:hint="eastAsia" w:ascii="仿宋_GB2312" w:hAnsi="楷体" w:eastAsia="仿宋_GB2312"/>
          <w:sz w:val="32"/>
          <w:szCs w:val="32"/>
          <w:lang w:eastAsia="zh-CN"/>
        </w:rPr>
        <w:t>〔</w:t>
      </w:r>
      <w:r>
        <w:rPr>
          <w:rFonts w:hint="eastAsia" w:ascii="仿宋_GB2312" w:hAnsi="楷体" w:eastAsia="仿宋_GB2312"/>
          <w:sz w:val="32"/>
          <w:szCs w:val="32"/>
        </w:rPr>
        <w:t>2018</w:t>
      </w:r>
      <w:r>
        <w:rPr>
          <w:rFonts w:hint="eastAsia" w:ascii="仿宋_GB2312" w:hAnsi="楷体" w:eastAsia="仿宋_GB2312"/>
          <w:sz w:val="32"/>
          <w:szCs w:val="32"/>
          <w:lang w:eastAsia="zh-CN"/>
        </w:rPr>
        <w:t>〕</w:t>
      </w:r>
      <w:r>
        <w:rPr>
          <w:rFonts w:hint="eastAsia" w:ascii="仿宋_GB2312" w:hAnsi="楷体" w:eastAsia="仿宋_GB2312"/>
          <w:sz w:val="32"/>
          <w:szCs w:val="32"/>
        </w:rPr>
        <w:t>187号）</w:t>
      </w:r>
      <w:r>
        <w:rPr>
          <w:rFonts w:hint="eastAsia" w:ascii="仿宋_GB2312" w:hAnsi="楷体" w:eastAsia="仿宋_GB2312"/>
          <w:sz w:val="32"/>
          <w:szCs w:val="32"/>
          <w:lang w:eastAsia="zh-CN"/>
        </w:rPr>
        <w:t>，</w:t>
      </w:r>
      <w:r>
        <w:rPr>
          <w:rFonts w:hint="eastAsia" w:ascii="仿宋_GB2312" w:hAnsi="楷体" w:eastAsia="仿宋_GB2312"/>
          <w:sz w:val="32"/>
          <w:szCs w:val="32"/>
        </w:rPr>
        <w:t>合计金额为7,716,520元。</w:t>
      </w:r>
      <w:r>
        <w:rPr>
          <w:rFonts w:hint="eastAsia" w:ascii="仿宋" w:hAnsi="仿宋" w:eastAsia="仿宋"/>
          <w:sz w:val="32"/>
          <w:szCs w:val="32"/>
        </w:rPr>
        <w:t>加强辅助性岗位工作人员薪酬专项经费保障，确保辅助性人员队伍稳定，保障</w:t>
      </w:r>
      <w:r>
        <w:rPr>
          <w:rFonts w:hint="eastAsia" w:ascii="仿宋" w:hAnsi="仿宋" w:eastAsia="仿宋"/>
          <w:sz w:val="32"/>
          <w:szCs w:val="32"/>
          <w:lang w:eastAsia="zh-CN"/>
        </w:rPr>
        <w:t>区政务服务局</w:t>
      </w:r>
      <w:r>
        <w:rPr>
          <w:rFonts w:hint="eastAsia" w:ascii="仿宋" w:hAnsi="仿宋" w:eastAsia="仿宋"/>
          <w:sz w:val="32"/>
          <w:szCs w:val="32"/>
        </w:rPr>
        <w:t>各科室、各片区工作顺利开展，大厅正常运转。</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黑体" w:hAnsi="黑体" w:eastAsia="黑体"/>
          <w:sz w:val="32"/>
          <w:szCs w:val="32"/>
        </w:rPr>
      </w:pPr>
      <w:r>
        <w:rPr>
          <w:rFonts w:hint="eastAsia" w:ascii="黑体" w:hAnsi="黑体" w:eastAsia="黑体"/>
          <w:sz w:val="32"/>
          <w:szCs w:val="32"/>
        </w:rPr>
        <w:t>二、绩效评价工作情况</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楷体" w:hAnsi="楷体" w:eastAsia="楷体"/>
          <w:sz w:val="32"/>
          <w:szCs w:val="32"/>
        </w:rPr>
      </w:pPr>
      <w:r>
        <w:rPr>
          <w:rFonts w:hint="eastAsia" w:ascii="楷体" w:hAnsi="楷体" w:eastAsia="楷体"/>
          <w:sz w:val="32"/>
          <w:szCs w:val="32"/>
        </w:rPr>
        <w:t>（一）绩效评价目的</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楷体" w:eastAsia="仿宋_GB2312"/>
          <w:sz w:val="32"/>
          <w:szCs w:val="32"/>
        </w:rPr>
      </w:pPr>
      <w:r>
        <w:rPr>
          <w:rFonts w:hint="eastAsia" w:ascii="仿宋_GB2312" w:hAnsi="楷体" w:eastAsia="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楷体" w:hAnsi="楷体" w:eastAsia="楷体"/>
          <w:sz w:val="32"/>
          <w:szCs w:val="32"/>
        </w:rPr>
      </w:pPr>
      <w:r>
        <w:rPr>
          <w:rFonts w:hint="eastAsia" w:ascii="楷体" w:hAnsi="楷体" w:eastAsia="楷体"/>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1.前期调研</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Times New Roman" w:hAnsi="Times New Roman" w:eastAsia="仿宋_GB2312"/>
          <w:sz w:val="32"/>
          <w:szCs w:val="32"/>
        </w:rPr>
      </w:pPr>
      <w:r>
        <w:rPr>
          <w:rFonts w:hint="eastAsia" w:ascii="Times New Roman" w:hAnsi="Times New Roman" w:eastAsia="仿宋_GB2312"/>
          <w:sz w:val="32"/>
          <w:szCs w:val="32"/>
        </w:rPr>
        <w:t>区政务</w:t>
      </w:r>
      <w:r>
        <w:rPr>
          <w:rFonts w:hint="eastAsia" w:ascii="Times New Roman" w:hAnsi="Times New Roman" w:eastAsia="仿宋_GB2312"/>
          <w:sz w:val="32"/>
          <w:szCs w:val="32"/>
          <w:lang w:val="en-US" w:eastAsia="zh-CN"/>
        </w:rPr>
        <w:t>服务</w:t>
      </w:r>
      <w:r>
        <w:rPr>
          <w:rFonts w:hint="eastAsia" w:ascii="Times New Roman" w:hAnsi="Times New Roman" w:eastAsia="仿宋_GB2312"/>
          <w:sz w:val="32"/>
          <w:szCs w:val="32"/>
        </w:rPr>
        <w:t>局绩效自评小组，由党政主要领导任组长，各业务科室相关负责人任组员。</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2.研究文件</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楷体" w:eastAsia="仿宋_GB2312"/>
          <w:sz w:val="32"/>
          <w:szCs w:val="32"/>
        </w:rPr>
      </w:pPr>
      <w:r>
        <w:rPr>
          <w:rFonts w:hint="eastAsia" w:ascii="仿宋_GB2312" w:hAnsi="楷体" w:eastAsia="仿宋_GB2312"/>
          <w:sz w:val="32"/>
          <w:szCs w:val="32"/>
        </w:rPr>
        <w:t>依据《盘龙区政务服务</w:t>
      </w:r>
      <w:r>
        <w:rPr>
          <w:rFonts w:hint="eastAsia" w:ascii="仿宋_GB2312" w:hAnsi="楷体" w:eastAsia="仿宋_GB2312"/>
          <w:sz w:val="32"/>
          <w:szCs w:val="32"/>
          <w:lang w:val="en-US" w:eastAsia="zh-CN"/>
        </w:rPr>
        <w:t>管理局</w:t>
      </w:r>
      <w:r>
        <w:rPr>
          <w:rFonts w:hint="eastAsia" w:ascii="仿宋_GB2312" w:hAnsi="楷体" w:eastAsia="仿宋_GB2312"/>
          <w:sz w:val="32"/>
          <w:szCs w:val="32"/>
        </w:rPr>
        <w:t>劳务派遣人员绩效考核管理办法》、《盘龙区政务服务管理局“评优、评先”评选工作方案》定期开展评价。</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3.绩效评价指标体系及工作方案的设计</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楷体" w:eastAsia="仿宋_GB2312"/>
          <w:sz w:val="32"/>
          <w:szCs w:val="32"/>
        </w:rPr>
      </w:pPr>
      <w:r>
        <w:rPr>
          <w:rFonts w:hint="eastAsia" w:ascii="仿宋_GB2312" w:hAnsi="楷体" w:eastAsia="仿宋_GB2312"/>
          <w:sz w:val="32"/>
          <w:szCs w:val="32"/>
        </w:rPr>
        <w:t>辅助性岗位工作人员薪酬专项经费项目支出绩效采用共性指标体系进行绩效评价，主要包括预算编制和执行情况，财务管理状况，资产配置、使用、处置及收益管理情况以及社会效益、经济效益等。</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楷体" w:hAnsi="楷体" w:eastAsia="楷体"/>
          <w:sz w:val="32"/>
          <w:szCs w:val="32"/>
        </w:rPr>
      </w:pPr>
      <w:r>
        <w:rPr>
          <w:rFonts w:hint="eastAsia" w:ascii="楷体" w:hAnsi="楷体" w:eastAsia="楷体"/>
          <w:sz w:val="32"/>
          <w:szCs w:val="32"/>
        </w:rPr>
        <w:t>（三）绩效评价原则</w:t>
      </w:r>
      <w:r>
        <w:rPr>
          <w:rFonts w:hint="eastAsia" w:ascii="楷体" w:hAnsi="楷体" w:eastAsia="楷体"/>
          <w:sz w:val="32"/>
          <w:szCs w:val="32"/>
          <w:lang w:val="en-US" w:eastAsia="zh-CN"/>
        </w:rPr>
        <w:t>及</w:t>
      </w:r>
      <w:r>
        <w:rPr>
          <w:rFonts w:hint="eastAsia" w:ascii="楷体" w:hAnsi="楷体" w:eastAsia="楷体"/>
          <w:sz w:val="32"/>
          <w:szCs w:val="32"/>
        </w:rPr>
        <w:t>评价方法</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1.绩效评价原则</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 w:hAnsi="仿宋" w:eastAsia="仿宋"/>
          <w:sz w:val="32"/>
          <w:szCs w:val="32"/>
        </w:rPr>
      </w:pPr>
      <w:r>
        <w:rPr>
          <w:rFonts w:hint="eastAsia" w:ascii="仿宋_GB2312" w:hAnsi="楷体" w:eastAsia="仿宋_GB2312"/>
          <w:sz w:val="32"/>
          <w:szCs w:val="32"/>
        </w:rPr>
        <w:t>辅助性岗位工作人员薪酬专项经费项目支出绩效围绕绩效目标、针对具体支出及其产出绩效进行，评价结果应清晰反映支出和产出绩效之间</w:t>
      </w:r>
      <w:r>
        <w:rPr>
          <w:rFonts w:hint="eastAsia" w:ascii="仿宋" w:hAnsi="仿宋" w:eastAsia="仿宋"/>
          <w:sz w:val="32"/>
          <w:szCs w:val="32"/>
        </w:rPr>
        <w:t>的对应关系；严格执行规定的程序，按照科学可行的要求，采用定量与定性分析相结合的方式；</w:t>
      </w:r>
      <w:r>
        <w:rPr>
          <w:rFonts w:hint="eastAsia" w:ascii="仿宋_GB2312" w:hAnsi="楷体" w:eastAsia="仿宋_GB2312"/>
          <w:sz w:val="32"/>
          <w:szCs w:val="32"/>
        </w:rPr>
        <w:t>符合真实、客观、公正的要求，按照规定公开并接受社会监督；绩效自评结果运用于预算安排和预算执行中，不断提高部门预算管理水平。</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2.绩效评价方法</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楷体" w:eastAsia="仿宋_GB2312"/>
          <w:sz w:val="32"/>
          <w:szCs w:val="32"/>
        </w:rPr>
      </w:pPr>
      <w:r>
        <w:rPr>
          <w:rFonts w:hint="eastAsia" w:ascii="仿宋_GB2312" w:hAnsi="楷体" w:eastAsia="仿宋_GB2312"/>
          <w:sz w:val="32"/>
          <w:szCs w:val="32"/>
        </w:rPr>
        <w:t>绩效自评结果采取量化评分的形式，量化分值一般为百分制。可分为四个等级：优（得分≧90）；良（90﹥得分≧80）；中（80﹥得分≧60）；差（得分﹤60）。</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楷体" w:hAnsi="楷体" w:eastAsia="楷体"/>
          <w:sz w:val="32"/>
          <w:szCs w:val="32"/>
        </w:rPr>
      </w:pPr>
      <w:r>
        <w:rPr>
          <w:rFonts w:hint="eastAsia" w:ascii="楷体" w:hAnsi="楷体" w:eastAsia="楷体"/>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1.数据填报和采集</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楷体" w:eastAsia="仿宋_GB2312"/>
          <w:sz w:val="32"/>
          <w:szCs w:val="32"/>
        </w:rPr>
      </w:pPr>
      <w:r>
        <w:rPr>
          <w:rFonts w:hint="eastAsia" w:ascii="仿宋_GB2312" w:hAnsi="楷体" w:eastAsia="仿宋_GB2312"/>
          <w:sz w:val="32"/>
          <w:szCs w:val="32"/>
        </w:rPr>
        <w:t>依据区委、区政府方针政策及部门预算管理制度、项目及财务管理办法，按照部门职能职责、中长期发展规划及年度工作计划设立此项目。</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2.社会调查</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hint="eastAsia" w:ascii="仿宋_GB2312" w:hAnsi="楷体" w:eastAsia="仿宋_GB2312"/>
          <w:b/>
          <w:bCs/>
          <w:sz w:val="32"/>
          <w:szCs w:val="32"/>
        </w:rPr>
      </w:pPr>
      <w:r>
        <w:rPr>
          <w:rFonts w:hint="eastAsia" w:ascii="仿宋_GB2312" w:hAnsi="楷体" w:eastAsia="仿宋_GB2312"/>
          <w:sz w:val="32"/>
          <w:szCs w:val="32"/>
        </w:rPr>
        <w:t>部门申请预算时提出的绩效目标及其他相关材料。</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楷体" w:eastAsia="仿宋_GB2312"/>
          <w:b/>
          <w:bCs/>
          <w:sz w:val="32"/>
          <w:szCs w:val="32"/>
        </w:rPr>
      </w:pPr>
      <w:r>
        <w:rPr>
          <w:rFonts w:hint="eastAsia" w:ascii="仿宋_GB2312" w:hAnsi="楷体" w:eastAsia="仿宋_GB2312"/>
          <w:b/>
          <w:bCs/>
          <w:sz w:val="32"/>
          <w:szCs w:val="32"/>
        </w:rPr>
        <w:t>3.数据分析和撰写报告</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楷体" w:eastAsia="仿宋_GB2312"/>
          <w:sz w:val="32"/>
          <w:szCs w:val="32"/>
        </w:rPr>
      </w:pPr>
      <w:r>
        <w:rPr>
          <w:rFonts w:hint="eastAsia" w:ascii="仿宋_GB2312" w:hAnsi="楷体" w:eastAsia="仿宋_GB2312"/>
          <w:sz w:val="32"/>
          <w:szCs w:val="32"/>
        </w:rPr>
        <w:t>预算批复，年度预算执行情况，年度决算报告。</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楷体" w:hAnsi="楷体" w:eastAsia="楷体"/>
          <w:sz w:val="32"/>
          <w:szCs w:val="32"/>
        </w:rPr>
      </w:pPr>
      <w:r>
        <w:rPr>
          <w:rFonts w:hint="eastAsia" w:ascii="楷体" w:hAnsi="楷体" w:eastAsia="楷体"/>
          <w:sz w:val="32"/>
          <w:szCs w:val="32"/>
        </w:rPr>
        <w:t>（五）本次绩效评价的局限性</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楷体" w:eastAsia="仿宋_GB2312"/>
          <w:sz w:val="32"/>
          <w:szCs w:val="32"/>
        </w:rPr>
      </w:pPr>
      <w:r>
        <w:rPr>
          <w:rFonts w:hint="eastAsia" w:ascii="仿宋_GB2312" w:hAnsi="楷体" w:eastAsia="仿宋_GB2312"/>
          <w:sz w:val="32"/>
          <w:szCs w:val="32"/>
        </w:rPr>
        <w:t>无</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黑体" w:hAnsi="黑体" w:eastAsia="黑体"/>
          <w:sz w:val="32"/>
          <w:szCs w:val="32"/>
        </w:rPr>
      </w:pPr>
      <w:r>
        <w:rPr>
          <w:rFonts w:hint="eastAsia" w:ascii="黑体" w:hAnsi="黑体" w:eastAsia="黑体"/>
          <w:sz w:val="32"/>
          <w:szCs w:val="32"/>
        </w:rPr>
        <w:t>三、评价结论和绩效分析</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楷体" w:hAnsi="楷体" w:eastAsia="楷体"/>
          <w:sz w:val="32"/>
          <w:szCs w:val="32"/>
        </w:rPr>
      </w:pPr>
      <w:r>
        <w:rPr>
          <w:rFonts w:hint="eastAsia" w:ascii="楷体" w:hAnsi="楷体" w:eastAsia="楷体"/>
          <w:sz w:val="32"/>
          <w:szCs w:val="32"/>
        </w:rPr>
        <w:t>（一）评价结论</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仿宋" w:eastAsia="仿宋_GB2312"/>
          <w:b/>
          <w:bCs/>
          <w:sz w:val="32"/>
          <w:szCs w:val="32"/>
        </w:rPr>
      </w:pPr>
      <w:r>
        <w:rPr>
          <w:rFonts w:hint="eastAsia" w:ascii="仿宋_GB2312" w:hAnsi="仿宋" w:eastAsia="仿宋_GB2312"/>
          <w:b/>
          <w:bCs/>
          <w:sz w:val="32"/>
          <w:szCs w:val="32"/>
        </w:rPr>
        <w:t>1.评价结果</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区政务服务局2022年辅助性岗位工作人员薪酬专项经费项目支出绩效自评分99分，自评结果为优秀，达到了预期的绩效目标，切实做到了用实、用好财政资金。</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3" w:firstLineChars="200"/>
        <w:jc w:val="both"/>
        <w:textAlignment w:val="auto"/>
        <w:rPr>
          <w:rFonts w:ascii="仿宋_GB2312" w:hAnsi="仿宋" w:eastAsia="仿宋_GB2312"/>
          <w:b/>
          <w:bCs/>
          <w:sz w:val="32"/>
          <w:szCs w:val="32"/>
        </w:rPr>
      </w:pPr>
      <w:r>
        <w:rPr>
          <w:rFonts w:hint="eastAsia" w:ascii="仿宋_GB2312" w:hAnsi="仿宋" w:eastAsia="仿宋_GB2312"/>
          <w:b/>
          <w:bCs/>
          <w:sz w:val="32"/>
          <w:szCs w:val="32"/>
        </w:rPr>
        <w:t>2.主要绩效</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通过项目实施，完成窗口</w:t>
      </w:r>
      <w:r>
        <w:rPr>
          <w:rFonts w:hint="eastAsia" w:ascii="仿宋_GB2312" w:hAnsi="仿宋" w:eastAsia="仿宋_GB2312"/>
          <w:sz w:val="32"/>
          <w:szCs w:val="32"/>
          <w:lang w:val="en-US" w:eastAsia="zh-CN"/>
        </w:rPr>
        <w:t>工作</w:t>
      </w:r>
      <w:r>
        <w:rPr>
          <w:rFonts w:hint="eastAsia" w:ascii="仿宋_GB2312" w:hAnsi="仿宋" w:eastAsia="仿宋_GB2312"/>
          <w:sz w:val="32"/>
          <w:szCs w:val="32"/>
        </w:rPr>
        <w:t>人员基础保障工作，确保局机关及大厅各项工作平稳正常运行，提高政务服务大厅窗口服务专业化水平。优化政务服务大厅人员构成，按厉行节约原则及相关管理制度合法、合规、完整，得到有效执行，提高资金使用效率。</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楷体" w:hAnsi="楷体" w:eastAsia="楷体"/>
          <w:sz w:val="32"/>
          <w:szCs w:val="32"/>
        </w:rPr>
      </w:pPr>
      <w:r>
        <w:rPr>
          <w:rFonts w:hint="eastAsia" w:ascii="楷体" w:hAnsi="楷体" w:eastAsia="楷体"/>
          <w:sz w:val="32"/>
          <w:szCs w:val="32"/>
        </w:rPr>
        <w:t>（二）具体绩效分析</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 w:hAnsi="仿宋" w:eastAsia="仿宋"/>
          <w:sz w:val="32"/>
          <w:szCs w:val="32"/>
        </w:rPr>
      </w:pPr>
      <w:r>
        <w:rPr>
          <w:rFonts w:hint="eastAsia" w:ascii="仿宋" w:hAnsi="仿宋" w:eastAsia="仿宋"/>
          <w:sz w:val="32"/>
          <w:szCs w:val="32"/>
        </w:rPr>
        <w:t>对照绩效评价指标体系逐项进行分析、评价并打分。2022年辅助性岗位工作人员薪酬专项经费项目支出绩效自评结果为优，作为下一年度预算项目经费的依据，继续使用。</w:t>
      </w:r>
      <w:r>
        <w:rPr>
          <w:rFonts w:ascii="仿宋" w:hAnsi="仿宋" w:eastAsia="仿宋"/>
          <w:sz w:val="32"/>
          <w:szCs w:val="32"/>
        </w:rPr>
        <w:t xml:space="preserve"> </w:t>
      </w:r>
    </w:p>
    <w:p>
      <w:pPr>
        <w:keepNext w:val="0"/>
        <w:keepLines w:val="0"/>
        <w:pageBreakBefore w:val="0"/>
        <w:widowControl w:val="0"/>
        <w:kinsoku/>
        <w:wordWrap/>
        <w:overflowPunct/>
        <w:autoSpaceDE/>
        <w:autoSpaceDN/>
        <w:bidi w:val="0"/>
        <w:adjustRightInd/>
        <w:snapToGrid/>
        <w:spacing w:line="580" w:lineRule="exact"/>
        <w:ind w:left="0" w:leftChars="0" w:right="0" w:firstLine="640" w:firstLineChars="200"/>
        <w:jc w:val="both"/>
        <w:textAlignment w:val="auto"/>
        <w:rPr>
          <w:rFonts w:ascii="黑体" w:hAnsi="黑体" w:eastAsia="黑体"/>
          <w:sz w:val="32"/>
          <w:szCs w:val="32"/>
        </w:rPr>
      </w:pPr>
      <w:r>
        <w:rPr>
          <w:rFonts w:hint="eastAsia" w:ascii="黑体" w:hAnsi="黑体" w:eastAsia="黑体"/>
          <w:sz w:val="32"/>
          <w:szCs w:val="32"/>
        </w:rPr>
        <w:t>四、成本效益分析</w:t>
      </w:r>
    </w:p>
    <w:p>
      <w:pPr>
        <w:keepNext w:val="0"/>
        <w:keepLines w:val="0"/>
        <w:pageBreakBefore w:val="0"/>
        <w:widowControl w:val="0"/>
        <w:kinsoku/>
        <w:wordWrap/>
        <w:overflowPunct/>
        <w:autoSpaceDE/>
        <w:autoSpaceDN/>
        <w:bidi w:val="0"/>
        <w:adjustRightInd/>
        <w:snapToGrid/>
        <w:spacing w:line="580" w:lineRule="exact"/>
        <w:ind w:left="0" w:leftChars="0" w:right="0" w:firstLine="640" w:firstLineChars="200"/>
        <w:jc w:val="both"/>
        <w:textAlignment w:val="auto"/>
        <w:rPr>
          <w:rFonts w:ascii="仿宋_GB2312" w:hAnsi="黑体" w:eastAsia="仿宋_GB2312"/>
          <w:sz w:val="32"/>
          <w:szCs w:val="32"/>
        </w:rPr>
      </w:pPr>
      <w:r>
        <w:rPr>
          <w:rFonts w:hint="eastAsia" w:ascii="仿宋_GB2312" w:hAnsi="仿宋" w:eastAsia="仿宋_GB2312"/>
          <w:sz w:val="32"/>
          <w:szCs w:val="32"/>
        </w:rPr>
        <w:t>通过对2022年辅助性岗位工作人员薪酬专项经费项目的支出与效益进行对比分析，资金使用方向、资金收入和支出结构、项目和资金管理情况、资金的节约性及资金使用效果分析</w:t>
      </w:r>
      <w:r>
        <w:rPr>
          <w:rFonts w:hint="eastAsia" w:ascii="仿宋_GB2312" w:hAnsi="仿宋" w:eastAsia="仿宋_GB2312"/>
          <w:sz w:val="32"/>
          <w:szCs w:val="32"/>
          <w:lang w:eastAsia="zh-CN"/>
        </w:rPr>
        <w:t>，</w:t>
      </w:r>
      <w:r>
        <w:rPr>
          <w:rFonts w:hint="eastAsia" w:ascii="仿宋_GB2312" w:hAnsi="仿宋" w:eastAsia="仿宋_GB2312"/>
          <w:sz w:val="32"/>
          <w:szCs w:val="32"/>
        </w:rPr>
        <w:t>确定此项目评价绩效目标实现程度以及下年年度预算变化趋势。</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hint="eastAsia" w:ascii="黑体" w:hAnsi="黑体" w:eastAsia="黑体"/>
          <w:sz w:val="32"/>
          <w:szCs w:val="32"/>
        </w:rPr>
      </w:pP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hint="eastAsia" w:ascii="黑体" w:hAnsi="黑体" w:eastAsia="黑体"/>
          <w:sz w:val="32"/>
          <w:szCs w:val="32"/>
        </w:rPr>
      </w:pP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黑体" w:hAnsi="黑体" w:eastAsia="黑体"/>
          <w:sz w:val="32"/>
          <w:szCs w:val="32"/>
        </w:rPr>
      </w:pPr>
      <w:r>
        <w:rPr>
          <w:rFonts w:hint="eastAsia" w:ascii="黑体" w:hAnsi="黑体" w:eastAsia="黑体"/>
          <w:sz w:val="32"/>
          <w:szCs w:val="32"/>
        </w:rPr>
        <w:t>五、主要经验及做法、存在的问题和建议</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楷体" w:hAnsi="楷体" w:eastAsia="楷体"/>
          <w:sz w:val="32"/>
          <w:szCs w:val="32"/>
        </w:rPr>
      </w:pPr>
      <w:r>
        <w:rPr>
          <w:rFonts w:hint="eastAsia" w:ascii="楷体" w:hAnsi="楷体" w:eastAsia="楷体"/>
          <w:sz w:val="32"/>
          <w:szCs w:val="32"/>
        </w:rPr>
        <w:t>（一）主要经验及做法</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强化领导，建立健全绩效自评组织体系。结合实际，确定自评范围及考评指标，在充分发挥历年开展目标考核经验的基础上结合实际，研究确定年度绩效考核范围和考评指标。</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楷体" w:hAnsi="楷体" w:eastAsia="楷体"/>
          <w:sz w:val="32"/>
          <w:szCs w:val="32"/>
        </w:rPr>
      </w:pPr>
      <w:r>
        <w:rPr>
          <w:rFonts w:hint="eastAsia" w:ascii="楷体" w:hAnsi="楷体" w:eastAsia="楷体"/>
          <w:sz w:val="32"/>
          <w:szCs w:val="32"/>
        </w:rPr>
        <w:t>（二）存在的问题</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通过对2022年辅助性岗位工作人员薪酬专项经费项目支出绩效跟踪情况，达成预期的绩效目标。但还存在项目支出预算下达的任务与实际完成存在差距，执行率不高、支出进度延迟情况，项目绩效指标体系还不够细化等问题。</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楷体" w:hAnsi="楷体" w:eastAsia="楷体"/>
          <w:sz w:val="32"/>
          <w:szCs w:val="32"/>
        </w:rPr>
      </w:pPr>
      <w:r>
        <w:rPr>
          <w:rFonts w:hint="eastAsia" w:ascii="楷体" w:hAnsi="楷体" w:eastAsia="楷体"/>
          <w:sz w:val="32"/>
          <w:szCs w:val="32"/>
        </w:rPr>
        <w:t>（三）建议和改进措施</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措施到位，扎实推进绩效自评工作。落实责任，明确目标，强化工作结果。细化各业务科室考评指标，让各科室更明确自己的工作任务。制定指标做到全面、合理、公正，坚持定性与定量相结合，以定量为主，80%以上的指标进行量化。在绩效目标管理上存在的问题，做到及时整改。不断完善管理，提高预算支出绩效。</w:t>
      </w:r>
    </w:p>
    <w:p>
      <w:pPr>
        <w:keepNext w:val="0"/>
        <w:keepLines w:val="0"/>
        <w:pageBreakBefore w:val="0"/>
        <w:widowControl w:val="0"/>
        <w:kinsoku/>
        <w:wordWrap/>
        <w:overflowPunct/>
        <w:autoSpaceDE/>
        <w:autoSpaceDN/>
        <w:bidi w:val="0"/>
        <w:adjustRightInd/>
        <w:snapToGrid/>
        <w:spacing w:line="580" w:lineRule="exact"/>
        <w:ind w:left="0" w:leftChars="0" w:right="0" w:firstLine="640" w:firstLineChars="200"/>
        <w:jc w:val="both"/>
        <w:textAlignment w:val="auto"/>
        <w:rPr>
          <w:sz w:val="32"/>
          <w:szCs w:val="32"/>
        </w:rPr>
      </w:pPr>
    </w:p>
    <w:p>
      <w:pPr>
        <w:keepNext w:val="0"/>
        <w:keepLines w:val="0"/>
        <w:pageBreakBefore w:val="0"/>
        <w:widowControl w:val="0"/>
        <w:kinsoku/>
        <w:wordWrap/>
        <w:overflowPunct/>
        <w:autoSpaceDE/>
        <w:autoSpaceDN/>
        <w:bidi w:val="0"/>
        <w:adjustRightInd/>
        <w:snapToGrid/>
        <w:spacing w:line="580" w:lineRule="exact"/>
        <w:ind w:left="0" w:leftChars="0" w:right="0" w:firstLine="640" w:firstLineChars="200"/>
        <w:jc w:val="both"/>
        <w:textAlignment w:val="auto"/>
        <w:rPr>
          <w:sz w:val="32"/>
          <w:szCs w:val="32"/>
        </w:rPr>
      </w:pP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right"/>
        <w:textAlignment w:val="auto"/>
        <w:rPr>
          <w:rFonts w:ascii="仿宋" w:hAnsi="仿宋" w:eastAsia="仿宋"/>
          <w:sz w:val="32"/>
          <w:szCs w:val="32"/>
        </w:rPr>
      </w:pPr>
      <w:r>
        <w:rPr>
          <w:rFonts w:hint="eastAsia" w:ascii="仿宋" w:hAnsi="仿宋" w:eastAsia="仿宋"/>
          <w:sz w:val="32"/>
          <w:szCs w:val="32"/>
        </w:rPr>
        <w:t>昆明市盘龙区政务服务管理局</w:t>
      </w:r>
    </w:p>
    <w:p>
      <w:pPr>
        <w:keepNext w:val="0"/>
        <w:keepLines w:val="0"/>
        <w:pageBreakBefore w:val="0"/>
        <w:widowControl w:val="0"/>
        <w:kinsoku/>
        <w:wordWrap/>
        <w:overflowPunct/>
        <w:topLinePunct/>
        <w:autoSpaceDE/>
        <w:autoSpaceDN/>
        <w:bidi w:val="0"/>
        <w:adjustRightInd/>
        <w:snapToGrid/>
        <w:spacing w:line="580" w:lineRule="exact"/>
        <w:ind w:left="0" w:leftChars="0" w:right="0" w:firstLine="640" w:firstLineChars="200"/>
        <w:jc w:val="center"/>
        <w:textAlignment w:val="auto"/>
        <w:rPr>
          <w:rFonts w:ascii="仿宋" w:hAnsi="仿宋" w:eastAsia="仿宋" w:cs="宋体"/>
          <w:kern w:val="0"/>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rPr>
        <w:t>2023年4月25日</w:t>
      </w:r>
    </w:p>
    <w:p>
      <w:pPr>
        <w:widowControl/>
        <w:jc w:val="center"/>
        <w:rPr>
          <w:rFonts w:hint="eastAsia" w:ascii="方正小标宋_GBK" w:eastAsia="方正小标宋_GBK"/>
          <w:sz w:val="36"/>
          <w:szCs w:val="36"/>
        </w:rPr>
      </w:pPr>
    </w:p>
    <w:p>
      <w:pPr>
        <w:widowControl/>
        <w:jc w:val="center"/>
        <w:rPr>
          <w:rFonts w:hint="eastAsia" w:ascii="方正小标宋_GBK" w:eastAsia="方正小标宋_GBK"/>
          <w:sz w:val="36"/>
          <w:szCs w:val="36"/>
        </w:rPr>
      </w:pPr>
    </w:p>
    <w:p>
      <w:pPr>
        <w:widowControl/>
        <w:jc w:val="center"/>
        <w:rPr>
          <w:rFonts w:ascii="方正小标宋_GBK" w:eastAsia="方正小标宋_GBK"/>
          <w:sz w:val="28"/>
          <w:szCs w:val="28"/>
        </w:rPr>
      </w:pPr>
      <w:bookmarkStart w:id="0" w:name="_GoBack"/>
      <w:bookmarkEnd w:id="0"/>
      <w:r>
        <w:rPr>
          <w:rFonts w:hint="eastAsia" w:ascii="方正小标宋_GBK" w:eastAsia="方正小标宋_GBK"/>
          <w:sz w:val="36"/>
          <w:szCs w:val="36"/>
        </w:rPr>
        <w:t>附件2：项目支出绩效评价共性指标体系框架</w:t>
      </w:r>
    </w:p>
    <w:tbl>
      <w:tblPr>
        <w:tblStyle w:val="6"/>
        <w:tblpPr w:leftFromText="180" w:rightFromText="180" w:vertAnchor="text" w:horzAnchor="page" w:tblpXSpec="center" w:tblpY="383"/>
        <w:tblW w:w="10412" w:type="dxa"/>
        <w:jc w:val="center"/>
        <w:tblLayout w:type="autofit"/>
        <w:tblCellMar>
          <w:top w:w="0" w:type="dxa"/>
          <w:left w:w="108" w:type="dxa"/>
          <w:bottom w:w="0" w:type="dxa"/>
          <w:right w:w="108" w:type="dxa"/>
        </w:tblCellMar>
      </w:tblPr>
      <w:tblGrid>
        <w:gridCol w:w="846"/>
        <w:gridCol w:w="971"/>
        <w:gridCol w:w="1143"/>
        <w:gridCol w:w="1091"/>
        <w:gridCol w:w="593"/>
        <w:gridCol w:w="709"/>
        <w:gridCol w:w="1866"/>
        <w:gridCol w:w="1975"/>
        <w:gridCol w:w="1218"/>
      </w:tblGrid>
      <w:tr>
        <w:tblPrEx>
          <w:tblCellMar>
            <w:top w:w="0" w:type="dxa"/>
            <w:left w:w="108" w:type="dxa"/>
            <w:bottom w:w="0" w:type="dxa"/>
            <w:right w:w="108" w:type="dxa"/>
          </w:tblCellMar>
        </w:tblPrEx>
        <w:trPr>
          <w:trHeight w:val="540" w:hRule="atLeast"/>
          <w:jc w:val="center"/>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0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5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186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CellMar>
            <w:top w:w="0" w:type="dxa"/>
            <w:left w:w="108" w:type="dxa"/>
            <w:bottom w:w="0" w:type="dxa"/>
            <w:right w:w="108" w:type="dxa"/>
          </w:tblCellMar>
        </w:tblPrEx>
        <w:trPr>
          <w:trHeight w:val="900"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CellMar>
            <w:top w:w="0" w:type="dxa"/>
            <w:left w:w="108" w:type="dxa"/>
            <w:bottom w:w="0" w:type="dxa"/>
            <w:right w:w="108" w:type="dxa"/>
          </w:tblCellMar>
        </w:tblPrEx>
        <w:trPr>
          <w:trHeight w:val="105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A121.与市政府相关规划、决策匹配性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A131.前期调研情况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tblPrEx>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tblPrEx>
          <w:tblCellMar>
            <w:top w:w="0" w:type="dxa"/>
            <w:left w:w="108" w:type="dxa"/>
            <w:bottom w:w="0" w:type="dxa"/>
            <w:right w:w="108" w:type="dxa"/>
          </w:tblCellMar>
        </w:tblPrEx>
        <w:trPr>
          <w:trHeight w:val="91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CellMar>
            <w:top w:w="0" w:type="dxa"/>
            <w:left w:w="108" w:type="dxa"/>
            <w:bottom w:w="0" w:type="dxa"/>
            <w:right w:w="108" w:type="dxa"/>
          </w:tblCellMar>
        </w:tblPrEx>
        <w:trPr>
          <w:trHeight w:val="108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CellMar>
            <w:top w:w="0" w:type="dxa"/>
            <w:left w:w="108" w:type="dxa"/>
            <w:bottom w:w="0" w:type="dxa"/>
            <w:right w:w="108" w:type="dxa"/>
          </w:tblCellMar>
        </w:tblPrEx>
        <w:trPr>
          <w:trHeight w:val="82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CellMar>
            <w:top w:w="0" w:type="dxa"/>
            <w:left w:w="108" w:type="dxa"/>
            <w:bottom w:w="0" w:type="dxa"/>
            <w:right w:w="108" w:type="dxa"/>
          </w:tblCellMar>
        </w:tblPrEx>
        <w:trPr>
          <w:trHeight w:val="79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CellMar>
            <w:top w:w="0" w:type="dxa"/>
            <w:left w:w="108" w:type="dxa"/>
            <w:bottom w:w="0" w:type="dxa"/>
            <w:right w:w="108" w:type="dxa"/>
          </w:tblCellMar>
        </w:tblPrEx>
        <w:trPr>
          <w:trHeight w:val="88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CellMar>
            <w:top w:w="0" w:type="dxa"/>
            <w:left w:w="108" w:type="dxa"/>
            <w:bottom w:w="0" w:type="dxa"/>
            <w:right w:w="108" w:type="dxa"/>
          </w:tblCellMar>
        </w:tblPrEx>
        <w:trPr>
          <w:trHeight w:val="720"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CellMar>
            <w:top w:w="0" w:type="dxa"/>
            <w:left w:w="108" w:type="dxa"/>
            <w:bottom w:w="0" w:type="dxa"/>
            <w:right w:w="108" w:type="dxa"/>
          </w:tblCellMar>
        </w:tblPrEx>
        <w:trPr>
          <w:trHeight w:val="81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tblPrEx>
          <w:tblCellMar>
            <w:top w:w="0" w:type="dxa"/>
            <w:left w:w="108" w:type="dxa"/>
            <w:bottom w:w="0" w:type="dxa"/>
            <w:right w:w="108" w:type="dxa"/>
          </w:tblCellMar>
        </w:tblPrEx>
        <w:trPr>
          <w:trHeight w:val="123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预算执行率95%以上，得满分；低于95%，每下降1%扣权重的1%；预算执行率60%以下，不计分。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CellMar>
            <w:top w:w="0" w:type="dxa"/>
            <w:left w:w="108" w:type="dxa"/>
            <w:bottom w:w="0" w:type="dxa"/>
            <w:right w:w="108" w:type="dxa"/>
          </w:tblCellMar>
        </w:tblPrEx>
        <w:trPr>
          <w:trHeight w:val="97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CellMar>
            <w:top w:w="0" w:type="dxa"/>
            <w:left w:w="108" w:type="dxa"/>
            <w:bottom w:w="0" w:type="dxa"/>
            <w:right w:w="108" w:type="dxa"/>
          </w:tblCellMar>
        </w:tblPrEx>
        <w:trPr>
          <w:trHeight w:val="228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5" w:type="dxa"/>
            <w:tcBorders>
              <w:top w:val="nil"/>
              <w:left w:val="nil"/>
              <w:bottom w:val="single" w:color="auto" w:sz="4" w:space="0"/>
              <w:right w:val="single" w:color="auto" w:sz="4" w:space="0"/>
            </w:tcBorders>
            <w:shd w:val="clear" w:color="auto" w:fill="auto"/>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CellMar>
            <w:top w:w="0" w:type="dxa"/>
            <w:left w:w="108" w:type="dxa"/>
            <w:bottom w:w="0" w:type="dxa"/>
            <w:right w:w="108" w:type="dxa"/>
          </w:tblCellMar>
        </w:tblPrEx>
        <w:trPr>
          <w:trHeight w:val="75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CellMar>
            <w:top w:w="0" w:type="dxa"/>
            <w:left w:w="108" w:type="dxa"/>
            <w:bottom w:w="0" w:type="dxa"/>
            <w:right w:w="108" w:type="dxa"/>
          </w:tblCellMar>
        </w:tblPrEx>
        <w:trPr>
          <w:trHeight w:val="75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CellMar>
            <w:top w:w="0" w:type="dxa"/>
            <w:left w:w="108" w:type="dxa"/>
            <w:bottom w:w="0" w:type="dxa"/>
            <w:right w:w="108" w:type="dxa"/>
          </w:tblCellMar>
        </w:tblPrEx>
        <w:trPr>
          <w:trHeight w:val="120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CellMar>
            <w:top w:w="0" w:type="dxa"/>
            <w:left w:w="108" w:type="dxa"/>
            <w:bottom w:w="0" w:type="dxa"/>
            <w:right w:w="108" w:type="dxa"/>
          </w:tblCellMar>
        </w:tblPrEx>
        <w:trPr>
          <w:trHeight w:val="97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CellMar>
            <w:top w:w="0" w:type="dxa"/>
            <w:left w:w="108" w:type="dxa"/>
            <w:bottom w:w="0" w:type="dxa"/>
            <w:right w:w="108" w:type="dxa"/>
          </w:tblCellMar>
        </w:tblPrEx>
        <w:trPr>
          <w:trHeight w:val="88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CellMar>
            <w:top w:w="0" w:type="dxa"/>
            <w:left w:w="108" w:type="dxa"/>
            <w:bottom w:w="0" w:type="dxa"/>
            <w:right w:w="108" w:type="dxa"/>
          </w:tblCellMar>
        </w:tblPrEx>
        <w:trPr>
          <w:trHeight w:val="94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CellMar>
            <w:top w:w="0" w:type="dxa"/>
            <w:left w:w="108" w:type="dxa"/>
            <w:bottom w:w="0" w:type="dxa"/>
            <w:right w:w="108" w:type="dxa"/>
          </w:tblCellMar>
        </w:tblPrEx>
        <w:trPr>
          <w:trHeight w:val="88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B323.合同执行情况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CellMar>
            <w:top w:w="0" w:type="dxa"/>
            <w:left w:w="108" w:type="dxa"/>
            <w:bottom w:w="0" w:type="dxa"/>
            <w:right w:w="108" w:type="dxa"/>
          </w:tblCellMar>
        </w:tblPrEx>
        <w:trPr>
          <w:trHeight w:val="78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B324.台账记录规范性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B331.采购方式合规性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B332.采购流程规范性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CellMar>
            <w:top w:w="0" w:type="dxa"/>
            <w:left w:w="108" w:type="dxa"/>
            <w:bottom w:w="0" w:type="dxa"/>
            <w:right w:w="108" w:type="dxa"/>
          </w:tblCellMar>
        </w:tblPrEx>
        <w:trPr>
          <w:trHeight w:val="1200" w:hRule="atLeast"/>
          <w:jc w:val="center"/>
        </w:trPr>
        <w:tc>
          <w:tcPr>
            <w:tcW w:w="846"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C.辅助性岗位工作人员薪酬专项经费项目绩效（60%）</w:t>
            </w: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C1.项目产出（30%）（说明：该指标主要反映部门（单位）项目工作任务的完成情况。三、四级指标以各部门（单位）在绩效自评工作中要结合项目特征设置个性化的三、四级指标。）</w:t>
            </w: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C11.辅助性岗位工作人员薪酬专项经费</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C111.配置数量指标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包括人员工资、社会保险费和绩效考核奖4项，共计127人。</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全部招满，得满分；每降低1%，扣权重的3%，扣完为止。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年初预算项目标申报表、立项申请、批复文件、区政府相关规划、决策、批复</w:t>
            </w:r>
          </w:p>
        </w:tc>
      </w:tr>
      <w:tr>
        <w:tblPrEx>
          <w:tblCellMar>
            <w:top w:w="0" w:type="dxa"/>
            <w:left w:w="108" w:type="dxa"/>
            <w:bottom w:w="0" w:type="dxa"/>
            <w:right w:w="108" w:type="dxa"/>
          </w:tblCellMar>
        </w:tblPrEx>
        <w:trPr>
          <w:trHeight w:val="825" w:hRule="atLeast"/>
          <w:jc w:val="center"/>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C112.配置人员质量指标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5</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通过招用劳务派遣人员，进入窗口服务群众，完善辅助性岗位工作人员综合服务功能，提高政务服务水平。</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保障政务大厅正常运转，得满分；存在一次未及时处理的，扣权重的10%，扣完为止。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每季度考核台账</w:t>
            </w:r>
          </w:p>
        </w:tc>
      </w:tr>
      <w:tr>
        <w:tblPrEx>
          <w:tblCellMar>
            <w:top w:w="0" w:type="dxa"/>
            <w:left w:w="108" w:type="dxa"/>
            <w:bottom w:w="0" w:type="dxa"/>
            <w:right w:w="108" w:type="dxa"/>
          </w:tblCellMar>
        </w:tblPrEx>
        <w:trPr>
          <w:trHeight w:val="840" w:hRule="atLeast"/>
          <w:jc w:val="center"/>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C113.配置人员时效指标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辅助性岗位工作人员薪酬专项经费是否按月支付工资及社保费，按季度支付绩效考核奖。</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全部合格，得满分；存在一次超标，扣权重的10%，扣完为止。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每月工资发放情况及季度考核台账</w:t>
            </w:r>
          </w:p>
        </w:tc>
      </w:tr>
      <w:tr>
        <w:tblPrEx>
          <w:tblCellMar>
            <w:top w:w="0" w:type="dxa"/>
            <w:left w:w="108" w:type="dxa"/>
            <w:bottom w:w="0" w:type="dxa"/>
            <w:right w:w="108" w:type="dxa"/>
          </w:tblCellMar>
        </w:tblPrEx>
        <w:trPr>
          <w:trHeight w:val="705" w:hRule="atLeast"/>
          <w:jc w:val="center"/>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C114.配置人员成本指标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辅助性岗位工作人员薪酬专项经费是否按相关预算标准支出。</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全部合格，得满分；存在超标，扣权重的1%，扣完为止。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年底决算支出数</w:t>
            </w:r>
          </w:p>
        </w:tc>
      </w:tr>
      <w:tr>
        <w:tblPrEx>
          <w:tblCellMar>
            <w:top w:w="0" w:type="dxa"/>
            <w:left w:w="108" w:type="dxa"/>
            <w:bottom w:w="0" w:type="dxa"/>
            <w:right w:w="108" w:type="dxa"/>
          </w:tblCellMar>
        </w:tblPrEx>
        <w:trPr>
          <w:trHeight w:val="2715" w:hRule="atLeast"/>
          <w:jc w:val="center"/>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20%）（说明：该指标主要反映部门（单位）项目的实施效果。三、四级指标以XX年度污泥厂经费支出绩效评价为例设置，供各部门（单位）参考。各部门（单位）在绩效自评工作中要结合项目特征设置个性化的三、四级指标。）</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C211.服务企业及群众</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提升打造一流的政务服务大厅，提升政务服务环境，为办事企业和群众</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及时提供企业及群众需求，得满分；存在一次不能满足的情况，扣权重的30%，扣完为止。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考核情况及投诉满意率台账</w:t>
            </w:r>
          </w:p>
        </w:tc>
      </w:tr>
      <w:tr>
        <w:tblPrEx>
          <w:tblCellMar>
            <w:top w:w="0" w:type="dxa"/>
            <w:left w:w="108" w:type="dxa"/>
            <w:bottom w:w="0" w:type="dxa"/>
            <w:right w:w="108" w:type="dxa"/>
          </w:tblCellMar>
        </w:tblPrEx>
        <w:trPr>
          <w:trHeight w:val="2325" w:hRule="atLeast"/>
          <w:jc w:val="center"/>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C22.生态效益</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C221.服务企业及群众，解决企业及群众需求</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10</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是否达到预期打造一流的政务服务大厅，提升政务服务环境，为办事企业和群众服务效果。</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高于80%，得满分；</w:t>
            </w:r>
            <w:r>
              <w:rPr>
                <w:rFonts w:ascii="宋体" w:hAnsi="宋体" w:cs="宋体"/>
                <w:color w:val="000000"/>
                <w:kern w:val="0"/>
                <w:sz w:val="18"/>
                <w:szCs w:val="18"/>
              </w:rPr>
              <w:t xml:space="preserve"> </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评价记录本测评情况及投诉率</w:t>
            </w:r>
          </w:p>
        </w:tc>
      </w:tr>
      <w:tr>
        <w:tblPrEx>
          <w:tblCellMar>
            <w:top w:w="0" w:type="dxa"/>
            <w:left w:w="108" w:type="dxa"/>
            <w:bottom w:w="0" w:type="dxa"/>
            <w:right w:w="108" w:type="dxa"/>
          </w:tblCellMar>
        </w:tblPrEx>
        <w:trPr>
          <w:trHeight w:val="540" w:hRule="atLeast"/>
          <w:jc w:val="center"/>
        </w:trPr>
        <w:tc>
          <w:tcPr>
            <w:tcW w:w="846"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C3.项目满意度（10%）</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C3</w:t>
            </w:r>
            <w:r>
              <w:rPr>
                <w:rFonts w:hint="eastAsia" w:ascii="宋体" w:hAnsi="宋体" w:cs="宋体"/>
                <w:color w:val="000000"/>
                <w:kern w:val="0"/>
                <w:sz w:val="18"/>
                <w:szCs w:val="18"/>
              </w:rPr>
              <w:t>1.服务对象的满意度</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C31</w:t>
            </w:r>
            <w:r>
              <w:rPr>
                <w:rFonts w:hint="eastAsia" w:ascii="宋体" w:hAnsi="宋体" w:cs="宋体"/>
                <w:color w:val="000000"/>
                <w:kern w:val="0"/>
                <w:sz w:val="18"/>
                <w:szCs w:val="18"/>
              </w:rPr>
              <w:t>1.群众满意度</w:t>
            </w:r>
          </w:p>
        </w:tc>
        <w:tc>
          <w:tcPr>
            <w:tcW w:w="59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10</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评价记录本测评群众满意程度</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该指标权重10分，根据群众反馈情况评分。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①满意度≥90%得10分；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②90%＞满意度≥80%得8分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③80%＞满意度≥70%得6分；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④70%＞满意度≥60%得3分；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⑤满意度&lt;60%得0分;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评价记录本测评结果</w:t>
            </w:r>
          </w:p>
        </w:tc>
      </w:tr>
      <w:tr>
        <w:tblPrEx>
          <w:tblCellMar>
            <w:top w:w="0" w:type="dxa"/>
            <w:left w:w="108" w:type="dxa"/>
            <w:bottom w:w="0" w:type="dxa"/>
            <w:right w:w="108" w:type="dxa"/>
          </w:tblCellMar>
        </w:tblPrEx>
        <w:trPr>
          <w:trHeight w:val="540"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70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99分</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
      <w:pPr>
        <w:rPr>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5ZGM3MTMyZGI0N2RlZjcyMTJjYjY5NjY0YmZlMTgifQ=="/>
  </w:docVars>
  <w:rsids>
    <w:rsidRoot w:val="003D1C81"/>
    <w:rsid w:val="000A05A4"/>
    <w:rsid w:val="000A294F"/>
    <w:rsid w:val="00187DCD"/>
    <w:rsid w:val="00191FB1"/>
    <w:rsid w:val="001D6FAC"/>
    <w:rsid w:val="00222D3B"/>
    <w:rsid w:val="002466D1"/>
    <w:rsid w:val="002910E8"/>
    <w:rsid w:val="002D695D"/>
    <w:rsid w:val="002E4905"/>
    <w:rsid w:val="002F7AEF"/>
    <w:rsid w:val="003135CA"/>
    <w:rsid w:val="003241C5"/>
    <w:rsid w:val="00356951"/>
    <w:rsid w:val="003A3750"/>
    <w:rsid w:val="003B4850"/>
    <w:rsid w:val="003B574E"/>
    <w:rsid w:val="003D1C81"/>
    <w:rsid w:val="0046791A"/>
    <w:rsid w:val="00494DBA"/>
    <w:rsid w:val="004D0A06"/>
    <w:rsid w:val="00516B9A"/>
    <w:rsid w:val="00530C57"/>
    <w:rsid w:val="005E1F38"/>
    <w:rsid w:val="00634E86"/>
    <w:rsid w:val="006435A0"/>
    <w:rsid w:val="006B5D37"/>
    <w:rsid w:val="006C77AA"/>
    <w:rsid w:val="007821E7"/>
    <w:rsid w:val="007E533A"/>
    <w:rsid w:val="008571AE"/>
    <w:rsid w:val="008677C4"/>
    <w:rsid w:val="00892E9B"/>
    <w:rsid w:val="00893C6A"/>
    <w:rsid w:val="008A4F6F"/>
    <w:rsid w:val="00952A3A"/>
    <w:rsid w:val="00997FE1"/>
    <w:rsid w:val="009A5A75"/>
    <w:rsid w:val="009F6584"/>
    <w:rsid w:val="009F6BA0"/>
    <w:rsid w:val="00A607BB"/>
    <w:rsid w:val="00AC1BCF"/>
    <w:rsid w:val="00B6439F"/>
    <w:rsid w:val="00BB08B0"/>
    <w:rsid w:val="00C64D2F"/>
    <w:rsid w:val="00CF68D5"/>
    <w:rsid w:val="00D87242"/>
    <w:rsid w:val="00DA7F80"/>
    <w:rsid w:val="00E14647"/>
    <w:rsid w:val="00E41C8A"/>
    <w:rsid w:val="00E53225"/>
    <w:rsid w:val="00EC58B1"/>
    <w:rsid w:val="00F35DAD"/>
    <w:rsid w:val="00F440DD"/>
    <w:rsid w:val="00FD042E"/>
    <w:rsid w:val="14404553"/>
    <w:rsid w:val="64327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lang w:val="zh-CN" w:eastAsia="zh-CN"/>
    </w:rPr>
  </w:style>
  <w:style w:type="paragraph" w:customStyle="1" w:styleId="11">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2">
    <w:name w:val="标题 1 Char"/>
    <w:basedOn w:val="7"/>
    <w:link w:val="2"/>
    <w:qFormat/>
    <w:uiPriority w:val="9"/>
    <w:rPr>
      <w:rFonts w:ascii="Calibri" w:hAnsi="Calibri" w:eastAsia="宋体" w:cs="Times New Roman"/>
      <w:b/>
      <w:bCs/>
      <w:kern w:val="44"/>
      <w:sz w:val="44"/>
      <w:szCs w:val="44"/>
    </w:rPr>
  </w:style>
  <w:style w:type="character" w:customStyle="1" w:styleId="13">
    <w:name w:val="批注框文本 Char"/>
    <w:basedOn w:val="7"/>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6707</Words>
  <Characters>7267</Characters>
  <Lines>57</Lines>
  <Paragraphs>16</Paragraphs>
  <TotalTime>24</TotalTime>
  <ScaleCrop>false</ScaleCrop>
  <LinksUpToDate>false</LinksUpToDate>
  <CharactersWithSpaces>7519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2023-04-20T06:42:00Z</dcterms:created>
  <dc:creator>jsp</dc:creator>
  <cp:lastModifiedBy>Anne*旭*</cp:lastModifiedBy>
  <cp:lastPrinted>2023-04-23T07:23:00Z</cp:lastPrinted>
  <dcterms:modified xsi:type="dcterms:W3CDTF">2023-04-25T08:31:06Z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BA33CC2F17B84479921A0210EED70D56_12</vt:lpwstr>
  </property>
</Properties>
</file>