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方正小标宋_GBK" w:eastAsia="方正小标宋_GBK"/>
          <w:sz w:val="36"/>
          <w:szCs w:val="36"/>
        </w:rPr>
      </w:pPr>
      <w:r>
        <w:rPr>
          <w:rFonts w:hint="eastAsia" w:ascii="方正小标宋_GBK" w:eastAsia="方正小标宋_GBK"/>
          <w:sz w:val="36"/>
          <w:szCs w:val="36"/>
        </w:rPr>
        <w:t>附件1：部门整体支出绩效评价共性指标体系框架</w:t>
      </w:r>
    </w:p>
    <w:tbl>
      <w:tblPr>
        <w:tblStyle w:val="4"/>
        <w:tblW w:w="10065" w:type="dxa"/>
        <w:jc w:val="center"/>
        <w:tblLayout w:type="autofit"/>
        <w:tblCellMar>
          <w:top w:w="0" w:type="dxa"/>
          <w:left w:w="108" w:type="dxa"/>
          <w:bottom w:w="0" w:type="dxa"/>
          <w:right w:w="108" w:type="dxa"/>
        </w:tblCellMar>
      </w:tblPr>
      <w:tblGrid>
        <w:gridCol w:w="579"/>
        <w:gridCol w:w="981"/>
        <w:gridCol w:w="1559"/>
        <w:gridCol w:w="689"/>
        <w:gridCol w:w="2050"/>
        <w:gridCol w:w="2846"/>
        <w:gridCol w:w="1361"/>
      </w:tblGrid>
      <w:tr>
        <w:tblPrEx>
          <w:tblCellMar>
            <w:top w:w="0" w:type="dxa"/>
            <w:left w:w="108" w:type="dxa"/>
            <w:bottom w:w="0" w:type="dxa"/>
            <w:right w:w="108" w:type="dxa"/>
          </w:tblCellMar>
        </w:tblPrEx>
        <w:trPr>
          <w:trHeight w:val="270"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9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68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0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28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指标评分细则</w:t>
            </w:r>
          </w:p>
        </w:tc>
        <w:tc>
          <w:tcPr>
            <w:tcW w:w="13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CellMar>
            <w:top w:w="0" w:type="dxa"/>
            <w:left w:w="108" w:type="dxa"/>
            <w:bottom w:w="0" w:type="dxa"/>
            <w:right w:w="108" w:type="dxa"/>
          </w:tblCellMar>
        </w:tblPrEx>
        <w:trPr>
          <w:trHeight w:val="1575" w:hRule="atLeast"/>
          <w:jc w:val="center"/>
        </w:trPr>
        <w:tc>
          <w:tcPr>
            <w:tcW w:w="5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b/>
                <w:bCs/>
                <w:color w:val="000000"/>
                <w:kern w:val="0"/>
                <w:sz w:val="18"/>
                <w:szCs w:val="18"/>
              </w:rPr>
            </w:pPr>
            <w:r>
              <w:rPr>
                <w:rFonts w:hint="eastAsia" w:ascii="宋体" w:hAnsi="宋体" w:cs="宋体"/>
                <w:b/>
                <w:bCs/>
                <w:color w:val="000000"/>
                <w:kern w:val="0"/>
                <w:sz w:val="18"/>
                <w:szCs w:val="18"/>
              </w:rPr>
              <w:t>昆明市盘龙区政务服务管理局部门决策（35分）</w:t>
            </w:r>
          </w:p>
        </w:tc>
        <w:tc>
          <w:tcPr>
            <w:tcW w:w="98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A1部门目标（12分）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A11部门中长期规划目标的明确性与合理性（2分）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部门（单位）中长期规划目标的设定情况；中长期规划目标应设定明确，应与政府中长期规划目标相适应，且应与部门职能相适应。</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①设定了部门中长期规划目标，得0.5分；②设定的部门中长期规划目标明确，得0.5分；③能够适应《盘龙区XXXXX事业发展“十XX五”规划》，得0.5分；④能够与部门职能相适应，得0.5分。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部门中长期规划目标、区政府相关规划、部门“三定”方案、部门职能文件。</w:t>
            </w:r>
          </w:p>
        </w:tc>
      </w:tr>
      <w:tr>
        <w:tblPrEx>
          <w:tblCellMar>
            <w:top w:w="0" w:type="dxa"/>
            <w:left w:w="108" w:type="dxa"/>
            <w:bottom w:w="0" w:type="dxa"/>
            <w:right w:w="108" w:type="dxa"/>
          </w:tblCellMar>
        </w:tblPrEx>
        <w:trPr>
          <w:trHeight w:val="9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A12年度工作目标的明确性与合理性（2分）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部门年度工作目标的设定是否明确合理</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①部门年度工作目标明确设定，得1分；②年度工作目标与部门中长期规划目标一致，得1分。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年度工作目标与部门中长期规划文件</w:t>
            </w:r>
          </w:p>
        </w:tc>
      </w:tr>
      <w:tr>
        <w:tblPrEx>
          <w:tblCellMar>
            <w:top w:w="0" w:type="dxa"/>
            <w:left w:w="108" w:type="dxa"/>
            <w:bottom w:w="0" w:type="dxa"/>
            <w:right w:w="108" w:type="dxa"/>
          </w:tblCellMar>
        </w:tblPrEx>
        <w:trPr>
          <w:trHeight w:val="123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A13年度工作计划与年度工作目标的一致性（2分）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部门年度工作计划是否与部门年度工作目标相一致。</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将部门详细工作计划与年度工作目标对应匹配，视匹配情况酌情得0-2分。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年度工作计划与年度工作目标文件</w:t>
            </w:r>
          </w:p>
        </w:tc>
      </w:tr>
      <w:tr>
        <w:tblPrEx>
          <w:tblCellMar>
            <w:top w:w="0" w:type="dxa"/>
            <w:left w:w="108" w:type="dxa"/>
            <w:bottom w:w="0" w:type="dxa"/>
            <w:right w:w="108" w:type="dxa"/>
          </w:tblCellMar>
        </w:tblPrEx>
        <w:trPr>
          <w:trHeight w:val="142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A14绩效目标合理性（3分）</w:t>
            </w:r>
          </w:p>
        </w:tc>
        <w:tc>
          <w:tcPr>
            <w:tcW w:w="689" w:type="dxa"/>
            <w:tcBorders>
              <w:top w:val="nil"/>
              <w:left w:val="nil"/>
              <w:bottom w:val="single" w:color="auto" w:sz="4" w:space="0"/>
              <w:right w:val="single" w:color="auto" w:sz="4" w:space="0"/>
            </w:tcBorders>
            <w:shd w:val="clear" w:color="auto" w:fill="auto"/>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用以反映和考核部门整体绩效目标与部门职能、年度工作目标的一致性。</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①符合部门制定的中长期实施规划计1分；②符合部门“三定”方案确定的职责计1分；③与部门年度工作目标、任务相一致计1分。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部门中长期规划、部门“三定”方案、年度重点工作任务与工作计划</w:t>
            </w:r>
          </w:p>
        </w:tc>
      </w:tr>
      <w:tr>
        <w:tblPrEx>
          <w:tblCellMar>
            <w:top w:w="0" w:type="dxa"/>
            <w:left w:w="108" w:type="dxa"/>
            <w:bottom w:w="0" w:type="dxa"/>
            <w:right w:w="108" w:type="dxa"/>
          </w:tblCellMar>
        </w:tblPrEx>
        <w:trPr>
          <w:trHeight w:val="142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A15绩效指标明确性（3分）</w:t>
            </w:r>
          </w:p>
        </w:tc>
        <w:tc>
          <w:tcPr>
            <w:tcW w:w="689" w:type="dxa"/>
            <w:tcBorders>
              <w:top w:val="nil"/>
              <w:left w:val="nil"/>
              <w:bottom w:val="single" w:color="auto" w:sz="4" w:space="0"/>
              <w:right w:val="single" w:color="auto" w:sz="4" w:space="0"/>
            </w:tcBorders>
            <w:shd w:val="clear" w:color="auto" w:fill="auto"/>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整体绩效目标所设定的绩效指标是否依据部门工作目标和工作任务进行细化、量化，绩效指标是否可衡量。</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①将部门整体的绩效目标细化分解为具体的工作任务计1分；②通过清晰、可衡量的指标值予以体现计0.5分。③与部门年度的任务数或计划数相对应计0.5分；④与本年度部门预算资金相匹配计1分。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部门年度重点工作任务与工作计划。</w:t>
            </w:r>
          </w:p>
        </w:tc>
      </w:tr>
      <w:tr>
        <w:tblPrEx>
          <w:tblCellMar>
            <w:top w:w="0" w:type="dxa"/>
            <w:left w:w="108" w:type="dxa"/>
            <w:bottom w:w="0" w:type="dxa"/>
            <w:right w:w="108" w:type="dxa"/>
          </w:tblCellMar>
        </w:tblPrEx>
        <w:trPr>
          <w:trHeight w:val="108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A2部门职能（10分）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A21部门职能的明确性与科学性（1分）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考察部门职能界定是否明确科学，是否有相关文件。</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①职能明确、设定依据充分，得1分；②有“三定”文件，但职能描述不明确，得0.5分;③没有职能设定的文件依据且职能不清，得0分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部门职能描述、“三定”文件</w:t>
            </w:r>
          </w:p>
        </w:tc>
      </w:tr>
      <w:tr>
        <w:tblPrEx>
          <w:tblCellMar>
            <w:top w:w="0" w:type="dxa"/>
            <w:left w:w="108" w:type="dxa"/>
            <w:bottom w:w="0" w:type="dxa"/>
            <w:right w:w="108" w:type="dxa"/>
          </w:tblCellMar>
        </w:tblPrEx>
        <w:trPr>
          <w:trHeight w:val="9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A22年度工作目标与部门职能的适应性（4分）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部门所设定的具体目标是否与部门职能相适应。</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将部门详细工作目标与部门职能对应匹配，视匹配情况酌情得0-4分。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部门年度工作目标、部门职能</w:t>
            </w:r>
          </w:p>
        </w:tc>
      </w:tr>
      <w:tr>
        <w:tblPrEx>
          <w:tblCellMar>
            <w:top w:w="0" w:type="dxa"/>
            <w:left w:w="108" w:type="dxa"/>
            <w:bottom w:w="0" w:type="dxa"/>
            <w:right w:w="108" w:type="dxa"/>
          </w:tblCellMar>
        </w:tblPrEx>
        <w:trPr>
          <w:trHeight w:val="9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A23年度具体工作与部门职能的匹配性（4分）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部门年度各类具体工作是否与部门职能相匹配。</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将部门年度具体工作与部门职能对应匹配，视匹配情况酌情得0-4分。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部门年度各项具体工作，部门职能</w:t>
            </w:r>
          </w:p>
        </w:tc>
      </w:tr>
      <w:tr>
        <w:tblPrEx>
          <w:tblCellMar>
            <w:top w:w="0" w:type="dxa"/>
            <w:left w:w="108" w:type="dxa"/>
            <w:bottom w:w="0" w:type="dxa"/>
            <w:right w:w="108" w:type="dxa"/>
          </w:tblCellMar>
        </w:tblPrEx>
        <w:trPr>
          <w:trHeight w:val="54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A24部门内设科室及下属单位职责的明确性（1分）</w:t>
            </w:r>
            <w:bookmarkStart w:id="0" w:name="_GoBack"/>
            <w:bookmarkEnd w:id="0"/>
          </w:p>
        </w:tc>
        <w:tc>
          <w:tcPr>
            <w:tcW w:w="68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single" w:color="auto" w:sz="4" w:space="0"/>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部门内设科室及下属单位具体职责是否明确</w:t>
            </w:r>
          </w:p>
        </w:tc>
        <w:tc>
          <w:tcPr>
            <w:tcW w:w="2846" w:type="dxa"/>
            <w:tcBorders>
              <w:top w:val="single" w:color="auto" w:sz="4" w:space="0"/>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①有职责文件制度规定部门各科室及下属单位具体职责，得0.5分；②具体职责明确，得0.5分。</w:t>
            </w:r>
          </w:p>
        </w:tc>
        <w:tc>
          <w:tcPr>
            <w:tcW w:w="1361" w:type="dxa"/>
            <w:tcBorders>
              <w:top w:val="single" w:color="auto" w:sz="4" w:space="0"/>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内设科室及下属单位职责文件</w:t>
            </w:r>
          </w:p>
        </w:tc>
      </w:tr>
      <w:tr>
        <w:tblPrEx>
          <w:tblCellMar>
            <w:top w:w="0" w:type="dxa"/>
            <w:left w:w="108" w:type="dxa"/>
            <w:bottom w:w="0" w:type="dxa"/>
            <w:right w:w="108" w:type="dxa"/>
          </w:tblCellMar>
        </w:tblPrEx>
        <w:trPr>
          <w:trHeight w:val="9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A3资源配置（13分）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A31基本支出预算合理性（2分）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用以反映部门年度基本支出预算是否根据人员经费、公用经费标准进行合理编制。</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①如实核定人员基数，得1分；②根据基本预算标准进行编制，得1分。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部门基本支出预算标准、基本支出预算</w:t>
            </w:r>
          </w:p>
        </w:tc>
      </w:tr>
      <w:tr>
        <w:tblPrEx>
          <w:tblCellMar>
            <w:top w:w="0" w:type="dxa"/>
            <w:left w:w="108" w:type="dxa"/>
            <w:bottom w:w="0" w:type="dxa"/>
            <w:right w:w="108" w:type="dxa"/>
          </w:tblCellMar>
        </w:tblPrEx>
        <w:trPr>
          <w:trHeight w:val="135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A32项目支出预算合理性（4分）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用以反映部门年度项目支出预算程序、预算依据、适用范围的合理性。</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①预算程序合理，得1分；②预算依据充分，得2分；③符合资金使用范围，得1分。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部门项目支出预算编制详细资料，访谈、文件梳理等、其他资料</w:t>
            </w:r>
          </w:p>
        </w:tc>
      </w:tr>
      <w:tr>
        <w:tblPrEx>
          <w:tblCellMar>
            <w:top w:w="0" w:type="dxa"/>
            <w:left w:w="108" w:type="dxa"/>
            <w:bottom w:w="0" w:type="dxa"/>
            <w:right w:w="108" w:type="dxa"/>
          </w:tblCellMar>
        </w:tblPrEx>
        <w:trPr>
          <w:trHeight w:val="67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A33人力资源投入合理性（2分）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用以反映部门核定人员的编制与部门工作内容的合理性</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通过问卷及访谈调研,分析人员的工作量和工作时长，视匹配情况得0-2分。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人员编制文件、调研</w:t>
            </w:r>
          </w:p>
        </w:tc>
      </w:tr>
      <w:tr>
        <w:tblPrEx>
          <w:tblCellMar>
            <w:top w:w="0" w:type="dxa"/>
            <w:left w:w="108" w:type="dxa"/>
            <w:bottom w:w="0" w:type="dxa"/>
            <w:right w:w="108" w:type="dxa"/>
          </w:tblCellMar>
        </w:tblPrEx>
        <w:trPr>
          <w:trHeight w:val="9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A34办公资源投入合理性（2分）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用以反映部门现有办公资源能否满足部门日常工作需求。</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①办公资源经费保障充足，得1分；②办公资源配置合理，得1分。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部门办公资源配置情况、调研等资料</w:t>
            </w:r>
          </w:p>
        </w:tc>
      </w:tr>
      <w:tr>
        <w:tblPrEx>
          <w:tblCellMar>
            <w:top w:w="0" w:type="dxa"/>
            <w:left w:w="108" w:type="dxa"/>
            <w:bottom w:w="0" w:type="dxa"/>
            <w:right w:w="108" w:type="dxa"/>
          </w:tblCellMar>
        </w:tblPrEx>
        <w:trPr>
          <w:trHeight w:val="168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A35重点项目资源分配合理性（3分）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部门本年度预算安排的重点项目支出与部门项目总支出的比率，用以反映和考核部门对履行主要职责或完成重点任务的保障程度。</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根据重点项目资源分配，对重点项目完成实施的保障程度进行评分。能够保障重点项目顺利实施、全面完成当年工作目标任务的得满分，每有一项重点项目因资金不足无法完成，按权重（3分）的1/3扣分，扣完为止。</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重点项目相关资料</w:t>
            </w:r>
          </w:p>
        </w:tc>
      </w:tr>
      <w:tr>
        <w:tblPrEx>
          <w:tblCellMar>
            <w:top w:w="0" w:type="dxa"/>
            <w:left w:w="108" w:type="dxa"/>
            <w:bottom w:w="0" w:type="dxa"/>
            <w:right w:w="108" w:type="dxa"/>
          </w:tblCellMar>
        </w:tblPrEx>
        <w:trPr>
          <w:trHeight w:val="1635" w:hRule="atLeast"/>
          <w:jc w:val="center"/>
        </w:trPr>
        <w:tc>
          <w:tcPr>
            <w:tcW w:w="5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b/>
                <w:bCs/>
                <w:color w:val="000000"/>
                <w:kern w:val="0"/>
                <w:sz w:val="18"/>
                <w:szCs w:val="18"/>
              </w:rPr>
            </w:pPr>
            <w:r>
              <w:rPr>
                <w:rFonts w:hint="eastAsia" w:ascii="宋体" w:hAnsi="宋体" w:cs="宋体"/>
                <w:b/>
                <w:bCs/>
                <w:color w:val="000000"/>
                <w:kern w:val="0"/>
                <w:sz w:val="18"/>
                <w:szCs w:val="18"/>
              </w:rPr>
              <w:t>B部门管理（20分）</w:t>
            </w: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B1预算管理（7分）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B11基本支出预算执行率（1分）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部门基本支出本年度决算数与预算数的比率，用以反映和考核部门（单位）基本支出预算执行程度。</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预算执行率=部门基本支出决算/部门基本支出预算×100%。决算数：部门本年度基本支出实际支出资金数。预算数：财政部门批复的本年度部门基本支出预算数以及当年批复的调整数。预算完成率≥95%得满分，未达到的每低于1%扣0.1分，扣完为止。</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基本支出预算批复，预算调整批复、预算编制等其他资料</w:t>
            </w:r>
          </w:p>
        </w:tc>
      </w:tr>
      <w:tr>
        <w:tblPrEx>
          <w:tblCellMar>
            <w:top w:w="0" w:type="dxa"/>
            <w:left w:w="108" w:type="dxa"/>
            <w:bottom w:w="0" w:type="dxa"/>
            <w:right w:w="108" w:type="dxa"/>
          </w:tblCellMar>
        </w:tblPrEx>
        <w:trPr>
          <w:trHeight w:val="18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B12项目支出预算执行率（4分）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部门项目支出本年度决算数与预算数的比率，用以反映和考核部门项目支出预算执行程度。</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预算执行率=部门项目支出决算/部门项目支出预算×100%。决算数：部门（单位）本年度项目支出实际支出资金数。预算数：财政部门批复的本年度部门（单位）项目支出预算数以及当年批复的调整数。预算完成率≥95%得满分，每低于1%扣0.2分，扣完为止。</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项目支出预算批复，预算调整批复、预算编制等其他资料</w:t>
            </w:r>
          </w:p>
        </w:tc>
      </w:tr>
      <w:tr>
        <w:tblPrEx>
          <w:tblCellMar>
            <w:top w:w="0" w:type="dxa"/>
            <w:left w:w="108" w:type="dxa"/>
            <w:bottom w:w="0" w:type="dxa"/>
            <w:right w:w="108" w:type="dxa"/>
          </w:tblCellMar>
        </w:tblPrEx>
        <w:trPr>
          <w:trHeight w:val="18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B13“三公经费”控制率（1分）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部门本年度“三公”经费预算数与上年度“三公”经费预算数的变动比率，用以反映和考核部门（单位）对控制行政成本的努力程度。</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三公经费使用情况</w:t>
            </w:r>
          </w:p>
        </w:tc>
      </w:tr>
      <w:tr>
        <w:tblPrEx>
          <w:tblCellMar>
            <w:top w:w="0" w:type="dxa"/>
            <w:left w:w="108" w:type="dxa"/>
            <w:bottom w:w="0" w:type="dxa"/>
            <w:right w:w="108" w:type="dxa"/>
          </w:tblCellMar>
        </w:tblPrEx>
        <w:trPr>
          <w:trHeight w:val="85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B14预算调整情况（1分）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用以反映预算单位是否根据年中预算实际执行情况及时合规进行预算调整。</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①根据年中预算执行情况及时申请预算调整，得0.5分；②按规定程序进行预算调整，得0.5分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预算调整相关资料</w:t>
            </w:r>
          </w:p>
        </w:tc>
      </w:tr>
      <w:tr>
        <w:tblPrEx>
          <w:tblCellMar>
            <w:top w:w="0" w:type="dxa"/>
            <w:left w:w="108" w:type="dxa"/>
            <w:bottom w:w="0" w:type="dxa"/>
            <w:right w:w="108" w:type="dxa"/>
          </w:tblCellMar>
        </w:tblPrEx>
        <w:trPr>
          <w:trHeight w:val="168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B2财务管理（6分）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B21财务管理制度健全性及执行情况（1分）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部门为加强预算管理、规范财务行为而制定的财务管理制度是否健全完整。用以反映和考核部门预算管理制度对完成主要职责或促进事业发展的保障情况。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①是否已制定预算资金管理办法、内部财务管理制度、会计核算制度等管理制度，0.25分；②相关管理制度是否合法、合规、完整，0.25分；③相关管理制度是否得到有效执行，0.5分。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财务管理相关制度及执行情况调研</w:t>
            </w:r>
          </w:p>
        </w:tc>
      </w:tr>
      <w:tr>
        <w:tblPrEx>
          <w:tblCellMar>
            <w:top w:w="0" w:type="dxa"/>
            <w:left w:w="108" w:type="dxa"/>
            <w:bottom w:w="0" w:type="dxa"/>
            <w:right w:w="108" w:type="dxa"/>
          </w:tblCellMar>
        </w:tblPrEx>
        <w:trPr>
          <w:trHeight w:val="220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B22资金使用合规性（4分）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部门使用预算资金是否符合相关财务管理制度的规定，用以反映和考核部门预算资金的规范运行情况。</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资金支出相关凭证、流程梳理等</w:t>
            </w:r>
          </w:p>
        </w:tc>
      </w:tr>
      <w:tr>
        <w:tblPrEx>
          <w:tblCellMar>
            <w:top w:w="0" w:type="dxa"/>
            <w:left w:w="108" w:type="dxa"/>
            <w:bottom w:w="0" w:type="dxa"/>
            <w:right w:w="108" w:type="dxa"/>
          </w:tblCellMar>
        </w:tblPrEx>
        <w:trPr>
          <w:trHeight w:val="112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B23财务监控的有效性（1分）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用以反映部门财务监控监督工作的有效性，包括监控、监督措施的制定及执行等方面。</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①制定明确的财务监控监督措施，得0.5分；②监控、监督措施执行有效，得0.5分；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财务监控监督相关办法及条款，实际执行情况资料</w:t>
            </w:r>
          </w:p>
        </w:tc>
      </w:tr>
      <w:tr>
        <w:tblPrEx>
          <w:tblCellMar>
            <w:top w:w="0" w:type="dxa"/>
            <w:left w:w="108" w:type="dxa"/>
            <w:bottom w:w="0" w:type="dxa"/>
            <w:right w:w="108" w:type="dxa"/>
          </w:tblCellMar>
        </w:tblPrEx>
        <w:trPr>
          <w:trHeight w:val="157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B3人力资源管理（2分）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B31在职人员控制率（1分）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部门本年度实际在职人员数与编制数的比率，用以反映和考核部门对人员成本的控制程度。</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部门编制数、在职人数、年内变化情况</w:t>
            </w:r>
          </w:p>
        </w:tc>
      </w:tr>
      <w:tr>
        <w:tblPrEx>
          <w:tblCellMar>
            <w:top w:w="0" w:type="dxa"/>
            <w:left w:w="108" w:type="dxa"/>
            <w:bottom w:w="0" w:type="dxa"/>
            <w:right w:w="108" w:type="dxa"/>
          </w:tblCellMar>
        </w:tblPrEx>
        <w:trPr>
          <w:trHeight w:val="92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B32人力资源管理执行情况（1分）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考察部门人力资源管理的健全性及执行规范性，包括在编、派遣、临时员工的管理，包括招聘、培训、工资发放及考核等。</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①有具体的人力资源管理制度文件或参照文件，得0.5分；②严格按照相关文件对各类型人员进行管理和考核，得0.5分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人力资源管理相关文件及实施情况</w:t>
            </w:r>
          </w:p>
        </w:tc>
      </w:tr>
      <w:tr>
        <w:tblPrEx>
          <w:tblCellMar>
            <w:top w:w="0" w:type="dxa"/>
            <w:left w:w="108" w:type="dxa"/>
            <w:bottom w:w="0" w:type="dxa"/>
            <w:right w:w="108" w:type="dxa"/>
          </w:tblCellMar>
        </w:tblPrEx>
        <w:trPr>
          <w:trHeight w:val="166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B4资产管理（2分）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B41资产管理制度健全性及执行情况（1分）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①是否已制定或具有固定资产管理办法、资产使用办法等管理制度，得0.25分；②相关管理制度是否合法、合规、完整，得0.25分；③相关管理制度是否得到有效执行，得0.5分。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资产管理相关办法</w:t>
            </w:r>
          </w:p>
        </w:tc>
      </w:tr>
      <w:tr>
        <w:tblPrEx>
          <w:tblCellMar>
            <w:top w:w="0" w:type="dxa"/>
            <w:left w:w="108" w:type="dxa"/>
            <w:bottom w:w="0" w:type="dxa"/>
            <w:right w:w="108" w:type="dxa"/>
          </w:tblCellMar>
        </w:tblPrEx>
        <w:trPr>
          <w:trHeight w:val="126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B42固定资产在用率（1分）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部门实际在用固定资产总额与所有固定资产总额的比率，用以反映和考核部门固定资产使用效率及程度。</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固定资产在用率=（实际在用固定资产总额/所有固定资产总额）×100%。固定资产在用率达到95%以上得满分.每降低1%扣权重分（1分）的5%，扣完为止。</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固定资产卡片、固定资产使用信息等</w:t>
            </w:r>
          </w:p>
        </w:tc>
      </w:tr>
      <w:tr>
        <w:tblPrEx>
          <w:tblCellMar>
            <w:top w:w="0" w:type="dxa"/>
            <w:left w:w="108" w:type="dxa"/>
            <w:bottom w:w="0" w:type="dxa"/>
            <w:right w:w="108" w:type="dxa"/>
          </w:tblCellMar>
        </w:tblPrEx>
        <w:trPr>
          <w:trHeight w:val="142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B5业务管理（3分）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B51业务管理制度健全性及执行情况（1分）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部门为加强业务管理、规范业务执行而制定的管理制度是否健全完整，用以反映和考核部门业务管理制度对完成主要职责或促进事业发展的保障情况。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①已制定或具有业务管理、项目管理等管理制度，得0.25分；②相关管理制度合法、合规、完整，得0.25分；③相关管理制度得到有效执行，得0.5分。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业务管理相关办法及执行情况资料</w:t>
            </w:r>
          </w:p>
        </w:tc>
      </w:tr>
      <w:tr>
        <w:tblPrEx>
          <w:tblCellMar>
            <w:top w:w="0" w:type="dxa"/>
            <w:left w:w="108" w:type="dxa"/>
            <w:bottom w:w="0" w:type="dxa"/>
            <w:right w:w="108" w:type="dxa"/>
          </w:tblCellMar>
        </w:tblPrEx>
        <w:trPr>
          <w:trHeight w:val="79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B52政府采购规范性（1分）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考察政府采购项目的采购程序、采购方式的规范性</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①政府采购方式、程序都规范，得满分；②采购方式、程序中每有一点不规范，扣0.5分，扣完为止。</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政府采购相关资料</w:t>
            </w:r>
          </w:p>
        </w:tc>
      </w:tr>
      <w:tr>
        <w:tblPrEx>
          <w:tblCellMar>
            <w:top w:w="0" w:type="dxa"/>
            <w:left w:w="108" w:type="dxa"/>
            <w:bottom w:w="0" w:type="dxa"/>
            <w:right w:w="108" w:type="dxa"/>
          </w:tblCellMar>
        </w:tblPrEx>
        <w:trPr>
          <w:trHeight w:val="79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B53监督考核情况（1分）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考察部门是否对各所属单位或项目实施主体进行工作监督和定期考核。</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有定期指导记录、考核结果，得1分，缺少项视情况酌情进行扣分。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监督考核记录等</w:t>
            </w:r>
          </w:p>
        </w:tc>
      </w:tr>
      <w:tr>
        <w:tblPrEx>
          <w:tblCellMar>
            <w:top w:w="0" w:type="dxa"/>
            <w:left w:w="108" w:type="dxa"/>
            <w:bottom w:w="0" w:type="dxa"/>
            <w:right w:w="108" w:type="dxa"/>
          </w:tblCellMar>
        </w:tblPrEx>
        <w:trPr>
          <w:trHeight w:val="1215" w:hRule="atLeast"/>
          <w:jc w:val="center"/>
        </w:trPr>
        <w:tc>
          <w:tcPr>
            <w:tcW w:w="5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b/>
                <w:bCs/>
                <w:color w:val="000000"/>
                <w:kern w:val="0"/>
                <w:sz w:val="18"/>
                <w:szCs w:val="18"/>
              </w:rPr>
            </w:pPr>
            <w:r>
              <w:rPr>
                <w:rFonts w:hint="eastAsia" w:ascii="宋体" w:hAnsi="宋体" w:cs="宋体"/>
                <w:b/>
                <w:bCs/>
                <w:color w:val="000000"/>
                <w:kern w:val="0"/>
                <w:sz w:val="18"/>
                <w:szCs w:val="18"/>
              </w:rPr>
              <w:t>C部门绩效（45分）</w:t>
            </w: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C1部门产出（18分）（说明：该指标主要反映部门（单位）重点工作任务的完成情况。各部门在绩效自评工作中要结合自身工作职能设置个性化的三级指标。）</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C11机构运行经费支出计划完成（4分）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人员经费支出</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（实际完成数/计划数）*100%*标准分。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经费收支明细账、预算批复</w:t>
            </w:r>
          </w:p>
        </w:tc>
      </w:tr>
      <w:tr>
        <w:tblPrEx>
          <w:tblCellMar>
            <w:top w:w="0" w:type="dxa"/>
            <w:left w:w="108" w:type="dxa"/>
            <w:bottom w:w="0" w:type="dxa"/>
            <w:right w:w="108" w:type="dxa"/>
          </w:tblCellMar>
        </w:tblPrEx>
        <w:trPr>
          <w:trHeight w:val="81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C12项目经费支出计划完成情况（2分）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事业发展经费支出</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（实际完成数/计划数）*100%*标准分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经费收支明细账、预算批复</w:t>
            </w:r>
          </w:p>
        </w:tc>
      </w:tr>
      <w:tr>
        <w:tblPrEx>
          <w:tblCellMar>
            <w:top w:w="0" w:type="dxa"/>
            <w:left w:w="108" w:type="dxa"/>
            <w:bottom w:w="0" w:type="dxa"/>
            <w:right w:w="108" w:type="dxa"/>
          </w:tblCellMar>
        </w:tblPrEx>
        <w:trPr>
          <w:trHeight w:val="9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C13资金使用准确率（3分）</w:t>
            </w:r>
          </w:p>
        </w:tc>
        <w:tc>
          <w:tcPr>
            <w:tcW w:w="689" w:type="dxa"/>
            <w:tcBorders>
              <w:top w:val="nil"/>
              <w:left w:val="nil"/>
              <w:bottom w:val="single" w:color="auto" w:sz="4" w:space="0"/>
              <w:right w:val="single" w:color="auto" w:sz="4" w:space="0"/>
            </w:tcBorders>
            <w:shd w:val="clear" w:color="auto" w:fill="auto"/>
            <w:vAlign w:val="center"/>
          </w:tcPr>
          <w:p>
            <w:pPr>
              <w:widowControl/>
              <w:ind w:firstLine="180" w:firstLineChars="100"/>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资金使用情况，不断提升资金使用准确率。</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正确使用资金金额/项目总金额）*100%*标准分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经费收支明细账、预算批复</w:t>
            </w:r>
          </w:p>
        </w:tc>
      </w:tr>
      <w:tr>
        <w:tblPrEx>
          <w:tblCellMar>
            <w:top w:w="0" w:type="dxa"/>
            <w:left w:w="108" w:type="dxa"/>
            <w:bottom w:w="0" w:type="dxa"/>
            <w:right w:w="108" w:type="dxa"/>
          </w:tblCellMar>
        </w:tblPrEx>
        <w:trPr>
          <w:trHeight w:val="9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C14资金完成时限（2分）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年度内资金完成情况。</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年度内完成得满分，超出10天扣1分，扣完为止。</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经费收支明细账、预算批复</w:t>
            </w:r>
          </w:p>
        </w:tc>
      </w:tr>
      <w:tr>
        <w:tblPrEx>
          <w:tblCellMar>
            <w:top w:w="0" w:type="dxa"/>
            <w:left w:w="108" w:type="dxa"/>
            <w:bottom w:w="0" w:type="dxa"/>
            <w:right w:w="108" w:type="dxa"/>
          </w:tblCellMar>
        </w:tblPrEx>
        <w:trPr>
          <w:trHeight w:val="90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C15预算执行率（6分）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预算执行率=(实际支出资金/实际到位资金)*100%</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得分=预算执行率*标准分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经费收支明细账、预算批复</w:t>
            </w:r>
          </w:p>
        </w:tc>
      </w:tr>
      <w:tr>
        <w:tblPrEx>
          <w:tblCellMar>
            <w:top w:w="0" w:type="dxa"/>
            <w:left w:w="108" w:type="dxa"/>
            <w:bottom w:w="0" w:type="dxa"/>
            <w:right w:w="108" w:type="dxa"/>
          </w:tblCellMar>
        </w:tblPrEx>
        <w:trPr>
          <w:trHeight w:val="102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C16成本节约（2分）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如期、保质、保量完成既定工作目标实际所耗费的支出与预算批复资金比较，反应项目成本节约情况。</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该指标权重2分，完成得2分，未完成酌情扣分分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预算批复资金、经费收支明细账</w:t>
            </w:r>
          </w:p>
        </w:tc>
      </w:tr>
      <w:tr>
        <w:tblPrEx>
          <w:tblCellMar>
            <w:top w:w="0" w:type="dxa"/>
            <w:left w:w="108" w:type="dxa"/>
            <w:bottom w:w="0" w:type="dxa"/>
            <w:right w:w="108" w:type="dxa"/>
          </w:tblCellMar>
        </w:tblPrEx>
        <w:trPr>
          <w:trHeight w:val="145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C2部门效果（21分）（说明：该指标反映部门（单位）的工作效果。各部门在绩效自评工作中要结合自身工作职能设置个性化的三级指标。）</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C21政务服务大厅运转情况（15分）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政务服务大厅运转情况是否良好，确保群众正常办理相关业务。</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该指标权重15分，政务服务大厅运转情况良好得满分，运转情况一般得15分，运转情况较差不得分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2022年工作计划</w:t>
            </w:r>
          </w:p>
        </w:tc>
      </w:tr>
      <w:tr>
        <w:tblPrEx>
          <w:tblCellMar>
            <w:top w:w="0" w:type="dxa"/>
            <w:left w:w="108" w:type="dxa"/>
            <w:bottom w:w="0" w:type="dxa"/>
            <w:right w:w="108" w:type="dxa"/>
          </w:tblCellMar>
        </w:tblPrEx>
        <w:trPr>
          <w:trHeight w:val="67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C22服务对象满意度指标（6分）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评价记录本测评群众满意程度</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该指标权重6分，根据群众反馈情况评分。</w:t>
            </w:r>
          </w:p>
          <w:p>
            <w:pPr>
              <w:widowControl/>
              <w:jc w:val="both"/>
              <w:rPr>
                <w:rFonts w:ascii="宋体" w:hAnsi="宋体" w:cs="宋体"/>
                <w:color w:val="000000"/>
                <w:kern w:val="0"/>
                <w:sz w:val="18"/>
                <w:szCs w:val="18"/>
              </w:rPr>
            </w:pPr>
            <w:r>
              <w:rPr>
                <w:rFonts w:hint="eastAsia" w:ascii="宋体" w:hAnsi="宋体" w:cs="宋体"/>
                <w:color w:val="000000"/>
                <w:kern w:val="0"/>
                <w:sz w:val="18"/>
                <w:szCs w:val="18"/>
              </w:rPr>
              <w:t>①满意度≥90%得6分；</w:t>
            </w:r>
          </w:p>
          <w:p>
            <w:pPr>
              <w:widowControl/>
              <w:jc w:val="both"/>
              <w:rPr>
                <w:rFonts w:ascii="宋体" w:hAnsi="宋体" w:cs="宋体"/>
                <w:color w:val="000000"/>
                <w:kern w:val="0"/>
                <w:sz w:val="18"/>
                <w:szCs w:val="18"/>
              </w:rPr>
            </w:pPr>
            <w:r>
              <w:rPr>
                <w:rFonts w:hint="eastAsia" w:ascii="宋体" w:hAnsi="宋体" w:cs="宋体"/>
                <w:color w:val="000000"/>
                <w:kern w:val="0"/>
                <w:sz w:val="18"/>
                <w:szCs w:val="18"/>
              </w:rPr>
              <w:t>②90%＞满意度≥80%得5分</w:t>
            </w:r>
          </w:p>
          <w:p>
            <w:pPr>
              <w:widowControl/>
              <w:jc w:val="both"/>
              <w:rPr>
                <w:rFonts w:ascii="宋体" w:hAnsi="宋体" w:cs="宋体"/>
                <w:color w:val="000000"/>
                <w:kern w:val="0"/>
                <w:sz w:val="18"/>
                <w:szCs w:val="18"/>
              </w:rPr>
            </w:pPr>
            <w:r>
              <w:rPr>
                <w:rFonts w:hint="eastAsia" w:ascii="宋体" w:hAnsi="宋体" w:cs="宋体"/>
                <w:color w:val="000000"/>
                <w:kern w:val="0"/>
                <w:sz w:val="18"/>
                <w:szCs w:val="18"/>
              </w:rPr>
              <w:t>③80%＞满意度≥70%得4分；</w:t>
            </w:r>
          </w:p>
          <w:p>
            <w:pPr>
              <w:widowControl/>
              <w:jc w:val="both"/>
              <w:rPr>
                <w:rFonts w:ascii="宋体" w:hAnsi="宋体" w:cs="宋体"/>
                <w:color w:val="000000"/>
                <w:kern w:val="0"/>
                <w:sz w:val="18"/>
                <w:szCs w:val="18"/>
              </w:rPr>
            </w:pPr>
            <w:r>
              <w:rPr>
                <w:rFonts w:hint="eastAsia" w:ascii="宋体" w:hAnsi="宋体" w:cs="宋体"/>
                <w:color w:val="000000"/>
                <w:kern w:val="0"/>
                <w:sz w:val="18"/>
                <w:szCs w:val="18"/>
              </w:rPr>
              <w:t>④70%＞满意度≥60%得3分；</w:t>
            </w:r>
          </w:p>
          <w:p>
            <w:pPr>
              <w:widowControl/>
              <w:jc w:val="both"/>
              <w:rPr>
                <w:rFonts w:ascii="宋体" w:hAnsi="宋体" w:cs="宋体"/>
                <w:color w:val="000000"/>
                <w:kern w:val="0"/>
                <w:sz w:val="18"/>
                <w:szCs w:val="18"/>
              </w:rPr>
            </w:pPr>
            <w:r>
              <w:rPr>
                <w:rFonts w:hint="eastAsia" w:ascii="宋体" w:hAnsi="宋体" w:cs="宋体"/>
                <w:color w:val="000000"/>
                <w:kern w:val="0"/>
                <w:sz w:val="18"/>
                <w:szCs w:val="18"/>
              </w:rPr>
              <w:t>⑤满意度&lt;60%得0分;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评价记录本测评结果</w:t>
            </w:r>
          </w:p>
        </w:tc>
      </w:tr>
      <w:tr>
        <w:tblPrEx>
          <w:tblCellMar>
            <w:top w:w="0" w:type="dxa"/>
            <w:left w:w="108" w:type="dxa"/>
            <w:bottom w:w="0" w:type="dxa"/>
            <w:right w:w="108" w:type="dxa"/>
          </w:tblCellMar>
        </w:tblPrEx>
        <w:trPr>
          <w:trHeight w:val="73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C3部门可持续发展（6分）</w:t>
            </w: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C31队伍建设情况（2分）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定期接受培训，熟悉政策、提高业务能力。</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部门全体人员每年至少接受一次业务或政策等培训，酌情得0-2分。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培训记录、培训效果调研</w:t>
            </w:r>
          </w:p>
        </w:tc>
      </w:tr>
      <w:tr>
        <w:tblPrEx>
          <w:tblCellMar>
            <w:top w:w="0" w:type="dxa"/>
            <w:left w:w="108" w:type="dxa"/>
            <w:bottom w:w="0" w:type="dxa"/>
            <w:right w:w="108" w:type="dxa"/>
          </w:tblCellMar>
        </w:tblPrEx>
        <w:trPr>
          <w:trHeight w:val="1680"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C32信息共享、公开情况（2分）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按照政府信息公开有关规定公开相关预决算信息、绩效信息及其他信息，是否信息共享，用以反映和考核部门信息公开透明及信息共享情况。</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①按规定内容公开预决算信息、绩效信息及其他信息，得0.5分；②按规定时限公开预决算信息、绩效信息及其他信息，得0.5分。③各处室、下属单位等信息共享，得1分。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信息公开、信息共享情况</w:t>
            </w:r>
          </w:p>
        </w:tc>
      </w:tr>
      <w:tr>
        <w:tblPrEx>
          <w:tblCellMar>
            <w:top w:w="0" w:type="dxa"/>
            <w:left w:w="108" w:type="dxa"/>
            <w:bottom w:w="0" w:type="dxa"/>
            <w:right w:w="108" w:type="dxa"/>
          </w:tblCellMar>
        </w:tblPrEx>
        <w:trPr>
          <w:trHeight w:val="1665" w:hRule="atLeast"/>
          <w:jc w:val="center"/>
        </w:trPr>
        <w:tc>
          <w:tcPr>
            <w:tcW w:w="579"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both"/>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C33长效管理创新情况（2分）</w:t>
            </w:r>
          </w:p>
        </w:tc>
        <w:tc>
          <w:tcPr>
            <w:tcW w:w="6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按季度进行绩效考核机制管理、信息化建设、数据库管理等，是部门工作长期可持续发展的保障。</w:t>
            </w:r>
          </w:p>
        </w:tc>
        <w:tc>
          <w:tcPr>
            <w:tcW w:w="2846"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管理创新机制和措施明确，且有相应工作及产出。酌情得0-2分。</w:t>
            </w:r>
          </w:p>
        </w:tc>
        <w:tc>
          <w:tcPr>
            <w:tcW w:w="1361" w:type="dxa"/>
            <w:tcBorders>
              <w:top w:val="nil"/>
              <w:left w:val="nil"/>
              <w:bottom w:val="single" w:color="auto" w:sz="4" w:space="0"/>
              <w:right w:val="single" w:color="auto" w:sz="4" w:space="0"/>
            </w:tcBorders>
            <w:shd w:val="clear" w:color="auto" w:fill="auto"/>
            <w:vAlign w:val="center"/>
          </w:tcPr>
          <w:p>
            <w:pPr>
              <w:widowControl/>
              <w:jc w:val="both"/>
              <w:rPr>
                <w:rFonts w:ascii="宋体" w:hAnsi="宋体" w:cs="宋体"/>
                <w:color w:val="000000"/>
                <w:kern w:val="0"/>
                <w:sz w:val="18"/>
                <w:szCs w:val="18"/>
              </w:rPr>
            </w:pPr>
            <w:r>
              <w:rPr>
                <w:rFonts w:hint="eastAsia" w:ascii="宋体" w:hAnsi="宋体" w:cs="宋体"/>
                <w:color w:val="000000"/>
                <w:kern w:val="0"/>
                <w:sz w:val="18"/>
                <w:szCs w:val="18"/>
              </w:rPr>
              <w:t>管理创新情况有待提高</w:t>
            </w:r>
          </w:p>
        </w:tc>
      </w:tr>
      <w:tr>
        <w:tblPrEx>
          <w:tblCellMar>
            <w:top w:w="0" w:type="dxa"/>
            <w:left w:w="108" w:type="dxa"/>
            <w:bottom w:w="0" w:type="dxa"/>
            <w:right w:w="108" w:type="dxa"/>
          </w:tblCellMar>
        </w:tblPrEx>
        <w:trPr>
          <w:trHeight w:val="270" w:hRule="atLeast"/>
          <w:jc w:val="center"/>
        </w:trPr>
        <w:tc>
          <w:tcPr>
            <w:tcW w:w="579" w:type="dxa"/>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81"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96</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jc w:val="left"/>
        <w:rPr>
          <w:rFonts w:ascii="方正小标宋_GBK" w:eastAsia="方正小标宋_GBK"/>
          <w:sz w:val="32"/>
          <w:szCs w:val="32"/>
        </w:rPr>
      </w:pPr>
    </w:p>
    <w:p>
      <w:pPr>
        <w:widowControl/>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5ZGM3MTMyZGI0N2RlZjcyMTJjYjY5NjY0YmZlMTgifQ=="/>
  </w:docVars>
  <w:rsids>
    <w:rsidRoot w:val="005B5D10"/>
    <w:rsid w:val="0001451B"/>
    <w:rsid w:val="0001702E"/>
    <w:rsid w:val="000476ED"/>
    <w:rsid w:val="00082D6B"/>
    <w:rsid w:val="001E24AB"/>
    <w:rsid w:val="001F7B7E"/>
    <w:rsid w:val="003F1B5C"/>
    <w:rsid w:val="004A286C"/>
    <w:rsid w:val="00511651"/>
    <w:rsid w:val="00571244"/>
    <w:rsid w:val="005A3284"/>
    <w:rsid w:val="005B5D10"/>
    <w:rsid w:val="00640EAB"/>
    <w:rsid w:val="00655C5C"/>
    <w:rsid w:val="006A7177"/>
    <w:rsid w:val="00843A5D"/>
    <w:rsid w:val="00A36F50"/>
    <w:rsid w:val="00A42CB0"/>
    <w:rsid w:val="00B64DE6"/>
    <w:rsid w:val="00C27C12"/>
    <w:rsid w:val="00E90F5B"/>
    <w:rsid w:val="00FB026E"/>
    <w:rsid w:val="4ED8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4946</Words>
  <Characters>5210</Characters>
  <Lines>39</Lines>
  <Paragraphs>11</Paragraphs>
  <TotalTime>12</TotalTime>
  <ScaleCrop>false</ScaleCrop>
  <LinksUpToDate>false</LinksUpToDate>
  <CharactersWithSpaces>5215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2023-04-23T06:51:00Z</dcterms:created>
  <dc:creator>jsp</dc:creator>
  <cp:lastModifiedBy>Anne*旭*</cp:lastModifiedBy>
  <dcterms:modified xsi:type="dcterms:W3CDTF">2023-04-24T15:19:56Z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59472C5A6B7946A2ACB7E809D179271F_12</vt:lpwstr>
  </property>
</Properties>
</file>