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cs="黑体"/>
          <w:bCs/>
          <w:sz w:val="52"/>
          <w:szCs w:val="52"/>
        </w:rPr>
      </w:pPr>
      <w:r>
        <w:rPr>
          <w:rFonts w:hint="eastAsia" w:ascii="黑体" w:hAnsi="黑体" w:eastAsia="黑体" w:cs="黑体"/>
          <w:bCs/>
          <w:sz w:val="52"/>
          <w:szCs w:val="52"/>
        </w:rPr>
        <w:t>不动产交易税收登记服务大厅租金专项经费项目支出绩效自评报告</w:t>
      </w:r>
    </w:p>
    <w:p>
      <w:pPr>
        <w:jc w:val="center"/>
        <w:rPr>
          <w:rFonts w:ascii="黑体" w:hAnsi="黑体" w:eastAsia="黑体"/>
          <w:bCs/>
          <w:sz w:val="52"/>
          <w:szCs w:val="52"/>
        </w:rPr>
      </w:pPr>
      <w:r>
        <w:rPr>
          <w:rFonts w:hint="eastAsia" w:ascii="黑体" w:hAnsi="黑体" w:eastAsia="黑体" w:cs="黑体"/>
          <w:bCs/>
          <w:sz w:val="52"/>
          <w:szCs w:val="52"/>
        </w:rPr>
        <w:t>（ 2021年度）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2337435</wp:posOffset>
                </wp:positionH>
                <wp:positionV relativeFrom="paragraph">
                  <wp:posOffset>232410</wp:posOffset>
                </wp:positionV>
                <wp:extent cx="2495550" cy="0"/>
                <wp:effectExtent l="0" t="0" r="19050" b="19050"/>
                <wp:wrapNone/>
                <wp:docPr id="5" name="直接箭头连接符 5"/>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84.05pt;margin-top:18.3pt;height:0pt;width:196.5pt;z-index:251659264;mso-width-relative:page;mso-height-relative:page;" filled="f" stroked="t" coordsize="21600,21600" o:gfxdata="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BsA+btYAAAAJAQAADwAAAAAAAAABACAAAAAiAAAAZHJzL2Rvd25yZXYueG1sUEsBAhQA&#10;FAAAAAgAh07iQLu8/rn0AQAAvgMAAA4AAAAAAAAAAQAgAAAAJQEAAGRycy9lMm9Eb2MueG1sUEsF&#10;BgAAAAAGAAYAWQEAAIs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部门名称（公章）：盘龙区政务服务管理局</w:t>
      </w: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2495550" cy="0"/>
                <wp:effectExtent l="9525" t="12065" r="9525" b="6985"/>
                <wp:wrapNone/>
                <wp:docPr id="4" name="直接箭头连接符 4"/>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5pt;margin-top:17.45pt;height:0pt;width:196.5pt;z-index:2516602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DxhF2DXAAAACQEAAA8AAAAAAAAAAQAgAAAAIgAAAGRycy9kb3ducmV2LnhtbFBLAQIU&#10;ABQAAAAIAIdO4kCVgI3h9AEAAL4DAAAOAAAAAAAAAAEAIAAAACYBAABkcnMvZTJvRG9jLnhtbFBL&#10;BQYAAAAABgAGAFkBAACM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项目单位：盘龙区政务服务管理局</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9525" t="9525" r="9525" b="9525"/>
                <wp:wrapNone/>
                <wp:docPr id="3" name="直接箭头连接符 3"/>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0IL+71wAAAAkBAAAPAAAAAAAAAAEAIAAAACIAAABkcnMvZG93bnJldi54bWxQSwEC&#10;FAAUAAAACACHTuJAHjKls/UBAAC+AwAADgAAAAAAAAABACAAAAAmAQAAZHJzL2Uyb0RvYy54bWxQ&#10;SwUGAAAAAAYABgBZAQAAjQU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主管部门：盘龙区政务服务管理局</w:t>
      </w: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9525" t="9525" r="9525" b="9525"/>
                <wp:wrapNone/>
                <wp:docPr id="2" name="直接箭头连接符 2"/>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LQgv7vXAAAACQEAAA8AAAAAAAAAAQAgAAAAIgAAAGRycy9kb3ducmV2LnhtbFBLAQIU&#10;ABQAAAAIAIdO4kAwDtbr9AEAAL4DAAAOAAAAAAAAAAEAIAAAACYBAABkcnMvZTJvRG9jLnhtbFBL&#10;BQYAAAAABgAGAFkBAACM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项目名称：不动产交易税收登记服务大厅租金专项经费</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180975</wp:posOffset>
                </wp:positionV>
                <wp:extent cx="2495550" cy="0"/>
                <wp:effectExtent l="9525" t="9525" r="9525" b="9525"/>
                <wp:wrapNone/>
                <wp:docPr id="1" name="直接箭头连接符 1"/>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5pt;margin-top:14.25pt;height:0pt;width:196.5pt;z-index:2516633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tCC/u9cAAAAJAQAADwAAAAAAAAABACAAAAAiAAAAZHJzL2Rvd25yZXYueG1sUEsBAhQA&#10;FAAAAAgAh07iQEJKQwPzAQAAvgMAAA4AAAAAAAAAAQAgAAAAJgEAAGRycy9lMm9Eb2MueG1sUEsF&#10;BgAAAAAGAAYAWQEAAIs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ascii="Times New Roman" w:hAnsi="Times New Roman" w:eastAsia="黑体"/>
          <w:b/>
          <w:bCs/>
          <w:sz w:val="28"/>
          <w:szCs w:val="28"/>
        </w:rPr>
        <w:t xml:space="preserve"> </w:t>
      </w:r>
      <w:r>
        <w:rPr>
          <w:rFonts w:hint="eastAsia" w:ascii="Times New Roman" w:hAnsi="Times New Roman" w:eastAsia="黑体"/>
          <w:b/>
          <w:bCs/>
          <w:sz w:val="28"/>
          <w:szCs w:val="28"/>
        </w:rPr>
        <w:t>2022年4月25日</w:t>
      </w: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rPr>
        <w:t>22</w:t>
      </w:r>
      <w:r>
        <w:rPr>
          <w:rFonts w:hint="eastAsia" w:ascii="Times New Roman" w:hAnsi="Times New Roman" w:eastAsia="黑体" w:cs="黑体"/>
          <w:b/>
          <w:bCs/>
          <w:sz w:val="28"/>
          <w:szCs w:val="28"/>
        </w:rPr>
        <w:t>年</w:t>
      </w:r>
      <w:r>
        <w:rPr>
          <w:rFonts w:hint="eastAsia" w:ascii="Times New Roman" w:hAnsi="Times New Roman" w:eastAsia="黑体"/>
          <w:b/>
          <w:bCs/>
          <w:sz w:val="28"/>
          <w:szCs w:val="28"/>
        </w:rPr>
        <w:t>4</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pgSz w:w="11906" w:h="16838"/>
          <w:pgMar w:top="1440" w:right="1800" w:bottom="1440" w:left="1800" w:header="851" w:footer="992" w:gutter="0"/>
          <w:cols w:space="425" w:num="1"/>
          <w:titlePg/>
          <w:docGrid w:type="lines" w:linePitch="312" w:charSpace="0"/>
        </w:sectPr>
      </w:pPr>
    </w:p>
    <w:p>
      <w:pPr>
        <w:spacing w:line="360" w:lineRule="auto"/>
        <w:rPr>
          <w:rFonts w:ascii="黑体" w:hAnsi="黑体" w:eastAsia="黑体"/>
          <w:color w:val="000000"/>
          <w:sz w:val="24"/>
          <w:szCs w:val="24"/>
          <w:u w:color="000000"/>
          <w:lang w:val="zh-TW" w:eastAsia="zh-TW"/>
        </w:rPr>
      </w:pPr>
      <w:r>
        <w:rPr>
          <w:rFonts w:hint="eastAsia" w:ascii="黑体" w:hAnsi="黑体" w:eastAsia="黑体" w:cs="黑体"/>
          <w:color w:val="000000"/>
          <w:sz w:val="24"/>
          <w:szCs w:val="24"/>
          <w:u w:color="000000"/>
          <w:lang w:val="zh-TW" w:eastAsia="zh-TW"/>
        </w:rPr>
        <w:t>评价小组成员：</w:t>
      </w:r>
    </w:p>
    <w:tbl>
      <w:tblPr>
        <w:tblStyle w:val="5"/>
        <w:tblpPr w:leftFromText="180" w:rightFromText="180" w:vertAnchor="text" w:horzAnchor="margin" w:tblpXSpec="center" w:tblpY="108"/>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9"/>
        <w:gridCol w:w="1156"/>
        <w:gridCol w:w="1626"/>
        <w:gridCol w:w="2693"/>
        <w:gridCol w:w="2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评价小组</w:t>
            </w: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机构职位</w:t>
            </w:r>
          </w:p>
        </w:tc>
        <w:tc>
          <w:tcPr>
            <w:tcW w:w="1156"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姓名</w:t>
            </w:r>
          </w:p>
        </w:tc>
        <w:tc>
          <w:tcPr>
            <w:tcW w:w="1626"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职务/职称</w:t>
            </w:r>
          </w:p>
        </w:tc>
        <w:tc>
          <w:tcPr>
            <w:tcW w:w="2693"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所属</w:t>
            </w: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单位/处室</w:t>
            </w:r>
          </w:p>
        </w:tc>
        <w:tc>
          <w:tcPr>
            <w:tcW w:w="2268"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组  长</w:t>
            </w:r>
          </w:p>
        </w:tc>
        <w:tc>
          <w:tcPr>
            <w:tcW w:w="115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周  英</w:t>
            </w:r>
          </w:p>
        </w:tc>
        <w:tc>
          <w:tcPr>
            <w:tcW w:w="162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局长</w:t>
            </w:r>
          </w:p>
        </w:tc>
        <w:tc>
          <w:tcPr>
            <w:tcW w:w="2693"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副组长</w:t>
            </w:r>
          </w:p>
        </w:tc>
        <w:tc>
          <w:tcPr>
            <w:tcW w:w="115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陈  媛</w:t>
            </w:r>
          </w:p>
        </w:tc>
        <w:tc>
          <w:tcPr>
            <w:tcW w:w="162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副局长</w:t>
            </w:r>
          </w:p>
        </w:tc>
        <w:tc>
          <w:tcPr>
            <w:tcW w:w="2693"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副组长</w:t>
            </w:r>
          </w:p>
        </w:tc>
        <w:tc>
          <w:tcPr>
            <w:tcW w:w="115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许正文</w:t>
            </w:r>
          </w:p>
        </w:tc>
        <w:tc>
          <w:tcPr>
            <w:tcW w:w="162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副局长</w:t>
            </w:r>
          </w:p>
        </w:tc>
        <w:tc>
          <w:tcPr>
            <w:tcW w:w="2693"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副组长</w:t>
            </w:r>
          </w:p>
        </w:tc>
        <w:tc>
          <w:tcPr>
            <w:tcW w:w="115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吴海燕</w:t>
            </w:r>
          </w:p>
        </w:tc>
        <w:tc>
          <w:tcPr>
            <w:tcW w:w="162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副局长</w:t>
            </w:r>
          </w:p>
        </w:tc>
        <w:tc>
          <w:tcPr>
            <w:tcW w:w="2693"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成  员</w:t>
            </w:r>
          </w:p>
        </w:tc>
        <w:tc>
          <w:tcPr>
            <w:tcW w:w="115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胡  旭</w:t>
            </w:r>
          </w:p>
        </w:tc>
        <w:tc>
          <w:tcPr>
            <w:tcW w:w="162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办公室主任</w:t>
            </w:r>
          </w:p>
        </w:tc>
        <w:tc>
          <w:tcPr>
            <w:tcW w:w="2693"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成  员</w:t>
            </w:r>
          </w:p>
        </w:tc>
        <w:tc>
          <w:tcPr>
            <w:tcW w:w="115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高  雄</w:t>
            </w:r>
          </w:p>
        </w:tc>
        <w:tc>
          <w:tcPr>
            <w:tcW w:w="162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信息科科长</w:t>
            </w:r>
          </w:p>
        </w:tc>
        <w:tc>
          <w:tcPr>
            <w:tcW w:w="2693"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成  员</w:t>
            </w:r>
          </w:p>
        </w:tc>
        <w:tc>
          <w:tcPr>
            <w:tcW w:w="115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孔祥龙</w:t>
            </w:r>
          </w:p>
        </w:tc>
        <w:tc>
          <w:tcPr>
            <w:tcW w:w="162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审改科科长</w:t>
            </w:r>
          </w:p>
        </w:tc>
        <w:tc>
          <w:tcPr>
            <w:tcW w:w="2693"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1579" w:type="dxa"/>
            <w:vAlign w:val="center"/>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成  员</w:t>
            </w:r>
          </w:p>
        </w:tc>
        <w:tc>
          <w:tcPr>
            <w:tcW w:w="115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范茂康</w:t>
            </w:r>
          </w:p>
        </w:tc>
        <w:tc>
          <w:tcPr>
            <w:tcW w:w="162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窗口科科长</w:t>
            </w:r>
          </w:p>
        </w:tc>
        <w:tc>
          <w:tcPr>
            <w:tcW w:w="2693"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成  员</w:t>
            </w:r>
          </w:p>
        </w:tc>
        <w:tc>
          <w:tcPr>
            <w:tcW w:w="115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安  龙</w:t>
            </w:r>
          </w:p>
        </w:tc>
        <w:tc>
          <w:tcPr>
            <w:tcW w:w="162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审批科科长</w:t>
            </w:r>
          </w:p>
        </w:tc>
        <w:tc>
          <w:tcPr>
            <w:tcW w:w="2693"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1579" w:type="dxa"/>
            <w:vAlign w:val="center"/>
          </w:tcPr>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成  员</w:t>
            </w:r>
          </w:p>
        </w:tc>
        <w:tc>
          <w:tcPr>
            <w:tcW w:w="1156" w:type="dxa"/>
          </w:tcPr>
          <w:p>
            <w:pP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吴皓荒</w:t>
            </w:r>
          </w:p>
        </w:tc>
        <w:tc>
          <w:tcPr>
            <w:tcW w:w="1626"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公管科科长</w:t>
            </w:r>
          </w:p>
        </w:tc>
        <w:tc>
          <w:tcPr>
            <w:tcW w:w="2693" w:type="dxa"/>
          </w:tcPr>
          <w:p>
            <w:pPr>
              <w:jc w:val="center"/>
              <w:rPr>
                <w:rFonts w:ascii="黑体" w:hAnsi="黑体" w:eastAsia="黑体" w:cs="黑体"/>
                <w:color w:val="000000"/>
                <w:sz w:val="24"/>
                <w:szCs w:val="24"/>
                <w:u w:color="000000"/>
                <w:lang w:val="zh-TW"/>
              </w:rPr>
            </w:pPr>
          </w:p>
          <w:p>
            <w:pPr>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盘龙区政务服务管理局</w:t>
            </w:r>
          </w:p>
        </w:tc>
        <w:tc>
          <w:tcPr>
            <w:tcW w:w="2268" w:type="dxa"/>
          </w:tcPr>
          <w:p>
            <w:pPr>
              <w:jc w:val="center"/>
              <w:rPr>
                <w:rFonts w:ascii="黑体" w:hAnsi="黑体"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9322" w:type="dxa"/>
            <w:gridSpan w:val="5"/>
          </w:tcPr>
          <w:p>
            <w:pPr>
              <w:spacing w:line="360" w:lineRule="auto"/>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报告撰写人（签字）：</w:t>
            </w:r>
          </w:p>
          <w:p>
            <w:pPr>
              <w:wordWrap w:val="0"/>
              <w:spacing w:line="360" w:lineRule="auto"/>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9322" w:type="dxa"/>
            <w:gridSpan w:val="5"/>
          </w:tcPr>
          <w:p>
            <w:pPr>
              <w:spacing w:line="360" w:lineRule="auto"/>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评价工作负责人（签字）：</w:t>
            </w:r>
          </w:p>
          <w:p>
            <w:pPr>
              <w:spacing w:line="360" w:lineRule="auto"/>
              <w:jc w:val="center"/>
              <w:rPr>
                <w:rFonts w:ascii="黑体" w:hAnsi="黑体" w:eastAsia="黑体" w:cs="黑体"/>
                <w:color w:val="000000"/>
                <w:sz w:val="24"/>
                <w:szCs w:val="24"/>
                <w:u w:color="000000"/>
                <w:lang w:val="zh-TW"/>
              </w:rPr>
            </w:pPr>
          </w:p>
          <w:p>
            <w:pPr>
              <w:spacing w:line="360" w:lineRule="auto"/>
              <w:jc w:val="center"/>
              <w:rPr>
                <w:rFonts w:ascii="黑体" w:hAnsi="黑体" w:eastAsia="黑体" w:cs="黑体"/>
                <w:color w:val="000000"/>
                <w:sz w:val="24"/>
                <w:szCs w:val="24"/>
                <w:u w:color="000000"/>
                <w:lang w:val="zh-TW"/>
              </w:rPr>
            </w:pPr>
          </w:p>
          <w:p>
            <w:pPr>
              <w:wordWrap w:val="0"/>
              <w:spacing w:line="360" w:lineRule="auto"/>
              <w:jc w:val="center"/>
              <w:rPr>
                <w:rFonts w:ascii="黑体" w:hAnsi="黑体" w:eastAsia="黑体" w:cs="黑体"/>
                <w:color w:val="000000"/>
                <w:sz w:val="24"/>
                <w:szCs w:val="24"/>
                <w:u w:color="000000"/>
                <w:lang w:val="zh-TW"/>
              </w:rPr>
            </w:pPr>
            <w:r>
              <w:rPr>
                <w:rFonts w:hint="eastAsia" w:ascii="黑体" w:hAnsi="黑体" w:eastAsia="黑体" w:cs="黑体"/>
                <w:color w:val="000000"/>
                <w:sz w:val="24"/>
                <w:szCs w:val="24"/>
                <w:u w:color="000000"/>
                <w:lang w:val="zh-TW"/>
              </w:rPr>
              <w:t>年   月   日</w:t>
            </w:r>
          </w:p>
        </w:tc>
      </w:tr>
    </w:tbl>
    <w:p>
      <w:pPr>
        <w:pStyle w:val="9"/>
        <w:jc w:val="center"/>
        <w:rPr>
          <w:rFonts w:ascii="Times New Roman" w:hAnsi="Times New Roman" w:cs="Times New Roman"/>
          <w:color w:val="auto"/>
        </w:rPr>
      </w:pPr>
      <w:r>
        <w:rPr>
          <w:rFonts w:hint="eastAsia" w:ascii="Times New Roman" w:hAnsi="Times New Roman" w:cs="宋体"/>
          <w:color w:val="auto"/>
          <w:lang w:val="zh-CN"/>
        </w:rPr>
        <w:t>目录</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摘要</w:t>
      </w:r>
      <w:r>
        <w:rPr>
          <w:rFonts w:hint="eastAsia" w:ascii="仿宋" w:hAnsi="仿宋" w:eastAsia="仿宋"/>
          <w:sz w:val="32"/>
          <w:szCs w:val="32"/>
        </w:rPr>
        <w:tab/>
      </w:r>
      <w:r>
        <w:rPr>
          <w:rFonts w:hint="eastAsia" w:ascii="仿宋" w:hAnsi="仿宋" w:eastAsia="仿宋"/>
          <w:sz w:val="32"/>
          <w:szCs w:val="32"/>
        </w:rPr>
        <w:t xml:space="preserve">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一、 项目基本情况</w:t>
      </w:r>
      <w:r>
        <w:rPr>
          <w:rFonts w:hint="eastAsia" w:ascii="仿宋" w:hAnsi="仿宋" w:eastAsia="仿宋"/>
          <w:sz w:val="32"/>
          <w:szCs w:val="32"/>
        </w:rPr>
        <w:tab/>
      </w:r>
      <w:r>
        <w:rPr>
          <w:rFonts w:hint="eastAsia" w:ascii="仿宋" w:hAnsi="仿宋" w:eastAsia="仿宋"/>
          <w:sz w:val="32"/>
          <w:szCs w:val="32"/>
        </w:rPr>
        <w:t xml:space="preserve">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（一）项目立项背景</w:t>
      </w:r>
      <w:r>
        <w:rPr>
          <w:rFonts w:hint="eastAsia" w:ascii="仿宋" w:hAnsi="仿宋" w:eastAsia="仿宋"/>
          <w:sz w:val="32"/>
          <w:szCs w:val="32"/>
        </w:rPr>
        <w:tab/>
      </w:r>
      <w:r>
        <w:rPr>
          <w:rFonts w:hint="eastAsia" w:ascii="仿宋" w:hAnsi="仿宋" w:eastAsia="仿宋"/>
          <w:sz w:val="32"/>
          <w:szCs w:val="32"/>
        </w:rPr>
        <w:t xml:space="preserve">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 xml:space="preserve">（二）项目立项依据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（三）项目实施内容</w:t>
      </w:r>
      <w:r>
        <w:rPr>
          <w:rFonts w:hint="eastAsia" w:ascii="仿宋" w:hAnsi="仿宋" w:eastAsia="仿宋"/>
          <w:sz w:val="32"/>
          <w:szCs w:val="32"/>
        </w:rPr>
        <w:tab/>
      </w:r>
      <w:r>
        <w:rPr>
          <w:rFonts w:hint="eastAsia" w:ascii="仿宋" w:hAnsi="仿宋" w:eastAsia="仿宋"/>
          <w:sz w:val="32"/>
          <w:szCs w:val="32"/>
        </w:rPr>
        <w:t xml:space="preserve">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（四）项目实施计划及完成情况</w:t>
      </w:r>
      <w:r>
        <w:rPr>
          <w:rFonts w:hint="eastAsia" w:ascii="仿宋" w:hAnsi="仿宋" w:eastAsia="仿宋"/>
          <w:sz w:val="32"/>
          <w:szCs w:val="32"/>
        </w:rPr>
        <w:tab/>
      </w:r>
      <w:r>
        <w:rPr>
          <w:rFonts w:hint="eastAsia" w:ascii="仿宋" w:hAnsi="仿宋" w:eastAsia="仿宋"/>
          <w:sz w:val="32"/>
          <w:szCs w:val="32"/>
        </w:rPr>
        <w:t xml:space="preserve">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（五）项目的组织及管理</w:t>
      </w:r>
      <w:r>
        <w:rPr>
          <w:rFonts w:hint="eastAsia" w:ascii="仿宋" w:hAnsi="仿宋" w:eastAsia="仿宋"/>
          <w:sz w:val="32"/>
          <w:szCs w:val="32"/>
        </w:rPr>
        <w:tab/>
      </w:r>
      <w:r>
        <w:rPr>
          <w:rFonts w:hint="eastAsia" w:ascii="仿宋" w:hAnsi="仿宋" w:eastAsia="仿宋"/>
          <w:sz w:val="32"/>
          <w:szCs w:val="32"/>
        </w:rPr>
        <w:t xml:space="preserve">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 xml:space="preserve">（六）项目绩效目标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二、绩效评价工作情况</w:t>
      </w:r>
      <w:r>
        <w:rPr>
          <w:rFonts w:hint="eastAsia" w:ascii="仿宋" w:hAnsi="仿宋" w:eastAsia="仿宋"/>
          <w:sz w:val="32"/>
          <w:szCs w:val="32"/>
        </w:rPr>
        <w:tab/>
      </w:r>
      <w:r>
        <w:rPr>
          <w:rFonts w:hint="eastAsia" w:ascii="仿宋" w:hAnsi="仿宋" w:eastAsia="仿宋"/>
          <w:sz w:val="32"/>
          <w:szCs w:val="32"/>
        </w:rPr>
        <w:t xml:space="preserve">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(一)评价的目的和依据</w:t>
      </w:r>
      <w:r>
        <w:rPr>
          <w:rFonts w:hint="eastAsia" w:ascii="仿宋" w:hAnsi="仿宋" w:eastAsia="仿宋"/>
          <w:sz w:val="32"/>
          <w:szCs w:val="32"/>
        </w:rPr>
        <w:tab/>
      </w:r>
      <w:r>
        <w:rPr>
          <w:rFonts w:hint="eastAsia" w:ascii="仿宋" w:hAnsi="仿宋" w:eastAsia="仿宋"/>
          <w:sz w:val="32"/>
          <w:szCs w:val="32"/>
        </w:rPr>
        <w:t xml:space="preserve">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(二)绩效评价工作方案制定过程</w:t>
      </w:r>
      <w:r>
        <w:rPr>
          <w:rFonts w:hint="eastAsia" w:ascii="仿宋" w:hAnsi="仿宋" w:eastAsia="仿宋"/>
          <w:sz w:val="32"/>
          <w:szCs w:val="32"/>
        </w:rPr>
        <w:tab/>
      </w:r>
      <w:r>
        <w:rPr>
          <w:rFonts w:hint="eastAsia" w:ascii="仿宋" w:hAnsi="仿宋" w:eastAsia="仿宋"/>
          <w:sz w:val="32"/>
          <w:szCs w:val="32"/>
        </w:rPr>
        <w:t xml:space="preserve">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(三)绩效评价原则、评价方法等</w:t>
      </w:r>
      <w:r>
        <w:rPr>
          <w:rFonts w:hint="eastAsia" w:ascii="仿宋" w:hAnsi="仿宋" w:eastAsia="仿宋"/>
          <w:sz w:val="32"/>
          <w:szCs w:val="32"/>
        </w:rPr>
        <w:tab/>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(四)绩效评价实施过程</w:t>
      </w:r>
      <w:r>
        <w:rPr>
          <w:rFonts w:hint="eastAsia" w:ascii="仿宋" w:hAnsi="仿宋" w:eastAsia="仿宋"/>
          <w:sz w:val="32"/>
          <w:szCs w:val="32"/>
        </w:rPr>
        <w:tab/>
      </w:r>
      <w:r>
        <w:rPr>
          <w:rFonts w:hint="eastAsia" w:ascii="仿宋" w:hAnsi="仿宋" w:eastAsia="仿宋"/>
          <w:sz w:val="32"/>
          <w:szCs w:val="32"/>
        </w:rPr>
        <w:t xml:space="preserve">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(五)绩效评价的局限性</w:t>
      </w:r>
      <w:r>
        <w:rPr>
          <w:rFonts w:hint="eastAsia" w:ascii="仿宋" w:hAnsi="仿宋" w:eastAsia="仿宋"/>
          <w:sz w:val="32"/>
          <w:szCs w:val="32"/>
        </w:rPr>
        <w:tab/>
      </w:r>
      <w:r>
        <w:rPr>
          <w:rFonts w:hint="eastAsia" w:ascii="仿宋" w:hAnsi="仿宋" w:eastAsia="仿宋"/>
          <w:sz w:val="32"/>
          <w:szCs w:val="32"/>
        </w:rPr>
        <w:t xml:space="preserve">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 xml:space="preserve">三、评价结论及绩效分析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(一)评价结论</w:t>
      </w:r>
      <w:r>
        <w:rPr>
          <w:rFonts w:hint="eastAsia" w:ascii="仿宋" w:hAnsi="仿宋" w:eastAsia="仿宋"/>
          <w:sz w:val="32"/>
          <w:szCs w:val="32"/>
        </w:rPr>
        <w:tab/>
      </w:r>
      <w:r>
        <w:rPr>
          <w:rFonts w:hint="eastAsia" w:ascii="仿宋" w:hAnsi="仿宋" w:eastAsia="仿宋"/>
          <w:sz w:val="32"/>
          <w:szCs w:val="32"/>
        </w:rPr>
        <w:t xml:space="preserve">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(二)绩效分析</w:t>
      </w:r>
      <w:r>
        <w:rPr>
          <w:rFonts w:hint="eastAsia" w:ascii="仿宋" w:hAnsi="仿宋" w:eastAsia="仿宋"/>
          <w:sz w:val="32"/>
          <w:szCs w:val="32"/>
        </w:rPr>
        <w:tab/>
      </w:r>
      <w:r>
        <w:rPr>
          <w:rFonts w:hint="eastAsia" w:ascii="仿宋" w:hAnsi="仿宋" w:eastAsia="仿宋"/>
          <w:sz w:val="32"/>
          <w:szCs w:val="32"/>
        </w:rPr>
        <w:t xml:space="preserve">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 xml:space="preserve">四、项目主要经验及做法、存在的问题和建议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(一)主要经验及做法</w:t>
      </w:r>
      <w:r>
        <w:rPr>
          <w:rFonts w:hint="eastAsia" w:ascii="仿宋" w:hAnsi="仿宋" w:eastAsia="仿宋"/>
          <w:sz w:val="32"/>
          <w:szCs w:val="32"/>
        </w:rPr>
        <w:tab/>
      </w:r>
      <w:r>
        <w:rPr>
          <w:rFonts w:hint="eastAsia" w:ascii="仿宋" w:hAnsi="仿宋" w:eastAsia="仿宋"/>
          <w:sz w:val="32"/>
          <w:szCs w:val="32"/>
        </w:rPr>
        <w:t xml:space="preserve">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(二)存在的问题</w:t>
      </w:r>
      <w:r>
        <w:rPr>
          <w:rFonts w:hint="eastAsia" w:ascii="仿宋" w:hAnsi="仿宋" w:eastAsia="仿宋"/>
          <w:sz w:val="32"/>
          <w:szCs w:val="32"/>
        </w:rPr>
        <w:tab/>
      </w:r>
      <w:r>
        <w:rPr>
          <w:rFonts w:hint="eastAsia" w:ascii="仿宋" w:hAnsi="仿宋" w:eastAsia="仿宋"/>
          <w:sz w:val="32"/>
          <w:szCs w:val="32"/>
        </w:rPr>
        <w:t xml:space="preserve">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 xml:space="preserve">(三)建议和改进措施 </w:t>
      </w:r>
    </w:p>
    <w:p>
      <w:pPr>
        <w:spacing w:line="440" w:lineRule="exact"/>
        <w:ind w:firstLine="640" w:firstLineChars="200"/>
        <w:jc w:val="left"/>
        <w:rPr>
          <w:rFonts w:ascii="仿宋" w:hAnsi="仿宋" w:eastAsia="仿宋"/>
          <w:sz w:val="32"/>
          <w:szCs w:val="32"/>
        </w:rPr>
      </w:pPr>
      <w:r>
        <w:rPr>
          <w:rFonts w:hint="eastAsia" w:ascii="仿宋" w:hAnsi="仿宋" w:eastAsia="仿宋"/>
          <w:sz w:val="32"/>
          <w:szCs w:val="32"/>
        </w:rPr>
        <w:t>五、附件</w:t>
      </w:r>
      <w:r>
        <w:rPr>
          <w:rFonts w:hint="eastAsia" w:ascii="仿宋" w:hAnsi="仿宋" w:eastAsia="仿宋"/>
          <w:sz w:val="32"/>
          <w:szCs w:val="32"/>
        </w:rPr>
        <w:tab/>
      </w:r>
      <w:r>
        <w:rPr>
          <w:rFonts w:hint="eastAsia" w:ascii="仿宋" w:hAnsi="仿宋" w:eastAsia="仿宋"/>
          <w:sz w:val="32"/>
          <w:szCs w:val="32"/>
        </w:rPr>
        <w:t xml:space="preserve"> </w:t>
      </w:r>
    </w:p>
    <w:p>
      <w:pPr>
        <w:spacing w:line="540" w:lineRule="exact"/>
        <w:ind w:firstLine="640" w:firstLineChars="200"/>
        <w:rPr>
          <w:rFonts w:ascii="仿宋" w:hAnsi="仿宋" w:eastAsia="仿宋"/>
          <w:sz w:val="32"/>
          <w:szCs w:val="32"/>
        </w:rPr>
      </w:pPr>
      <w:r>
        <w:rPr>
          <w:rFonts w:hint="eastAsia" w:ascii="仿宋" w:hAnsi="仿宋" w:eastAsia="仿宋"/>
          <w:sz w:val="32"/>
          <w:szCs w:val="32"/>
        </w:rPr>
        <w:t>(一)附件2：项目支出绩效评价共性指标体系框架</w:t>
      </w:r>
    </w:p>
    <w:p>
      <w:pPr>
        <w:spacing w:line="540" w:lineRule="exact"/>
        <w:rPr>
          <w:rFonts w:ascii="仿宋" w:hAnsi="仿宋" w:eastAsia="仿宋"/>
          <w:sz w:val="32"/>
          <w:szCs w:val="32"/>
        </w:rPr>
      </w:pPr>
    </w:p>
    <w:p>
      <w:pPr>
        <w:spacing w:line="540" w:lineRule="exact"/>
        <w:rPr>
          <w:rFonts w:ascii="仿宋" w:hAnsi="仿宋" w:eastAsia="仿宋"/>
          <w:sz w:val="32"/>
          <w:szCs w:val="32"/>
        </w:rPr>
      </w:pPr>
    </w:p>
    <w:p>
      <w:pPr>
        <w:spacing w:line="540" w:lineRule="exact"/>
        <w:rPr>
          <w:rFonts w:ascii="仿宋" w:hAnsi="仿宋" w:eastAsia="仿宋"/>
          <w:sz w:val="32"/>
          <w:szCs w:val="32"/>
        </w:rPr>
      </w:pPr>
    </w:p>
    <w:p>
      <w:pPr>
        <w:spacing w:line="540" w:lineRule="exact"/>
        <w:rPr>
          <w:rFonts w:ascii="方正小标宋_GBK" w:hAnsi="黑体" w:eastAsia="方正小标宋_GBK"/>
          <w:szCs w:val="32"/>
        </w:rPr>
      </w:pPr>
    </w:p>
    <w:p>
      <w:pPr>
        <w:spacing w:line="540" w:lineRule="exact"/>
        <w:rPr>
          <w:rFonts w:ascii="方正小标宋_GBK" w:hAnsi="黑体" w:eastAsia="方正小标宋_GBK"/>
          <w:szCs w:val="32"/>
        </w:rPr>
      </w:pPr>
    </w:p>
    <w:p>
      <w:pPr>
        <w:spacing w:line="440" w:lineRule="exact"/>
        <w:jc w:val="center"/>
        <w:rPr>
          <w:rFonts w:ascii="方正小标宋_GBK" w:eastAsia="方正小标宋_GBK"/>
          <w:sz w:val="44"/>
          <w:szCs w:val="44"/>
        </w:rPr>
      </w:pPr>
      <w:r>
        <w:rPr>
          <w:rFonts w:hint="eastAsia" w:ascii="方正小标宋_GBK" w:eastAsia="方正小标宋_GBK"/>
          <w:sz w:val="44"/>
          <w:szCs w:val="44"/>
        </w:rPr>
        <w:t>不动产交易税收登记服务大厅租金专项经费项目支出绩效自评报告</w:t>
      </w:r>
    </w:p>
    <w:p>
      <w:pPr>
        <w:topLinePunct/>
        <w:spacing w:line="440" w:lineRule="exact"/>
        <w:ind w:firstLine="800" w:firstLineChars="250"/>
        <w:rPr>
          <w:rFonts w:ascii="黑体" w:eastAsia="黑体"/>
          <w:sz w:val="32"/>
          <w:szCs w:val="32"/>
        </w:rPr>
      </w:pPr>
    </w:p>
    <w:p>
      <w:pPr>
        <w:topLinePunct/>
        <w:spacing w:line="440" w:lineRule="exact"/>
        <w:ind w:firstLine="800" w:firstLineChars="250"/>
        <w:rPr>
          <w:rFonts w:ascii="黑体" w:eastAsia="黑体"/>
          <w:sz w:val="32"/>
          <w:szCs w:val="32"/>
        </w:rPr>
      </w:pPr>
      <w:r>
        <w:rPr>
          <w:rFonts w:hint="eastAsia" w:ascii="黑体" w:eastAsia="黑体"/>
          <w:sz w:val="32"/>
          <w:szCs w:val="32"/>
        </w:rPr>
        <w:t>一、项目基本情况</w:t>
      </w:r>
    </w:p>
    <w:p>
      <w:pPr>
        <w:topLinePunct/>
        <w:spacing w:line="440" w:lineRule="exact"/>
        <w:ind w:firstLine="800" w:firstLineChars="250"/>
        <w:rPr>
          <w:rFonts w:ascii="楷体" w:hAnsi="楷体" w:eastAsia="楷体"/>
          <w:sz w:val="32"/>
          <w:szCs w:val="32"/>
        </w:rPr>
      </w:pPr>
      <w:r>
        <w:rPr>
          <w:rFonts w:hint="eastAsia" w:ascii="楷体" w:hAnsi="楷体" w:eastAsia="楷体"/>
          <w:sz w:val="32"/>
          <w:szCs w:val="32"/>
        </w:rPr>
        <w:t>（一）项目概况。</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1.立项背景及目的。</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 xml:space="preserve">为严格贯彻落实国家、省、市、区“放管服”改革要求，满足我区不动产登记工作新的发展要求，促进我区经济社会发展，根据《昆明市盘龙区人民政府常务会议纪要》（第34期）《关于增设盘龙区二手房交易登记便民服务大厅专题会议纪要》（第168期）文件，成立盘龙区不动产交易税收登记服务大厅，满足我区当前不动产登记业务需求。加强我区不动产交易税收的管控，防止我区税源流失，增加税收收入。  </w:t>
      </w:r>
    </w:p>
    <w:p>
      <w:pPr>
        <w:spacing w:line="560" w:lineRule="exact"/>
        <w:ind w:firstLine="640" w:firstLineChars="200"/>
        <w:rPr>
          <w:rFonts w:ascii="仿宋_GB2312" w:hAnsi="楷体" w:eastAsia="仿宋_GB2312"/>
          <w:sz w:val="32"/>
          <w:szCs w:val="32"/>
        </w:rPr>
      </w:pPr>
      <w:r>
        <w:rPr>
          <w:rFonts w:hint="eastAsia" w:ascii="仿宋_GB2312" w:hAnsi="楷体" w:eastAsia="仿宋_GB2312"/>
          <w:sz w:val="32"/>
          <w:szCs w:val="32"/>
        </w:rPr>
        <w:t>2.项目实施情况。</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为加快盘龙区不动产交易税收登记服务大厅投入使用，与昆明都市车迷汽车服务有限公司签订《房屋租赁合同》，按照双方合同约定，办公楼的协议租期为十年，起租日初定为2018年10月底前起计算，即自2018年10月起至2028年10月止；协议租赁第一年租金共计197万元，租赁物租金以上一年度租金为基数，每一年按8万元标准递增一次。</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3.资金来源及使用情况。</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按照双方合同约定，租赁物租金以上一年度租金为基数，每一年按8万元标准递增一次。相关费用列入当年我区财政预算予以保障。2021年196万元用于支付不动产交易登记税收服务大厅租金，支付给都市车迷汽车服务有限公司。</w:t>
      </w:r>
    </w:p>
    <w:p>
      <w:pPr>
        <w:spacing w:line="560" w:lineRule="exact"/>
        <w:ind w:firstLine="640" w:firstLineChars="200"/>
        <w:rPr>
          <w:rFonts w:ascii="仿宋_GB2312" w:hAnsi="楷体" w:eastAsia="仿宋_GB2312"/>
          <w:sz w:val="32"/>
          <w:szCs w:val="32"/>
        </w:rPr>
      </w:pPr>
      <w:r>
        <w:rPr>
          <w:rFonts w:hint="eastAsia" w:ascii="仿宋_GB2312" w:hAnsi="楷体" w:eastAsia="仿宋_GB2312"/>
          <w:sz w:val="32"/>
          <w:szCs w:val="32"/>
        </w:rPr>
        <w:t>4.组织及管理情况。</w:t>
      </w:r>
    </w:p>
    <w:p>
      <w:pPr>
        <w:spacing w:line="560" w:lineRule="exact"/>
        <w:ind w:firstLine="640" w:firstLineChars="200"/>
        <w:rPr>
          <w:rFonts w:ascii="仿宋_GB2312" w:hAnsi="楷体" w:eastAsia="仿宋_GB2312"/>
          <w:sz w:val="32"/>
          <w:szCs w:val="32"/>
        </w:rPr>
      </w:pPr>
      <w:r>
        <w:rPr>
          <w:rFonts w:hint="eastAsia" w:ascii="仿宋_GB2312" w:hAnsi="楷体" w:eastAsia="仿宋_GB2312"/>
          <w:sz w:val="32"/>
          <w:szCs w:val="32"/>
        </w:rPr>
        <w:t>我区不动产登记工作自2016年6月30日正式开展，主要承担整个盘龙辖区不动产登记工作，由于区政务中心场地受限，在福泽雅苑小区建立了不动产登记分中心、区政务服务中心国土资源分中心，两个中心合署办公均属区政务服务中心派出分中心，现与昆明都市车迷汽车服务有限公司签订《房屋租赁合同》，用于我区引进市产权处、区</w:t>
      </w:r>
      <w:r>
        <w:rPr>
          <w:rFonts w:hint="eastAsia" w:ascii="仿宋_GB2312" w:hAnsi="楷体" w:eastAsia="仿宋_GB2312"/>
          <w:sz w:val="32"/>
          <w:szCs w:val="32"/>
          <w:lang w:val="en-US" w:eastAsia="zh-CN"/>
        </w:rPr>
        <w:t>税务</w:t>
      </w:r>
      <w:bookmarkStart w:id="0" w:name="_GoBack"/>
      <w:bookmarkEnd w:id="0"/>
      <w:r>
        <w:rPr>
          <w:rFonts w:hint="eastAsia" w:ascii="仿宋_GB2312" w:hAnsi="楷体" w:eastAsia="仿宋_GB2312"/>
          <w:sz w:val="32"/>
          <w:szCs w:val="32"/>
        </w:rPr>
        <w:t>局、市国土档案中心在全市率先开展不动产交易税收登记“一窗受理、集成服务”工作，由我中心年初作为预算项目上报财政，年中旬将租赁费支付昆明都市车迷汽车服务有限公司。</w:t>
      </w:r>
    </w:p>
    <w:p>
      <w:pPr>
        <w:spacing w:line="560" w:lineRule="exact"/>
        <w:ind w:firstLine="640" w:firstLineChars="200"/>
        <w:rPr>
          <w:rFonts w:ascii="Times New Roman" w:hAnsi="Times New Roman" w:eastAsia="楷体_GB2312"/>
          <w:sz w:val="32"/>
          <w:szCs w:val="32"/>
        </w:rPr>
      </w:pPr>
      <w:r>
        <w:rPr>
          <w:rFonts w:ascii="Times New Roman" w:hAnsi="Times New Roman" w:eastAsia="楷体_GB2312"/>
          <w:sz w:val="32"/>
          <w:szCs w:val="32"/>
        </w:rPr>
        <w:t>（</w:t>
      </w:r>
      <w:r>
        <w:rPr>
          <w:rFonts w:hint="eastAsia" w:ascii="Times New Roman" w:hAnsi="Times New Roman" w:eastAsia="楷体_GB2312"/>
          <w:sz w:val="32"/>
          <w:szCs w:val="32"/>
        </w:rPr>
        <w:t>2</w:t>
      </w:r>
      <w:r>
        <w:rPr>
          <w:rFonts w:ascii="Times New Roman" w:hAnsi="Times New Roman" w:eastAsia="楷体_GB2312"/>
          <w:sz w:val="32"/>
          <w:szCs w:val="32"/>
        </w:rPr>
        <w:t>）项目监督</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根据《昆明市盘龙区政务服务管理局职能配置、内设机构和人员编制规定》的相关要求以及我局内控制度，严格开展项目支出绩效自评，将项目支出后的实际状况与申报的绩效目标对比，从项目的经济性、效率性、有效性和可持续性等方面进行量化、具体分析。并按规定内容、规定时限对与预算、执行、决算、监督、绩效等管理相关的预决算信息进行信息公开，各项支出基础数据信息和会计信息资料具有真实性、完整性、准确性。完成预期的绩效目标，切实做到用实、用好财政资金。</w:t>
      </w:r>
    </w:p>
    <w:p>
      <w:pPr>
        <w:spacing w:line="560" w:lineRule="exact"/>
        <w:ind w:firstLine="640" w:firstLineChars="200"/>
        <w:rPr>
          <w:rFonts w:ascii="Times New Roman" w:hAnsi="Times New Roman" w:eastAsia="仿宋_GB2312"/>
          <w:sz w:val="32"/>
          <w:szCs w:val="32"/>
        </w:rPr>
      </w:pPr>
      <w:r>
        <w:rPr>
          <w:rFonts w:hint="eastAsia" w:ascii="楷体" w:hAnsi="楷体" w:eastAsia="楷体"/>
          <w:sz w:val="32"/>
          <w:szCs w:val="32"/>
        </w:rPr>
        <w:t>（二）绩效目标。</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1.总目标。</w:t>
      </w:r>
    </w:p>
    <w:p>
      <w:pPr>
        <w:spacing w:line="56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为切实加强我区不动产交易税收的管控，防止我区税源流失，增加税收收入相关工作，完成不动产交易登记税收服务大厅房屋租金支付。</w:t>
      </w:r>
    </w:p>
    <w:p>
      <w:pPr>
        <w:topLinePunct/>
        <w:spacing w:line="440" w:lineRule="exact"/>
        <w:ind w:firstLine="640" w:firstLineChars="200"/>
        <w:rPr>
          <w:rFonts w:ascii="仿宋_GB2312" w:hAnsi="楷体" w:eastAsia="仿宋_GB2312"/>
          <w:sz w:val="32"/>
          <w:szCs w:val="32"/>
        </w:rPr>
      </w:pPr>
      <w:r>
        <w:rPr>
          <w:rFonts w:hint="eastAsia" w:ascii="仿宋_GB2312" w:hAnsi="楷体" w:eastAsia="仿宋_GB2312"/>
          <w:sz w:val="32"/>
          <w:szCs w:val="32"/>
        </w:rPr>
        <w:t>2.年度目标。</w:t>
      </w:r>
    </w:p>
    <w:p>
      <w:pPr>
        <w:topLinePunct/>
        <w:spacing w:line="440" w:lineRule="exact"/>
        <w:ind w:firstLine="640" w:firstLineChars="200"/>
        <w:rPr>
          <w:rFonts w:ascii="仿宋_GB2312" w:hAnsi="楷体" w:eastAsia="仿宋_GB2312"/>
          <w:sz w:val="32"/>
          <w:szCs w:val="32"/>
        </w:rPr>
      </w:pPr>
      <w:r>
        <w:rPr>
          <w:rFonts w:hint="eastAsia" w:ascii="仿宋_GB2312" w:hAnsi="楷体" w:eastAsia="仿宋_GB2312"/>
          <w:sz w:val="32"/>
          <w:szCs w:val="32"/>
        </w:rPr>
        <w:t>完成不动产交易登记税收服务大厅房屋租金支付，全年应支付房屋租金196万元，</w:t>
      </w:r>
      <w:r>
        <w:rPr>
          <w:rFonts w:hint="eastAsia" w:ascii="仿宋" w:hAnsi="仿宋" w:eastAsia="仿宋"/>
          <w:sz w:val="32"/>
          <w:szCs w:val="32"/>
        </w:rPr>
        <w:t>确保</w:t>
      </w:r>
      <w:r>
        <w:rPr>
          <w:rFonts w:hint="eastAsia" w:ascii="仿宋_GB2312" w:hAnsi="楷体" w:eastAsia="仿宋_GB2312"/>
          <w:sz w:val="32"/>
          <w:szCs w:val="32"/>
        </w:rPr>
        <w:t>不动产交易登记税收服务大厅各项工作</w:t>
      </w:r>
      <w:r>
        <w:rPr>
          <w:rFonts w:hint="eastAsia" w:ascii="仿宋" w:hAnsi="仿宋" w:eastAsia="仿宋"/>
          <w:sz w:val="32"/>
          <w:szCs w:val="32"/>
        </w:rPr>
        <w:t>正常运转。</w:t>
      </w:r>
    </w:p>
    <w:p>
      <w:pPr>
        <w:topLinePunct/>
        <w:spacing w:line="440" w:lineRule="exact"/>
        <w:ind w:firstLine="800" w:firstLineChars="250"/>
        <w:rPr>
          <w:rFonts w:ascii="黑体" w:hAnsi="黑体" w:eastAsia="黑体"/>
          <w:sz w:val="32"/>
          <w:szCs w:val="32"/>
        </w:rPr>
      </w:pPr>
      <w:r>
        <w:rPr>
          <w:rFonts w:hint="eastAsia" w:ascii="黑体" w:hAnsi="黑体" w:eastAsia="黑体"/>
          <w:sz w:val="32"/>
          <w:szCs w:val="32"/>
        </w:rPr>
        <w:t>二、绩效评价工作情况</w:t>
      </w:r>
    </w:p>
    <w:p>
      <w:pPr>
        <w:topLinePunct/>
        <w:spacing w:line="440" w:lineRule="exact"/>
        <w:ind w:firstLine="800" w:firstLineChars="250"/>
        <w:rPr>
          <w:rFonts w:ascii="楷体" w:hAnsi="楷体" w:eastAsia="楷体"/>
          <w:sz w:val="32"/>
          <w:szCs w:val="32"/>
        </w:rPr>
      </w:pPr>
      <w:r>
        <w:rPr>
          <w:rFonts w:hint="eastAsia" w:ascii="楷体" w:hAnsi="楷体" w:eastAsia="楷体"/>
          <w:sz w:val="32"/>
          <w:szCs w:val="32"/>
        </w:rPr>
        <w:t>（一）绩效评价目的。</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topLinePunct/>
        <w:spacing w:line="440" w:lineRule="exact"/>
        <w:ind w:firstLine="800" w:firstLineChars="250"/>
        <w:rPr>
          <w:rFonts w:ascii="楷体" w:hAnsi="楷体" w:eastAsia="楷体"/>
          <w:sz w:val="32"/>
          <w:szCs w:val="32"/>
        </w:rPr>
      </w:pPr>
      <w:r>
        <w:rPr>
          <w:rFonts w:hint="eastAsia" w:ascii="楷体" w:hAnsi="楷体" w:eastAsia="楷体"/>
          <w:sz w:val="32"/>
          <w:szCs w:val="32"/>
        </w:rPr>
        <w:t>（二）绩效评价工作方案制定过程。</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1.前期调研。</w:t>
      </w:r>
    </w:p>
    <w:p>
      <w:pPr>
        <w:topLinePunct/>
        <w:spacing w:line="44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区政务局绩效自评小组，由党政主要领导任组长，各业务科室相关负责人任组员。</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2.研究文件。</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依据盘龙区不动产交易税收登记服务大厅租金《租用合同》按时开展评价。</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3.绩效评价指标体系及工作方案的设计。</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不动产交易税收登记服务大厅租金专项经费项目支出绩效采用共性指标体系进行绩效评价，主要包括预算编制和执行情况，财务管理状况，资产配置、使用、处置及收益管理情况以及社会效益、经济效益等。</w:t>
      </w:r>
    </w:p>
    <w:p>
      <w:pPr>
        <w:topLinePunct/>
        <w:spacing w:line="440" w:lineRule="exact"/>
        <w:ind w:firstLine="800" w:firstLineChars="250"/>
        <w:rPr>
          <w:rFonts w:ascii="楷体" w:hAnsi="楷体" w:eastAsia="楷体"/>
          <w:sz w:val="32"/>
          <w:szCs w:val="32"/>
        </w:rPr>
      </w:pPr>
      <w:r>
        <w:rPr>
          <w:rFonts w:hint="eastAsia" w:ascii="楷体" w:hAnsi="楷体" w:eastAsia="楷体"/>
          <w:sz w:val="32"/>
          <w:szCs w:val="32"/>
        </w:rPr>
        <w:t>（三）绩效评价原则、评价方法</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1.绩效评价原则。</w:t>
      </w:r>
    </w:p>
    <w:p>
      <w:pPr>
        <w:topLinePunct/>
        <w:spacing w:line="440" w:lineRule="exact"/>
        <w:ind w:firstLine="640" w:firstLineChars="200"/>
        <w:rPr>
          <w:rFonts w:ascii="仿宋" w:hAnsi="仿宋" w:eastAsia="仿宋"/>
          <w:sz w:val="32"/>
          <w:szCs w:val="32"/>
        </w:rPr>
      </w:pPr>
      <w:r>
        <w:rPr>
          <w:rFonts w:hint="eastAsia" w:ascii="仿宋_GB2312" w:hAnsi="楷体" w:eastAsia="仿宋_GB2312"/>
          <w:sz w:val="32"/>
          <w:szCs w:val="32"/>
        </w:rPr>
        <w:t>不动产交易税收登记服务大厅租金专项经费项目支出绩效围绕绩效目标、针对具体支出及其产出绩效进行，评价结果应清晰反映支出和产出绩效之间</w:t>
      </w:r>
      <w:r>
        <w:rPr>
          <w:rFonts w:hint="eastAsia" w:ascii="仿宋" w:hAnsi="仿宋" w:eastAsia="仿宋"/>
          <w:sz w:val="32"/>
          <w:szCs w:val="32"/>
        </w:rPr>
        <w:t>的对应关系；严格执行规定的程序，按照科学可行的要求，采用定量与定性分析相结合的方式；</w:t>
      </w:r>
      <w:r>
        <w:rPr>
          <w:rFonts w:hint="eastAsia" w:ascii="仿宋_GB2312" w:hAnsi="楷体" w:eastAsia="仿宋_GB2312"/>
          <w:sz w:val="32"/>
          <w:szCs w:val="32"/>
        </w:rPr>
        <w:t>符合真实、客观、公正的要求，按照规定公开并接受社会监督；绩效自评结果运用于预算安排和预算执行中，不断提高部门预算管理水平。</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2.绩效评价方法。</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绩效自评结果采取量化评分的形式，量化分值一般为百分制。可分为四个等级：优（得分≧90）；良（90﹥得分≧80）；中（80﹥得分≧60）；差（得分﹤60）；。</w:t>
      </w:r>
    </w:p>
    <w:p>
      <w:pPr>
        <w:topLinePunct/>
        <w:spacing w:line="440" w:lineRule="exact"/>
        <w:ind w:firstLine="800" w:firstLineChars="250"/>
        <w:rPr>
          <w:rFonts w:ascii="楷体" w:hAnsi="楷体" w:eastAsia="楷体"/>
          <w:sz w:val="32"/>
          <w:szCs w:val="32"/>
        </w:rPr>
      </w:pPr>
      <w:r>
        <w:rPr>
          <w:rFonts w:hint="eastAsia" w:ascii="楷体" w:hAnsi="楷体" w:eastAsia="楷体"/>
          <w:sz w:val="32"/>
          <w:szCs w:val="32"/>
        </w:rPr>
        <w:t>（四）绩效评价实施过程</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1.数据填报和采集。</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依据区委、区政府方针政策及部门预算管理制度、项目及财务管理办法，按照部门职能职责、中长期发展规划及年度工作计划设立此项目。</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2.社会调查。</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部门申请预算时提出的绩效目标申报表及其他相关材料。</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3.数据分析和撰写报告。</w:t>
      </w:r>
    </w:p>
    <w:p>
      <w:pPr>
        <w:topLinePunct/>
        <w:spacing w:line="440" w:lineRule="exact"/>
        <w:ind w:firstLine="800" w:firstLineChars="250"/>
        <w:rPr>
          <w:rFonts w:ascii="仿宋_GB2312" w:hAnsi="楷体" w:eastAsia="仿宋_GB2312"/>
          <w:sz w:val="32"/>
          <w:szCs w:val="32"/>
        </w:rPr>
      </w:pPr>
      <w:r>
        <w:rPr>
          <w:rFonts w:hint="eastAsia" w:ascii="仿宋_GB2312" w:eastAsia="仿宋_GB2312"/>
          <w:sz w:val="32"/>
          <w:szCs w:val="32"/>
        </w:rPr>
        <w:t>预算批复，年度预算执行情况，年度决算报告。</w:t>
      </w:r>
    </w:p>
    <w:p>
      <w:pPr>
        <w:topLinePunct/>
        <w:spacing w:line="440" w:lineRule="exact"/>
        <w:ind w:firstLine="800" w:firstLineChars="250"/>
        <w:rPr>
          <w:rFonts w:ascii="楷体" w:hAnsi="楷体" w:eastAsia="楷体"/>
          <w:sz w:val="32"/>
          <w:szCs w:val="32"/>
        </w:rPr>
      </w:pPr>
      <w:r>
        <w:rPr>
          <w:rFonts w:hint="eastAsia" w:ascii="楷体" w:hAnsi="楷体" w:eastAsia="楷体"/>
          <w:sz w:val="32"/>
          <w:szCs w:val="32"/>
        </w:rPr>
        <w:t>（五）本次绩效评价的局限性。</w:t>
      </w:r>
    </w:p>
    <w:p>
      <w:pPr>
        <w:topLinePunct/>
        <w:spacing w:line="440" w:lineRule="exact"/>
        <w:ind w:firstLine="800" w:firstLineChars="250"/>
        <w:rPr>
          <w:rFonts w:ascii="仿宋_GB2312" w:hAnsi="楷体" w:eastAsia="仿宋_GB2312"/>
          <w:sz w:val="32"/>
          <w:szCs w:val="32"/>
        </w:rPr>
      </w:pPr>
      <w:r>
        <w:rPr>
          <w:rFonts w:hint="eastAsia" w:ascii="仿宋_GB2312" w:hAnsi="楷体" w:eastAsia="仿宋_GB2312"/>
          <w:sz w:val="32"/>
          <w:szCs w:val="32"/>
        </w:rPr>
        <w:t>无</w:t>
      </w:r>
    </w:p>
    <w:p>
      <w:pPr>
        <w:topLinePunct/>
        <w:spacing w:line="440" w:lineRule="exact"/>
        <w:ind w:firstLine="800" w:firstLineChars="250"/>
        <w:rPr>
          <w:rFonts w:ascii="黑体" w:hAnsi="黑体" w:eastAsia="黑体"/>
          <w:sz w:val="32"/>
          <w:szCs w:val="32"/>
        </w:rPr>
      </w:pPr>
      <w:r>
        <w:rPr>
          <w:rFonts w:hint="eastAsia" w:ascii="黑体" w:hAnsi="黑体" w:eastAsia="黑体"/>
          <w:sz w:val="32"/>
          <w:szCs w:val="32"/>
        </w:rPr>
        <w:t>三、评价结论和绩效分析</w:t>
      </w:r>
    </w:p>
    <w:p>
      <w:pPr>
        <w:topLinePunct/>
        <w:spacing w:line="440" w:lineRule="exact"/>
        <w:ind w:firstLine="800" w:firstLineChars="250"/>
        <w:rPr>
          <w:rFonts w:ascii="楷体" w:hAnsi="楷体" w:eastAsia="楷体"/>
          <w:sz w:val="32"/>
          <w:szCs w:val="32"/>
        </w:rPr>
      </w:pPr>
      <w:r>
        <w:rPr>
          <w:rFonts w:hint="eastAsia" w:ascii="楷体" w:hAnsi="楷体" w:eastAsia="楷体"/>
          <w:sz w:val="32"/>
          <w:szCs w:val="32"/>
        </w:rPr>
        <w:t>（一）评价结论。</w:t>
      </w:r>
    </w:p>
    <w:p>
      <w:pPr>
        <w:topLinePunct/>
        <w:spacing w:line="440" w:lineRule="exact"/>
        <w:ind w:firstLine="640" w:firstLineChars="200"/>
        <w:rPr>
          <w:rFonts w:ascii="仿宋_GB2312" w:hAnsi="仿宋" w:eastAsia="仿宋_GB2312"/>
          <w:sz w:val="32"/>
          <w:szCs w:val="32"/>
        </w:rPr>
      </w:pPr>
      <w:r>
        <w:rPr>
          <w:rFonts w:hint="eastAsia" w:ascii="仿宋_GB2312" w:hAnsi="仿宋" w:eastAsia="仿宋_GB2312"/>
          <w:sz w:val="32"/>
          <w:szCs w:val="32"/>
        </w:rPr>
        <w:t>1.评价结果。</w:t>
      </w:r>
    </w:p>
    <w:p>
      <w:pPr>
        <w:topLinePunct/>
        <w:spacing w:line="440" w:lineRule="exact"/>
        <w:ind w:firstLine="640" w:firstLineChars="200"/>
        <w:rPr>
          <w:rFonts w:ascii="仿宋_GB2312" w:hAnsi="仿宋" w:eastAsia="仿宋_GB2312"/>
          <w:sz w:val="32"/>
          <w:szCs w:val="32"/>
        </w:rPr>
      </w:pPr>
      <w:r>
        <w:rPr>
          <w:rFonts w:hint="eastAsia" w:ascii="仿宋_GB2312" w:hAnsi="仿宋" w:eastAsia="仿宋_GB2312"/>
          <w:sz w:val="32"/>
          <w:szCs w:val="32"/>
        </w:rPr>
        <w:t>不动产交易税收登记服务大厅租金专项经费项目支出绩效自评分100分，自评结果为优秀，达到了预期的绩效目标，切实做到了用实、用好财政资金。</w:t>
      </w:r>
    </w:p>
    <w:p>
      <w:pPr>
        <w:topLinePunct/>
        <w:spacing w:line="440" w:lineRule="exact"/>
        <w:ind w:firstLine="800" w:firstLineChars="250"/>
        <w:rPr>
          <w:rFonts w:ascii="仿宋_GB2312" w:hAnsi="仿宋" w:eastAsia="仿宋_GB2312"/>
          <w:sz w:val="32"/>
          <w:szCs w:val="32"/>
        </w:rPr>
      </w:pPr>
      <w:r>
        <w:rPr>
          <w:rFonts w:hint="eastAsia" w:ascii="仿宋_GB2312" w:hAnsi="仿宋" w:eastAsia="仿宋_GB2312"/>
          <w:sz w:val="32"/>
          <w:szCs w:val="32"/>
        </w:rPr>
        <w:t>2.主要绩效。</w:t>
      </w:r>
    </w:p>
    <w:p>
      <w:pPr>
        <w:topLinePunct/>
        <w:spacing w:line="440" w:lineRule="exact"/>
        <w:ind w:firstLine="640" w:firstLineChars="200"/>
        <w:rPr>
          <w:rFonts w:ascii="仿宋_GB2312" w:hAnsi="仿宋" w:eastAsia="仿宋_GB2312"/>
          <w:sz w:val="32"/>
          <w:szCs w:val="32"/>
        </w:rPr>
      </w:pPr>
      <w:r>
        <w:rPr>
          <w:rFonts w:hint="eastAsia" w:ascii="仿宋_GB2312" w:hAnsi="仿宋" w:eastAsia="仿宋_GB2312"/>
          <w:sz w:val="32"/>
          <w:szCs w:val="32"/>
        </w:rPr>
        <w:t>通过项目实施，完成不动产交易税收登记服务大厅基础保障工作，确保大厅各项工作平稳正常运行，提高政务服务大厅窗口服务专业化水平。</w:t>
      </w:r>
    </w:p>
    <w:p>
      <w:pPr>
        <w:topLinePunct/>
        <w:spacing w:line="440" w:lineRule="exact"/>
        <w:ind w:firstLine="800" w:firstLineChars="250"/>
        <w:rPr>
          <w:rFonts w:ascii="楷体" w:hAnsi="楷体" w:eastAsia="楷体"/>
          <w:sz w:val="32"/>
          <w:szCs w:val="32"/>
        </w:rPr>
      </w:pPr>
      <w:r>
        <w:rPr>
          <w:rFonts w:hint="eastAsia" w:ascii="楷体" w:hAnsi="楷体" w:eastAsia="楷体"/>
          <w:sz w:val="32"/>
          <w:szCs w:val="32"/>
        </w:rPr>
        <w:t>（二）具体绩效分析。</w:t>
      </w:r>
    </w:p>
    <w:p>
      <w:pPr>
        <w:topLinePunct/>
        <w:spacing w:line="440" w:lineRule="exact"/>
        <w:ind w:firstLine="800" w:firstLineChars="250"/>
        <w:rPr>
          <w:rFonts w:ascii="仿宋" w:hAnsi="仿宋" w:eastAsia="仿宋"/>
          <w:sz w:val="32"/>
          <w:szCs w:val="32"/>
        </w:rPr>
      </w:pPr>
      <w:r>
        <w:rPr>
          <w:rFonts w:hint="eastAsia" w:ascii="仿宋" w:hAnsi="仿宋" w:eastAsia="仿宋"/>
          <w:sz w:val="32"/>
          <w:szCs w:val="32"/>
        </w:rPr>
        <w:t>对照绩效评价指标体系逐项进行分析、评价并打分。确定不动产交易税收登记服务大厅租金专项经费项目支出绩效自评结果为优，作为下一年度预算项目经费的依据，继续使用。</w:t>
      </w:r>
      <w:r>
        <w:rPr>
          <w:rFonts w:ascii="仿宋" w:hAnsi="仿宋" w:eastAsia="仿宋"/>
          <w:sz w:val="32"/>
          <w:szCs w:val="32"/>
        </w:rPr>
        <w:t xml:space="preserve"> </w:t>
      </w:r>
    </w:p>
    <w:p>
      <w:pPr>
        <w:spacing w:line="440" w:lineRule="exact"/>
        <w:ind w:firstLine="640" w:firstLineChars="200"/>
        <w:rPr>
          <w:rFonts w:ascii="黑体" w:hAnsi="黑体" w:eastAsia="黑体"/>
          <w:sz w:val="32"/>
          <w:szCs w:val="32"/>
        </w:rPr>
      </w:pPr>
      <w:r>
        <w:rPr>
          <w:rFonts w:hint="eastAsia" w:ascii="黑体" w:hAnsi="黑体" w:eastAsia="黑体"/>
          <w:sz w:val="32"/>
          <w:szCs w:val="32"/>
        </w:rPr>
        <w:t>四、成本效益分析。</w:t>
      </w:r>
    </w:p>
    <w:p>
      <w:pPr>
        <w:spacing w:line="440" w:lineRule="exact"/>
        <w:ind w:firstLine="640" w:firstLineChars="200"/>
        <w:rPr>
          <w:rFonts w:ascii="仿宋_GB2312" w:hAnsi="黑体" w:eastAsia="仿宋_GB2312"/>
          <w:sz w:val="32"/>
          <w:szCs w:val="32"/>
        </w:rPr>
      </w:pPr>
      <w:r>
        <w:rPr>
          <w:rFonts w:hint="eastAsia" w:ascii="仿宋_GB2312" w:hAnsi="仿宋" w:eastAsia="仿宋_GB2312"/>
          <w:sz w:val="32"/>
          <w:szCs w:val="32"/>
        </w:rPr>
        <w:t>通过对不动产交易税收登记服务大厅租金专项经费项目支出绩效与效益进行对比分析，资金使用方向、资金收入和支出结构、项目和资金管理情况、资金的节约性及资金使用效果分析。确定此项目评价绩效目标实现程度以及下年年度预算变化趋势。</w:t>
      </w:r>
    </w:p>
    <w:p>
      <w:pPr>
        <w:topLinePunct/>
        <w:spacing w:line="440" w:lineRule="exact"/>
        <w:ind w:firstLine="800" w:firstLineChars="250"/>
        <w:rPr>
          <w:rFonts w:ascii="黑体" w:hAnsi="黑体" w:eastAsia="黑体"/>
          <w:sz w:val="32"/>
          <w:szCs w:val="32"/>
        </w:rPr>
      </w:pPr>
      <w:r>
        <w:rPr>
          <w:rFonts w:hint="eastAsia" w:ascii="黑体" w:hAnsi="黑体" w:eastAsia="黑体"/>
          <w:sz w:val="32"/>
          <w:szCs w:val="32"/>
        </w:rPr>
        <w:t>五、主要经验及做法、存在的问题和建议</w:t>
      </w:r>
    </w:p>
    <w:p>
      <w:pPr>
        <w:topLinePunct/>
        <w:spacing w:line="440" w:lineRule="exact"/>
        <w:ind w:firstLine="800" w:firstLineChars="250"/>
        <w:rPr>
          <w:rFonts w:ascii="楷体" w:hAnsi="楷体" w:eastAsia="楷体"/>
          <w:sz w:val="32"/>
          <w:szCs w:val="32"/>
        </w:rPr>
      </w:pPr>
      <w:r>
        <w:rPr>
          <w:rFonts w:hint="eastAsia" w:ascii="楷体" w:hAnsi="楷体" w:eastAsia="楷体"/>
          <w:sz w:val="32"/>
          <w:szCs w:val="32"/>
        </w:rPr>
        <w:t>（一）主要经验及做法</w:t>
      </w:r>
    </w:p>
    <w:p>
      <w:pPr>
        <w:topLinePunct/>
        <w:spacing w:line="440" w:lineRule="exact"/>
        <w:ind w:firstLine="800" w:firstLineChars="250"/>
        <w:rPr>
          <w:rFonts w:ascii="仿宋_GB2312" w:hAnsi="仿宋" w:eastAsia="仿宋_GB2312"/>
          <w:sz w:val="32"/>
          <w:szCs w:val="32"/>
        </w:rPr>
      </w:pPr>
      <w:r>
        <w:rPr>
          <w:rFonts w:hint="eastAsia" w:ascii="仿宋_GB2312" w:hAnsi="仿宋" w:eastAsia="仿宋_GB2312"/>
          <w:sz w:val="32"/>
          <w:szCs w:val="32"/>
        </w:rPr>
        <w:t>强化领导，建立健全绩效自评组织体系。结合实际，确定自评范围及考评指标，在充分发挥历年开展目标考核经验的基础上结合实际，研究确定年度绩效考核范围和考评指标。</w:t>
      </w:r>
    </w:p>
    <w:p>
      <w:pPr>
        <w:topLinePunct/>
        <w:spacing w:line="440" w:lineRule="exact"/>
        <w:ind w:firstLine="800" w:firstLineChars="250"/>
        <w:rPr>
          <w:rFonts w:ascii="楷体" w:hAnsi="楷体" w:eastAsia="楷体"/>
          <w:sz w:val="32"/>
          <w:szCs w:val="32"/>
        </w:rPr>
      </w:pPr>
      <w:r>
        <w:rPr>
          <w:rFonts w:hint="eastAsia" w:ascii="楷体" w:hAnsi="楷体" w:eastAsia="楷体"/>
          <w:sz w:val="32"/>
          <w:szCs w:val="32"/>
        </w:rPr>
        <w:t>（二）存在的问题</w:t>
      </w:r>
    </w:p>
    <w:p>
      <w:pPr>
        <w:topLinePunct/>
        <w:spacing w:line="440" w:lineRule="exact"/>
        <w:ind w:firstLine="800" w:firstLineChars="250"/>
        <w:rPr>
          <w:rFonts w:ascii="仿宋_GB2312" w:hAnsi="仿宋" w:eastAsia="仿宋_GB2312"/>
          <w:sz w:val="32"/>
          <w:szCs w:val="32"/>
        </w:rPr>
      </w:pPr>
      <w:r>
        <w:rPr>
          <w:rFonts w:hint="eastAsia" w:ascii="仿宋_GB2312" w:hAnsi="仿宋" w:eastAsia="仿宋_GB2312"/>
          <w:sz w:val="32"/>
          <w:szCs w:val="32"/>
        </w:rPr>
        <w:t>通过对不动产交易税收登记服务大厅租金专项经费项目支出绩效跟踪情况，达成预期的绩效目标。项目绩效指标体系还不够细化等问题。</w:t>
      </w:r>
    </w:p>
    <w:p>
      <w:pPr>
        <w:topLinePunct/>
        <w:spacing w:line="440" w:lineRule="exact"/>
        <w:ind w:firstLine="800" w:firstLineChars="250"/>
        <w:rPr>
          <w:rFonts w:ascii="楷体" w:hAnsi="楷体" w:eastAsia="楷体"/>
          <w:sz w:val="32"/>
          <w:szCs w:val="32"/>
        </w:rPr>
      </w:pPr>
      <w:r>
        <w:rPr>
          <w:rFonts w:hint="eastAsia" w:ascii="楷体" w:hAnsi="楷体" w:eastAsia="楷体"/>
          <w:sz w:val="32"/>
          <w:szCs w:val="32"/>
        </w:rPr>
        <w:t>（三）建议和改进措施</w:t>
      </w:r>
    </w:p>
    <w:p>
      <w:pPr>
        <w:topLinePunct/>
        <w:spacing w:line="440" w:lineRule="exact"/>
        <w:ind w:firstLine="640" w:firstLineChars="200"/>
        <w:rPr>
          <w:rFonts w:ascii="仿宋_GB2312" w:hAnsi="仿宋" w:eastAsia="仿宋_GB2312"/>
          <w:sz w:val="32"/>
          <w:szCs w:val="32"/>
        </w:rPr>
      </w:pPr>
      <w:r>
        <w:rPr>
          <w:rFonts w:hint="eastAsia" w:ascii="仿宋_GB2312" w:hAnsi="仿宋" w:eastAsia="仿宋_GB2312"/>
          <w:sz w:val="32"/>
          <w:szCs w:val="32"/>
        </w:rPr>
        <w:t>措施到位，扎实推进绩效自评工作。落实责任，明确目标，强化工作结果。细化各业务科室考评指标，让各科室更明确自己的工作任务。制定指标做到全面、合理、公正，坚持定性与定量相结合，以定量为主，80%以上的指标进行量化。在绩效目标管理上存在的问题，做到及时整改。不断完善管理，提高预算支出绩效。</w:t>
      </w:r>
    </w:p>
    <w:p>
      <w:pPr>
        <w:rPr>
          <w:sz w:val="32"/>
          <w:szCs w:val="32"/>
        </w:rPr>
      </w:pPr>
    </w:p>
    <w:p>
      <w:pPr>
        <w:topLinePunct/>
        <w:spacing w:line="520" w:lineRule="exact"/>
        <w:ind w:right="640"/>
        <w:jc w:val="right"/>
        <w:rPr>
          <w:rFonts w:ascii="仿宋" w:hAnsi="仿宋" w:eastAsia="仿宋"/>
          <w:sz w:val="32"/>
          <w:szCs w:val="32"/>
        </w:rPr>
      </w:pPr>
      <w:r>
        <w:rPr>
          <w:rFonts w:hint="eastAsia" w:ascii="仿宋" w:hAnsi="仿宋" w:eastAsia="仿宋"/>
          <w:sz w:val="32"/>
          <w:szCs w:val="32"/>
        </w:rPr>
        <w:t>昆明市盘龙区政务服务管理局</w:t>
      </w:r>
    </w:p>
    <w:p>
      <w:pPr>
        <w:topLinePunct/>
        <w:spacing w:line="520" w:lineRule="exact"/>
        <w:ind w:right="1120" w:firstLine="800" w:firstLineChars="250"/>
        <w:jc w:val="right"/>
        <w:rPr>
          <w:rFonts w:ascii="仿宋" w:hAnsi="仿宋" w:eastAsia="仿宋" w:cs="宋体"/>
          <w:kern w:val="0"/>
          <w:sz w:val="32"/>
          <w:szCs w:val="32"/>
        </w:rPr>
      </w:pPr>
      <w:r>
        <w:rPr>
          <w:rFonts w:hint="eastAsia" w:ascii="仿宋" w:hAnsi="仿宋" w:eastAsia="仿宋"/>
          <w:sz w:val="32"/>
          <w:szCs w:val="32"/>
        </w:rPr>
        <w:t>2022年4月25日</w:t>
      </w:r>
    </w:p>
    <w:p>
      <w:pPr>
        <w:rPr>
          <w:sz w:val="32"/>
          <w:szCs w:val="32"/>
        </w:rPr>
      </w:pPr>
    </w:p>
    <w:p>
      <w:pPr>
        <w:rPr>
          <w:sz w:val="32"/>
          <w:szCs w:val="32"/>
        </w:rPr>
      </w:pPr>
    </w:p>
    <w:p>
      <w:pPr>
        <w:rPr>
          <w:sz w:val="32"/>
          <w:szCs w:val="32"/>
        </w:rPr>
      </w:pPr>
    </w:p>
    <w:p>
      <w:pPr>
        <w:widowControl/>
        <w:jc w:val="center"/>
        <w:rPr>
          <w:rFonts w:ascii="方正小标宋_GBK" w:eastAsia="方正小标宋_GBK"/>
          <w:sz w:val="28"/>
          <w:szCs w:val="28"/>
        </w:rPr>
      </w:pPr>
      <w:r>
        <w:rPr>
          <w:rFonts w:hint="eastAsia" w:ascii="方正小标宋_GBK" w:eastAsia="方正小标宋_GBK"/>
          <w:sz w:val="28"/>
          <w:szCs w:val="28"/>
        </w:rPr>
        <w:t>附件2：项目支出绩效评价共性指标体系框架</w:t>
      </w:r>
    </w:p>
    <w:tbl>
      <w:tblPr>
        <w:tblStyle w:val="5"/>
        <w:tblpPr w:leftFromText="180" w:rightFromText="180" w:vertAnchor="text" w:horzAnchor="page" w:tblpX="1201" w:tblpY="383"/>
        <w:tblW w:w="10412" w:type="dxa"/>
        <w:tblInd w:w="0" w:type="dxa"/>
        <w:tblLayout w:type="autofit"/>
        <w:tblCellMar>
          <w:top w:w="0" w:type="dxa"/>
          <w:left w:w="108" w:type="dxa"/>
          <w:bottom w:w="0" w:type="dxa"/>
          <w:right w:w="108" w:type="dxa"/>
        </w:tblCellMar>
      </w:tblPr>
      <w:tblGrid>
        <w:gridCol w:w="846"/>
        <w:gridCol w:w="971"/>
        <w:gridCol w:w="1143"/>
        <w:gridCol w:w="1091"/>
        <w:gridCol w:w="593"/>
        <w:gridCol w:w="709"/>
        <w:gridCol w:w="1866"/>
        <w:gridCol w:w="1975"/>
        <w:gridCol w:w="1218"/>
      </w:tblGrid>
      <w:tr>
        <w:tblPrEx>
          <w:tblCellMar>
            <w:top w:w="0" w:type="dxa"/>
            <w:left w:w="108" w:type="dxa"/>
            <w:bottom w:w="0" w:type="dxa"/>
            <w:right w:w="108" w:type="dxa"/>
          </w:tblCellMar>
        </w:tblPrEx>
        <w:trPr>
          <w:trHeight w:val="540" w:hRule="atLeast"/>
        </w:trPr>
        <w:tc>
          <w:tcPr>
            <w:tcW w:w="84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一级</w:t>
            </w:r>
          </w:p>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w:t>
            </w:r>
          </w:p>
        </w:tc>
        <w:tc>
          <w:tcPr>
            <w:tcW w:w="97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二级指标</w:t>
            </w:r>
          </w:p>
        </w:tc>
        <w:tc>
          <w:tcPr>
            <w:tcW w:w="114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三级指标</w:t>
            </w:r>
          </w:p>
        </w:tc>
        <w:tc>
          <w:tcPr>
            <w:tcW w:w="1091"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四级指标</w:t>
            </w:r>
          </w:p>
        </w:tc>
        <w:tc>
          <w:tcPr>
            <w:tcW w:w="59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分值</w:t>
            </w: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得分</w:t>
            </w:r>
          </w:p>
        </w:tc>
        <w:tc>
          <w:tcPr>
            <w:tcW w:w="1866"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指标解释</w:t>
            </w:r>
          </w:p>
        </w:tc>
        <w:tc>
          <w:tcPr>
            <w:tcW w:w="197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评分标准</w:t>
            </w:r>
          </w:p>
        </w:tc>
        <w:tc>
          <w:tcPr>
            <w:tcW w:w="121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color w:val="000000"/>
                <w:kern w:val="0"/>
                <w:sz w:val="18"/>
                <w:szCs w:val="18"/>
              </w:rPr>
            </w:pPr>
            <w:r>
              <w:rPr>
                <w:rFonts w:hint="eastAsia" w:ascii="宋体" w:hAnsi="宋体" w:cs="宋体"/>
                <w:b/>
                <w:bCs/>
                <w:color w:val="000000"/>
                <w:kern w:val="0"/>
                <w:sz w:val="18"/>
                <w:szCs w:val="18"/>
              </w:rPr>
              <w:t>数据来源</w:t>
            </w:r>
          </w:p>
        </w:tc>
      </w:tr>
      <w:tr>
        <w:tblPrEx>
          <w:tblCellMar>
            <w:top w:w="0" w:type="dxa"/>
            <w:left w:w="108" w:type="dxa"/>
            <w:bottom w:w="0" w:type="dxa"/>
            <w:right w:w="108" w:type="dxa"/>
          </w:tblCellMar>
        </w:tblPrEx>
        <w:trPr>
          <w:trHeight w:val="900" w:hRule="atLeast"/>
        </w:trPr>
        <w:tc>
          <w:tcPr>
            <w:tcW w:w="846"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A.项目决策（20%）</w:t>
            </w:r>
          </w:p>
        </w:tc>
        <w:tc>
          <w:tcPr>
            <w:tcW w:w="97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A1.项目立项（8%）</w:t>
            </w: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A11.与部门中长期规划目标适应性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A111.与部门中长期规划目标匹配性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考察项目与部门中长期目标是否匹配</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匹配，得满分；不匹配，不得分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部门中长期规划目标</w:t>
            </w:r>
          </w:p>
        </w:tc>
      </w:tr>
      <w:tr>
        <w:tblPrEx>
          <w:tblCellMar>
            <w:top w:w="0" w:type="dxa"/>
            <w:left w:w="108" w:type="dxa"/>
            <w:bottom w:w="0" w:type="dxa"/>
            <w:right w:w="108" w:type="dxa"/>
          </w:tblCellMar>
        </w:tblPrEx>
        <w:trPr>
          <w:trHeight w:val="105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A12.立项依据充分性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A121.与市政府相关规划、决策匹配性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2</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考察项目是否符合区政府相关发展规划和政府决策</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符合，得满分；不符合，不得分。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区政府相关规划、决策、批复</w:t>
            </w:r>
          </w:p>
        </w:tc>
      </w:tr>
      <w:tr>
        <w:tblPrEx>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A122.与部门职责适应性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考察项目是否与部门职责密切相关。</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部门职责文件</w:t>
            </w:r>
          </w:p>
        </w:tc>
      </w:tr>
      <w:tr>
        <w:tblPrEx>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A13.项目立项规范性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A131.前期调研情况</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考察项目立项是否经过前期调研。</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调研报告</w:t>
            </w:r>
          </w:p>
        </w:tc>
      </w:tr>
      <w:tr>
        <w:tblPrEx>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A132.立项程序规范性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考察项目的申请、设立过程是否符合相关要求。</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立项申请、批复文件</w:t>
            </w:r>
          </w:p>
        </w:tc>
      </w:tr>
      <w:tr>
        <w:tblPrEx>
          <w:tblCellMar>
            <w:top w:w="0" w:type="dxa"/>
            <w:left w:w="108" w:type="dxa"/>
            <w:bottom w:w="0" w:type="dxa"/>
            <w:right w:w="108" w:type="dxa"/>
          </w:tblCellMar>
        </w:tblPrEx>
        <w:trPr>
          <w:trHeight w:val="91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A2.项目目标（12%）</w:t>
            </w:r>
          </w:p>
        </w:tc>
        <w:tc>
          <w:tcPr>
            <w:tcW w:w="11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A21.绩效目标设定的合理性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A211.绩效目标相关性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考察设定的绩效目标是否与事业发展规划相关。</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绩效目标申报表、部门规划、年度工作目标</w:t>
            </w:r>
          </w:p>
        </w:tc>
      </w:tr>
      <w:tr>
        <w:tblPrEx>
          <w:tblCellMar>
            <w:top w:w="0" w:type="dxa"/>
            <w:left w:w="108" w:type="dxa"/>
            <w:bottom w:w="0" w:type="dxa"/>
            <w:right w:w="108" w:type="dxa"/>
          </w:tblCellMar>
        </w:tblPrEx>
        <w:trPr>
          <w:trHeight w:val="108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A212.绩效目标完整性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2</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考察设定的绩效目标是否完整地反应预期产出和效果</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绩效目标申报表、年度工作目标、立项申请、批复文件</w:t>
            </w:r>
          </w:p>
        </w:tc>
      </w:tr>
      <w:tr>
        <w:tblPrEx>
          <w:tblCellMar>
            <w:top w:w="0" w:type="dxa"/>
            <w:left w:w="108" w:type="dxa"/>
            <w:bottom w:w="0" w:type="dxa"/>
            <w:right w:w="108" w:type="dxa"/>
          </w:tblCellMar>
        </w:tblPrEx>
        <w:trPr>
          <w:trHeight w:val="82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A213.目标与预算的匹配性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考察设定的绩效目标是否与年度预算相匹配。</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绩效目标申报表、立项申请、批复文件</w:t>
            </w:r>
          </w:p>
        </w:tc>
      </w:tr>
      <w:tr>
        <w:tblPrEx>
          <w:tblCellMar>
            <w:top w:w="0" w:type="dxa"/>
            <w:left w:w="108" w:type="dxa"/>
            <w:bottom w:w="0" w:type="dxa"/>
            <w:right w:w="108" w:type="dxa"/>
          </w:tblCellMar>
        </w:tblPrEx>
        <w:trPr>
          <w:trHeight w:val="79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A22.绩效指标设定的明确性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A221.指标细化分解情况</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考察是否将绩效目标细化分解为清晰、可衡量的绩效指标。</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绩效目标申报表、立项申请、批复文件</w:t>
            </w:r>
          </w:p>
        </w:tc>
      </w:tr>
      <w:tr>
        <w:tblPrEx>
          <w:tblCellMar>
            <w:top w:w="0" w:type="dxa"/>
            <w:left w:w="108" w:type="dxa"/>
            <w:bottom w:w="0" w:type="dxa"/>
            <w:right w:w="108" w:type="dxa"/>
          </w:tblCellMar>
        </w:tblPrEx>
        <w:trPr>
          <w:trHeight w:val="88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A222.指标与目标的匹配性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3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考察设定的绩效指标是否与年度工作任务相对应。</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是，得满分；否，不得分。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绩效目标申报表、年度工作任务</w:t>
            </w:r>
          </w:p>
        </w:tc>
      </w:tr>
      <w:tr>
        <w:tblPrEx>
          <w:tblCellMar>
            <w:top w:w="0" w:type="dxa"/>
            <w:left w:w="108" w:type="dxa"/>
            <w:bottom w:w="0" w:type="dxa"/>
            <w:right w:w="108" w:type="dxa"/>
          </w:tblCellMar>
        </w:tblPrEx>
        <w:trPr>
          <w:trHeight w:val="720" w:hRule="atLeast"/>
        </w:trPr>
        <w:tc>
          <w:tcPr>
            <w:tcW w:w="846"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B.项目管理（20%）</w:t>
            </w:r>
          </w:p>
        </w:tc>
        <w:tc>
          <w:tcPr>
            <w:tcW w:w="97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B1.投入管理（4%）</w:t>
            </w: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B11.预算编制合理性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考察预算编制是否充分、合理的预计项目支出并完整反应</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合理得满分；存在一项不合理，扣0.5分，扣完为止</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预算分析、预算批复</w:t>
            </w:r>
          </w:p>
        </w:tc>
      </w:tr>
      <w:tr>
        <w:tblPrEx>
          <w:tblCellMar>
            <w:top w:w="0" w:type="dxa"/>
            <w:left w:w="108" w:type="dxa"/>
            <w:bottom w:w="0" w:type="dxa"/>
            <w:right w:w="108" w:type="dxa"/>
          </w:tblCellMar>
        </w:tblPrEx>
        <w:trPr>
          <w:trHeight w:val="81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B12.预算调整规范性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考察存在预算调整时是否按照相关规定执行调整程序。</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规范，得满分；部分规范，扣0.5分；不规范，不得分。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预算调整文件</w:t>
            </w:r>
          </w:p>
        </w:tc>
      </w:tr>
      <w:tr>
        <w:tblPrEx>
          <w:tblCellMar>
            <w:top w:w="0" w:type="dxa"/>
            <w:left w:w="108" w:type="dxa"/>
            <w:bottom w:w="0" w:type="dxa"/>
            <w:right w:w="108" w:type="dxa"/>
          </w:tblCellMar>
        </w:tblPrEx>
        <w:trPr>
          <w:trHeight w:val="123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B13.预算执行率</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考察项目预算执行的进度。预算执行率=实际支出金额/项目预算金额×100%</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预算执行率95%以上，得满分；低于95%，每下降1%扣权重的1%；预算执行率60%以下，不计分。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绩效目标申报表、支付指令、合同、财务凭证</w:t>
            </w:r>
          </w:p>
        </w:tc>
      </w:tr>
      <w:tr>
        <w:tblPrEx>
          <w:tblCellMar>
            <w:top w:w="0" w:type="dxa"/>
            <w:left w:w="108" w:type="dxa"/>
            <w:bottom w:w="0" w:type="dxa"/>
            <w:right w:w="108" w:type="dxa"/>
          </w:tblCellMar>
        </w:tblPrEx>
        <w:trPr>
          <w:trHeight w:val="97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B2.财务管理（6%）</w:t>
            </w: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B21.资金使用情况</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考察项目资金使用是否符合预算批复的用途，是否存在截留、挤占、挪用、虚列支出等情况。</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合规，得满分；存在一项不合规，扣1分，扣完为止。</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绩效目标申报表、支付指令，合同、财务凭证</w:t>
            </w:r>
          </w:p>
        </w:tc>
      </w:tr>
      <w:tr>
        <w:tblPrEx>
          <w:tblCellMar>
            <w:top w:w="0" w:type="dxa"/>
            <w:left w:w="108" w:type="dxa"/>
            <w:bottom w:w="0" w:type="dxa"/>
            <w:right w:w="108" w:type="dxa"/>
          </w:tblCellMar>
        </w:tblPrEx>
        <w:trPr>
          <w:trHeight w:val="228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B22.财务管理制度健全性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　</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考察项目的财务制度是否健全、完善、有效。</w:t>
            </w:r>
          </w:p>
        </w:tc>
        <w:tc>
          <w:tcPr>
            <w:tcW w:w="1975" w:type="dxa"/>
            <w:tcBorders>
              <w:top w:val="nil"/>
              <w:left w:val="nil"/>
              <w:bottom w:val="single" w:color="auto" w:sz="4" w:space="0"/>
              <w:right w:val="single" w:color="auto" w:sz="4" w:space="0"/>
            </w:tcBorders>
            <w:shd w:val="clear" w:color="auto" w:fill="auto"/>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a.是否已制定或具有相应的财务管理办法；                         b.项目财务管理办法是否符合相关财务会计制度的规定；                                              c.是否存在需要完善的风险控制环节。                            符合所有条件，得满分； 一项不符合，扣0.5分，扣完为止。</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财务管理制度</w:t>
            </w:r>
          </w:p>
        </w:tc>
      </w:tr>
      <w:tr>
        <w:tblPrEx>
          <w:tblCellMar>
            <w:top w:w="0" w:type="dxa"/>
            <w:left w:w="108" w:type="dxa"/>
            <w:bottom w:w="0" w:type="dxa"/>
            <w:right w:w="108" w:type="dxa"/>
          </w:tblCellMar>
        </w:tblPrEx>
        <w:trPr>
          <w:trHeight w:val="75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B23.财务监控有效性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B231.资金拨付程序完整性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考察资金拨付是否具有完整的审批程序和手续，是否符合相关制度规定。</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资金拨付申请、审批手续完整，得满分；存在一例手续不完整，不得分。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支付申请单、支付指令</w:t>
            </w:r>
          </w:p>
        </w:tc>
      </w:tr>
      <w:tr>
        <w:tblPrEx>
          <w:tblCellMar>
            <w:top w:w="0" w:type="dxa"/>
            <w:left w:w="108" w:type="dxa"/>
            <w:bottom w:w="0" w:type="dxa"/>
            <w:right w:w="108" w:type="dxa"/>
          </w:tblCellMar>
        </w:tblPrEx>
        <w:trPr>
          <w:trHeight w:val="75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B232财务制度执行有效性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2</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考察是否存在违反相关财务管理制度的情况。</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不存在，得满分；存在1例，不得分。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财务管理制度、访谈、会计凭证</w:t>
            </w:r>
          </w:p>
        </w:tc>
      </w:tr>
      <w:tr>
        <w:tblPrEx>
          <w:tblCellMar>
            <w:top w:w="0" w:type="dxa"/>
            <w:left w:w="108" w:type="dxa"/>
            <w:bottom w:w="0" w:type="dxa"/>
            <w:right w:w="108" w:type="dxa"/>
          </w:tblCellMar>
        </w:tblPrEx>
        <w:trPr>
          <w:trHeight w:val="120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B3.项目实施（10%）</w:t>
            </w:r>
          </w:p>
        </w:tc>
        <w:tc>
          <w:tcPr>
            <w:tcW w:w="11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B31.项目管理制度健全性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B311.项目实施单位管理制度健全性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项目实施单位为保障项目顺利实施制订的与项目直接相关的业务管理制度是否健全、完善和有效。</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制订相关制度或采取措施，得满分；制度不完善或者措施不明确，得权重的60%；没有相关制度或措施，不得分。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项目实施单位管理制度、访谈、现场调查</w:t>
            </w:r>
          </w:p>
        </w:tc>
      </w:tr>
      <w:tr>
        <w:tblPrEx>
          <w:tblCellMar>
            <w:top w:w="0" w:type="dxa"/>
            <w:left w:w="108" w:type="dxa"/>
            <w:bottom w:w="0" w:type="dxa"/>
            <w:right w:w="108" w:type="dxa"/>
          </w:tblCellMar>
        </w:tblPrEx>
        <w:trPr>
          <w:trHeight w:val="97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B312.管理方监管措施健全性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考察项目主管部门为保障项目顺利实施采取的监管措施是否明确，是否存在需要完善的风险控制环节。</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监管措施明确、完善，得满分；每存在一项需要完善的风险控制点，扣权重的30%，扣完为止。</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管理制度、访谈、现场调查</w:t>
            </w:r>
          </w:p>
        </w:tc>
      </w:tr>
      <w:tr>
        <w:tblPrEx>
          <w:tblCellMar>
            <w:top w:w="0" w:type="dxa"/>
            <w:left w:w="108" w:type="dxa"/>
            <w:bottom w:w="0" w:type="dxa"/>
            <w:right w:w="108" w:type="dxa"/>
          </w:tblCellMar>
        </w:tblPrEx>
        <w:trPr>
          <w:trHeight w:val="88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B32.项目管理制度执行有效性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B321.项目实施单位管理制度执行情况</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考察项目实施单位制订的管理制度是否有效执行。</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项目实施单位管理制度、现场调查</w:t>
            </w:r>
          </w:p>
        </w:tc>
      </w:tr>
      <w:tr>
        <w:tblPrEx>
          <w:tblCellMar>
            <w:top w:w="0" w:type="dxa"/>
            <w:left w:w="108" w:type="dxa"/>
            <w:bottom w:w="0" w:type="dxa"/>
            <w:right w:w="108" w:type="dxa"/>
          </w:tblCellMar>
        </w:tblPrEx>
        <w:trPr>
          <w:trHeight w:val="94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B322.监管措施执行情况</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1</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项目主管部门所制订的监管措施是否有效执行。</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管理制度、现场调查</w:t>
            </w:r>
          </w:p>
        </w:tc>
      </w:tr>
      <w:tr>
        <w:tblPrEx>
          <w:tblCellMar>
            <w:top w:w="0" w:type="dxa"/>
            <w:left w:w="108" w:type="dxa"/>
            <w:bottom w:w="0" w:type="dxa"/>
            <w:right w:w="108" w:type="dxa"/>
          </w:tblCellMar>
        </w:tblPrEx>
        <w:trPr>
          <w:trHeight w:val="885"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B323.合同执行情况</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2</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考察与项目相关的合同是否有效执行。</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有效执行，得满分；部分执行，得权重的60%；未执行，不得分。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合同、现场调查</w:t>
            </w:r>
          </w:p>
        </w:tc>
      </w:tr>
      <w:tr>
        <w:tblPrEx>
          <w:tblCellMar>
            <w:top w:w="0" w:type="dxa"/>
            <w:left w:w="108" w:type="dxa"/>
            <w:bottom w:w="0" w:type="dxa"/>
            <w:right w:w="108" w:type="dxa"/>
          </w:tblCellMar>
        </w:tblPrEx>
        <w:trPr>
          <w:trHeight w:val="78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B324.台账记录规范性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考察项目实施过程中的相关台账记录是否完整，并符合要求。</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规范，得满分；部分规范，得权重的60%；不规范，不得分。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台账记录</w:t>
            </w:r>
          </w:p>
        </w:tc>
      </w:tr>
      <w:tr>
        <w:tblPrEx>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B33.政府采购规范性</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B331.采购方式合规性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　1</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考察采购方式是否符合中央、省、市、区的相关要求。</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符合相关要求，得满分；一项不符合，不得分。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政府采购相关材料</w:t>
            </w:r>
          </w:p>
        </w:tc>
      </w:tr>
      <w:tr>
        <w:tblPrEx>
          <w:tblCellMar>
            <w:top w:w="0" w:type="dxa"/>
            <w:left w:w="108" w:type="dxa"/>
            <w:bottom w:w="0" w:type="dxa"/>
            <w:right w:w="108" w:type="dxa"/>
          </w:tblCellMar>
        </w:tblPrEx>
        <w:trPr>
          <w:trHeight w:val="540" w:hRule="atLeast"/>
        </w:trPr>
        <w:tc>
          <w:tcPr>
            <w:tcW w:w="846"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B332.采购流程规范性</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考察采购流程是否符合相关规定。</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符合相关要求，得满分；一项不符合，不得分。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政府采购相关材料</w:t>
            </w:r>
          </w:p>
        </w:tc>
      </w:tr>
      <w:tr>
        <w:tblPrEx>
          <w:tblCellMar>
            <w:top w:w="0" w:type="dxa"/>
            <w:left w:w="108" w:type="dxa"/>
            <w:bottom w:w="0" w:type="dxa"/>
            <w:right w:w="108" w:type="dxa"/>
          </w:tblCellMar>
        </w:tblPrEx>
        <w:trPr>
          <w:trHeight w:val="1200" w:hRule="atLeast"/>
        </w:trPr>
        <w:tc>
          <w:tcPr>
            <w:tcW w:w="846" w:type="dxa"/>
            <w:vMerge w:val="restart"/>
            <w:tcBorders>
              <w:top w:val="nil"/>
              <w:left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C.不动产交易税收登记服务大厅租金专项经费绩效（60%）</w:t>
            </w:r>
          </w:p>
        </w:tc>
        <w:tc>
          <w:tcPr>
            <w:tcW w:w="971"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C1.项目产出（30%）（说明：该指标主要反映部门（单位）项目工作任务的完成情况。三、四级指标以各部门（单位）在绩效自评工作中要结合项目特征设置个性化的三、四级指标。）</w:t>
            </w:r>
          </w:p>
        </w:tc>
        <w:tc>
          <w:tcPr>
            <w:tcW w:w="1143"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C11.不动产交易税收登记服务大厅租金专项经费</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C111.成本指标</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不动产交易登记税收服务大厅房屋租金196万元</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是否按相关依据标准做预算经费。</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年初预算项目标申报表、立项申请、批复文件、区政府相关规划、决策、批复</w:t>
            </w:r>
          </w:p>
        </w:tc>
      </w:tr>
      <w:tr>
        <w:tblPrEx>
          <w:tblCellMar>
            <w:top w:w="0" w:type="dxa"/>
            <w:left w:w="108" w:type="dxa"/>
            <w:bottom w:w="0" w:type="dxa"/>
            <w:right w:w="108" w:type="dxa"/>
          </w:tblCellMar>
        </w:tblPrEx>
        <w:trPr>
          <w:trHeight w:val="825" w:hRule="atLeast"/>
        </w:trPr>
        <w:tc>
          <w:tcPr>
            <w:tcW w:w="846" w:type="dxa"/>
            <w:vMerge w:val="continue"/>
            <w:tcBorders>
              <w:left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C112.时效指标</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2021年按支付完成</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按合同按时支付，存在一次未及时处理的，扣权重的10%，扣完为止。</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合同金额及支付时间</w:t>
            </w:r>
          </w:p>
        </w:tc>
      </w:tr>
      <w:tr>
        <w:tblPrEx>
          <w:tblCellMar>
            <w:top w:w="0" w:type="dxa"/>
            <w:left w:w="108" w:type="dxa"/>
            <w:bottom w:w="0" w:type="dxa"/>
            <w:right w:w="108" w:type="dxa"/>
          </w:tblCellMar>
        </w:tblPrEx>
        <w:trPr>
          <w:trHeight w:val="840" w:hRule="atLeast"/>
        </w:trPr>
        <w:tc>
          <w:tcPr>
            <w:tcW w:w="846" w:type="dxa"/>
            <w:vMerge w:val="continue"/>
            <w:tcBorders>
              <w:left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971"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143" w:type="dxa"/>
            <w:vMerge w:val="continue"/>
            <w:tcBorders>
              <w:top w:val="nil"/>
              <w:left w:val="single" w:color="auto" w:sz="4" w:space="0"/>
              <w:bottom w:val="single" w:color="000000" w:sz="4" w:space="0"/>
              <w:right w:val="single" w:color="auto" w:sz="4" w:space="0"/>
            </w:tcBorders>
            <w:vAlign w:val="center"/>
          </w:tcPr>
          <w:p>
            <w:pPr>
              <w:widowControl/>
              <w:jc w:val="left"/>
              <w:rPr>
                <w:rFonts w:ascii="宋体" w:hAnsi="宋体" w:cs="宋体"/>
                <w:color w:val="000000"/>
                <w:kern w:val="0"/>
                <w:sz w:val="18"/>
                <w:szCs w:val="18"/>
              </w:rPr>
            </w:pP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C113.数量指标</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10　</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不动产交易税收登记服务大厅租金专项经费是否按合同金额及时支付。</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全部合格，得满分；存在一次超标，扣权重的10%，扣完为止。</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年底决算表支出数</w:t>
            </w:r>
          </w:p>
        </w:tc>
      </w:tr>
      <w:tr>
        <w:tblPrEx>
          <w:tblCellMar>
            <w:top w:w="0" w:type="dxa"/>
            <w:left w:w="108" w:type="dxa"/>
            <w:bottom w:w="0" w:type="dxa"/>
            <w:right w:w="108" w:type="dxa"/>
          </w:tblCellMar>
        </w:tblPrEx>
        <w:trPr>
          <w:trHeight w:val="2715" w:hRule="atLeast"/>
        </w:trPr>
        <w:tc>
          <w:tcPr>
            <w:tcW w:w="846" w:type="dxa"/>
            <w:vMerge w:val="continue"/>
            <w:tcBorders>
              <w:left w:val="single" w:color="auto" w:sz="4" w:space="0"/>
              <w:right w:val="single" w:color="auto" w:sz="4" w:space="0"/>
            </w:tcBorders>
            <w:vAlign w:val="center"/>
          </w:tcPr>
          <w:p>
            <w:pPr>
              <w:widowControl/>
              <w:jc w:val="left"/>
              <w:rPr>
                <w:rFonts w:ascii="宋体" w:hAnsi="宋体" w:cs="宋体"/>
                <w:color w:val="000000"/>
                <w:kern w:val="0"/>
                <w:sz w:val="18"/>
                <w:szCs w:val="18"/>
              </w:rPr>
            </w:pPr>
          </w:p>
        </w:tc>
        <w:tc>
          <w:tcPr>
            <w:tcW w:w="971" w:type="dxa"/>
            <w:tcBorders>
              <w:top w:val="nil"/>
              <w:left w:val="single" w:color="auto" w:sz="4" w:space="0"/>
              <w:bottom w:val="single" w:color="000000"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项目效益（20%）（说明：该指标主要反映部门（单位）项目的实施效果。三、四级指标以XX年度污泥厂经费支出绩效评价为例设置，供各部门（单位）参考。各部门（单位）在绩效自评工作中要结合项目特征设置个性化的三、四级指标。）</w:t>
            </w: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C21.社会效益</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C211.社会效益指标</w:t>
            </w:r>
          </w:p>
        </w:tc>
        <w:tc>
          <w:tcPr>
            <w:tcW w:w="59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s="宋体"/>
                <w:color w:val="000000"/>
                <w:kern w:val="0"/>
                <w:sz w:val="18"/>
                <w:szCs w:val="18"/>
              </w:rPr>
              <w:t>20</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实现便民，利民，增加盘龙区税收</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及时提供企业及群众需求，得满分；存在一次不能满足的情况，扣权重的30%，扣完为止。</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相关支付完成台账</w:t>
            </w:r>
          </w:p>
        </w:tc>
      </w:tr>
      <w:tr>
        <w:tblPrEx>
          <w:tblCellMar>
            <w:top w:w="0" w:type="dxa"/>
            <w:left w:w="108" w:type="dxa"/>
            <w:bottom w:w="0" w:type="dxa"/>
            <w:right w:w="108" w:type="dxa"/>
          </w:tblCellMar>
        </w:tblPrEx>
        <w:trPr>
          <w:trHeight w:val="540" w:hRule="atLeast"/>
        </w:trPr>
        <w:tc>
          <w:tcPr>
            <w:tcW w:w="846" w:type="dxa"/>
            <w:vMerge w:val="continue"/>
            <w:tcBorders>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p>
        </w:tc>
        <w:tc>
          <w:tcPr>
            <w:tcW w:w="97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C3.项目满意度（10%）</w:t>
            </w: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ascii="宋体" w:hAnsi="宋体" w:cs="宋体"/>
                <w:color w:val="000000"/>
                <w:kern w:val="0"/>
                <w:sz w:val="18"/>
                <w:szCs w:val="18"/>
              </w:rPr>
              <w:t>C3</w:t>
            </w:r>
            <w:r>
              <w:rPr>
                <w:rFonts w:hint="eastAsia" w:ascii="宋体" w:hAnsi="宋体" w:cs="宋体"/>
                <w:color w:val="000000"/>
                <w:kern w:val="0"/>
                <w:sz w:val="18"/>
                <w:szCs w:val="18"/>
              </w:rPr>
              <w:t>1.服务对象的满意度</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ascii="宋体" w:hAnsi="宋体" w:cs="宋体"/>
                <w:color w:val="000000"/>
                <w:kern w:val="0"/>
                <w:sz w:val="18"/>
                <w:szCs w:val="18"/>
              </w:rPr>
              <w:t>C31</w:t>
            </w:r>
            <w:r>
              <w:rPr>
                <w:rFonts w:hint="eastAsia" w:ascii="宋体" w:hAnsi="宋体" w:cs="宋体"/>
                <w:color w:val="000000"/>
                <w:kern w:val="0"/>
                <w:sz w:val="18"/>
                <w:szCs w:val="18"/>
              </w:rPr>
              <w:t>1.群众满意度</w:t>
            </w:r>
          </w:p>
        </w:tc>
        <w:tc>
          <w:tcPr>
            <w:tcW w:w="59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10</w:t>
            </w:r>
          </w:p>
        </w:tc>
        <w:tc>
          <w:tcPr>
            <w:tcW w:w="709"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10</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评价记录本测评群众满意程度</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该指标权重10分，根据群众反馈情况评分。</w:t>
            </w:r>
          </w:p>
          <w:p>
            <w:pPr>
              <w:widowControl/>
              <w:jc w:val="left"/>
              <w:rPr>
                <w:rFonts w:ascii="宋体" w:hAnsi="宋体" w:cs="宋体"/>
                <w:color w:val="000000"/>
                <w:kern w:val="0"/>
                <w:sz w:val="18"/>
                <w:szCs w:val="18"/>
              </w:rPr>
            </w:pPr>
            <w:r>
              <w:rPr>
                <w:rFonts w:hint="eastAsia" w:ascii="宋体" w:hAnsi="宋体" w:cs="宋体"/>
                <w:color w:val="000000"/>
                <w:kern w:val="0"/>
                <w:sz w:val="18"/>
                <w:szCs w:val="18"/>
              </w:rPr>
              <w:t>①满意度≥90%得10分；</w:t>
            </w:r>
          </w:p>
          <w:p>
            <w:pPr>
              <w:widowControl/>
              <w:jc w:val="left"/>
              <w:rPr>
                <w:rFonts w:ascii="宋体" w:hAnsi="宋体" w:cs="宋体"/>
                <w:color w:val="000000"/>
                <w:kern w:val="0"/>
                <w:sz w:val="18"/>
                <w:szCs w:val="18"/>
              </w:rPr>
            </w:pPr>
            <w:r>
              <w:rPr>
                <w:rFonts w:hint="eastAsia" w:ascii="宋体" w:hAnsi="宋体" w:cs="宋体"/>
                <w:color w:val="000000"/>
                <w:kern w:val="0"/>
                <w:sz w:val="18"/>
                <w:szCs w:val="18"/>
              </w:rPr>
              <w:t>②90%＞满意度≥80%得8分</w:t>
            </w:r>
          </w:p>
          <w:p>
            <w:pPr>
              <w:widowControl/>
              <w:jc w:val="left"/>
              <w:rPr>
                <w:rFonts w:ascii="宋体" w:hAnsi="宋体" w:cs="宋体"/>
                <w:color w:val="000000"/>
                <w:kern w:val="0"/>
                <w:sz w:val="18"/>
                <w:szCs w:val="18"/>
              </w:rPr>
            </w:pPr>
            <w:r>
              <w:rPr>
                <w:rFonts w:hint="eastAsia" w:ascii="宋体" w:hAnsi="宋体" w:cs="宋体"/>
                <w:color w:val="000000"/>
                <w:kern w:val="0"/>
                <w:sz w:val="18"/>
                <w:szCs w:val="18"/>
              </w:rPr>
              <w:t>③80%＞满意度≥70%得6分；</w:t>
            </w:r>
          </w:p>
          <w:p>
            <w:pPr>
              <w:widowControl/>
              <w:jc w:val="left"/>
              <w:rPr>
                <w:rFonts w:ascii="宋体" w:hAnsi="宋体" w:cs="宋体"/>
                <w:color w:val="000000"/>
                <w:kern w:val="0"/>
                <w:sz w:val="18"/>
                <w:szCs w:val="18"/>
              </w:rPr>
            </w:pPr>
            <w:r>
              <w:rPr>
                <w:rFonts w:hint="eastAsia" w:ascii="宋体" w:hAnsi="宋体" w:cs="宋体"/>
                <w:color w:val="000000"/>
                <w:kern w:val="0"/>
                <w:sz w:val="18"/>
                <w:szCs w:val="18"/>
              </w:rPr>
              <w:t>④70%＞满意度≥60%得3分；</w:t>
            </w:r>
          </w:p>
          <w:p>
            <w:pPr>
              <w:widowControl/>
              <w:jc w:val="left"/>
              <w:rPr>
                <w:rFonts w:ascii="宋体" w:hAnsi="宋体" w:cs="宋体"/>
                <w:color w:val="000000"/>
                <w:kern w:val="0"/>
                <w:sz w:val="18"/>
                <w:szCs w:val="18"/>
              </w:rPr>
            </w:pPr>
            <w:r>
              <w:rPr>
                <w:rFonts w:hint="eastAsia" w:ascii="宋体" w:hAnsi="宋体" w:cs="宋体"/>
                <w:color w:val="000000"/>
                <w:kern w:val="0"/>
                <w:sz w:val="18"/>
                <w:szCs w:val="18"/>
              </w:rPr>
              <w:t>⑤满意度&lt;60%得0分;</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 w:val="18"/>
                <w:szCs w:val="18"/>
              </w:rPr>
            </w:pPr>
            <w:r>
              <w:rPr>
                <w:rFonts w:hint="eastAsia" w:ascii="宋体" w:hAnsi="宋体" w:cs="宋体"/>
                <w:color w:val="000000"/>
                <w:kern w:val="0"/>
                <w:sz w:val="18"/>
                <w:szCs w:val="18"/>
              </w:rPr>
              <w:t>评价记录本测评结果</w:t>
            </w:r>
          </w:p>
        </w:tc>
      </w:tr>
      <w:tr>
        <w:tblPrEx>
          <w:tblCellMar>
            <w:top w:w="0" w:type="dxa"/>
            <w:left w:w="108" w:type="dxa"/>
            <w:bottom w:w="0" w:type="dxa"/>
            <w:right w:w="108" w:type="dxa"/>
          </w:tblCellMar>
        </w:tblPrEx>
        <w:trPr>
          <w:trHeight w:val="540" w:hRule="atLeast"/>
        </w:trPr>
        <w:tc>
          <w:tcPr>
            <w:tcW w:w="846"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合计</w:t>
            </w:r>
          </w:p>
        </w:tc>
        <w:tc>
          <w:tcPr>
            <w:tcW w:w="97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100%</w:t>
            </w:r>
          </w:p>
        </w:tc>
        <w:tc>
          <w:tcPr>
            <w:tcW w:w="114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091"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59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100分</w:t>
            </w:r>
          </w:p>
        </w:tc>
        <w:tc>
          <w:tcPr>
            <w:tcW w:w="709"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100分</w:t>
            </w:r>
          </w:p>
        </w:tc>
        <w:tc>
          <w:tcPr>
            <w:tcW w:w="1866"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975"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c>
          <w:tcPr>
            <w:tcW w:w="1218"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b/>
                <w:bCs/>
                <w:color w:val="000000"/>
                <w:kern w:val="0"/>
                <w:sz w:val="18"/>
                <w:szCs w:val="18"/>
              </w:rPr>
            </w:pPr>
            <w:r>
              <w:rPr>
                <w:rFonts w:hint="eastAsia" w:ascii="宋体" w:hAnsi="宋体" w:cs="宋体"/>
                <w:b/>
                <w:bCs/>
                <w:color w:val="000000"/>
                <w:kern w:val="0"/>
                <w:sz w:val="18"/>
                <w:szCs w:val="18"/>
              </w:rPr>
              <w:t>　</w:t>
            </w:r>
          </w:p>
        </w:tc>
      </w:tr>
    </w:tbl>
    <w:p/>
    <w:p>
      <w:pPr>
        <w:rPr>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3YWRkZmU5OTJhNGQyMDFmYzgxYmU0MjIxODYxNTUifQ=="/>
  </w:docVars>
  <w:rsids>
    <w:rsidRoot w:val="003D1C81"/>
    <w:rsid w:val="000353B6"/>
    <w:rsid w:val="000602F8"/>
    <w:rsid w:val="000A294F"/>
    <w:rsid w:val="0018648F"/>
    <w:rsid w:val="002D695D"/>
    <w:rsid w:val="002F7AEF"/>
    <w:rsid w:val="00356951"/>
    <w:rsid w:val="00376003"/>
    <w:rsid w:val="003A3750"/>
    <w:rsid w:val="003B574E"/>
    <w:rsid w:val="003D1C81"/>
    <w:rsid w:val="0046791A"/>
    <w:rsid w:val="00494DBA"/>
    <w:rsid w:val="004D0A06"/>
    <w:rsid w:val="00516B9A"/>
    <w:rsid w:val="005E1F38"/>
    <w:rsid w:val="00634E86"/>
    <w:rsid w:val="006435A0"/>
    <w:rsid w:val="006A3081"/>
    <w:rsid w:val="006B5D37"/>
    <w:rsid w:val="006C77AA"/>
    <w:rsid w:val="007A369F"/>
    <w:rsid w:val="008571AE"/>
    <w:rsid w:val="00892E9B"/>
    <w:rsid w:val="00893C6A"/>
    <w:rsid w:val="008A4F6F"/>
    <w:rsid w:val="00952A3A"/>
    <w:rsid w:val="009A5A75"/>
    <w:rsid w:val="009F6584"/>
    <w:rsid w:val="009F6BA0"/>
    <w:rsid w:val="00A607BB"/>
    <w:rsid w:val="00AA0A5C"/>
    <w:rsid w:val="00AC1BCF"/>
    <w:rsid w:val="00B40D90"/>
    <w:rsid w:val="00BB08B0"/>
    <w:rsid w:val="00BB42A4"/>
    <w:rsid w:val="00CF68D5"/>
    <w:rsid w:val="00D11C5C"/>
    <w:rsid w:val="00D87242"/>
    <w:rsid w:val="00E53225"/>
    <w:rsid w:val="00E9774B"/>
    <w:rsid w:val="00EC58B1"/>
    <w:rsid w:val="00F32C6F"/>
    <w:rsid w:val="01CA13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link w:val="8"/>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6"/>
    <w:link w:val="4"/>
    <w:uiPriority w:val="99"/>
    <w:rPr>
      <w:sz w:val="18"/>
      <w:szCs w:val="18"/>
    </w:rPr>
  </w:style>
  <w:style w:type="character" w:customStyle="1" w:styleId="8">
    <w:name w:val="页脚 Char"/>
    <w:basedOn w:val="6"/>
    <w:link w:val="3"/>
    <w:uiPriority w:val="99"/>
    <w:rPr>
      <w:sz w:val="18"/>
      <w:szCs w:val="18"/>
    </w:rPr>
  </w:style>
  <w:style w:type="paragraph" w:customStyle="1" w:styleId="9">
    <w:name w:val="TOC 标题1"/>
    <w:basedOn w:val="2"/>
    <w:next w:val="1"/>
    <w:uiPriority w:val="99"/>
    <w:pPr>
      <w:widowControl/>
      <w:spacing w:before="480" w:after="0" w:line="276" w:lineRule="auto"/>
      <w:jc w:val="left"/>
      <w:outlineLvl w:val="9"/>
    </w:pPr>
    <w:rPr>
      <w:rFonts w:ascii="Cambria" w:hAnsi="Cambria" w:cs="Cambria"/>
      <w:color w:val="365F91"/>
      <w:kern w:val="0"/>
      <w:sz w:val="28"/>
      <w:szCs w:val="28"/>
      <w:lang w:val="zh-CN" w:eastAsia="zh-CN"/>
    </w:rPr>
  </w:style>
  <w:style w:type="paragraph" w:customStyle="1" w:styleId="10">
    <w:name w:val="正文 A"/>
    <w:uiPriority w:val="99"/>
    <w:pPr>
      <w:spacing w:after="200" w:line="276" w:lineRule="auto"/>
    </w:pPr>
    <w:rPr>
      <w:rFonts w:ascii="Calibri" w:hAnsi="Calibri" w:eastAsia="宋体" w:cs="Calibri"/>
      <w:color w:val="000000"/>
      <w:kern w:val="0"/>
      <w:sz w:val="22"/>
      <w:szCs w:val="22"/>
      <w:u w:color="000000"/>
      <w:lang w:val="en-US" w:eastAsia="zh-CN" w:bidi="ar-SA"/>
    </w:rPr>
  </w:style>
  <w:style w:type="character" w:customStyle="1" w:styleId="11">
    <w:name w:val="标题 1 Char"/>
    <w:basedOn w:val="6"/>
    <w:link w:val="2"/>
    <w:uiPriority w:val="9"/>
    <w:rPr>
      <w:rFonts w:ascii="Calibri" w:hAnsi="Calibri" w:eastAsia="宋体" w:cs="Times New Roman"/>
      <w:b/>
      <w:bCs/>
      <w:kern w:val="44"/>
      <w:sz w:val="44"/>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5869</Words>
  <Characters>6205</Characters>
  <Lines>49</Lines>
  <Paragraphs>13</Paragraphs>
  <TotalTime>849</TotalTime>
  <ScaleCrop>false</ScaleCrop>
  <LinksUpToDate>false</LinksUpToDate>
  <CharactersWithSpaces>6422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2022-04-19T05:33:00Z</dcterms:created>
  <dc:creator>jsp</dc:creator>
  <cp:lastModifiedBy>岂曰无衣</cp:lastModifiedBy>
  <dcterms:modified xsi:type="dcterms:W3CDTF">2023-09-06T08:09:40Z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64FAA4C5303542179B147DD9F2153F52_12</vt:lpwstr>
  </property>
</Properties>
</file>