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sz w:val="52"/>
          <w:szCs w:val="52"/>
        </w:rPr>
      </w:pPr>
      <w:r>
        <w:rPr>
          <w:rFonts w:hint="eastAsia" w:ascii="黑体" w:hAnsi="黑体" w:eastAsia="黑体" w:cs="黑体"/>
          <w:bCs/>
          <w:sz w:val="52"/>
          <w:szCs w:val="52"/>
        </w:rPr>
        <w:t>不动产交易税收登记服务大厅租金专项经费项目支出绩效自评报告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（2022年度）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firstLine="964" w:firstLineChars="300"/>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0288" behindDoc="0" locked="0" layoutInCell="1" allowOverlap="1">
                <wp:simplePos x="0" y="0"/>
                <wp:positionH relativeFrom="column">
                  <wp:posOffset>2251710</wp:posOffset>
                </wp:positionH>
                <wp:positionV relativeFrom="paragraph">
                  <wp:posOffset>251460</wp:posOffset>
                </wp:positionV>
                <wp:extent cx="2314575" cy="0"/>
                <wp:effectExtent l="0" t="0" r="0" b="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31457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77.3pt;margin-top:19.8pt;height:0pt;width:182.25pt;z-index:251660288;mso-width-relative:page;mso-height-relative:page;" filled="f" stroked="t" coordsize="21600,21600" o:gfxdata="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xqU6zWAAAACQEAAA8AAAAAAAAAAQAgAAAAIgAAAGRycy9kb3ducmV2LnhtbFBLAQIU&#10;ABQAAAAIAIdO4kC7bI8p9QEAAL4DAAAOAAAAAAAAAAEAIAAAACU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部门名称（公章）：盘龙区政务服务管理局</w:t>
      </w:r>
    </w:p>
    <w:p>
      <w:pPr>
        <w:adjustRightInd w:val="0"/>
        <w:snapToGrid w:val="0"/>
        <w:spacing w:line="360" w:lineRule="auto"/>
        <w:ind w:firstLine="964" w:firstLineChars="300"/>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1312" behindDoc="0" locked="0" layoutInCell="1" allowOverlap="1">
                <wp:simplePos x="0" y="0"/>
                <wp:positionH relativeFrom="column">
                  <wp:posOffset>1571625</wp:posOffset>
                </wp:positionH>
                <wp:positionV relativeFrom="paragraph">
                  <wp:posOffset>250190</wp:posOffset>
                </wp:positionV>
                <wp:extent cx="2956560" cy="6350"/>
                <wp:effectExtent l="0" t="0" r="0" b="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956560" cy="635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23.75pt;margin-top:19.7pt;height:0.5pt;width:232.8pt;z-index:251661312;mso-width-relative:page;mso-height-relative:page;" filled="f" stroked="t" coordsize="21600,21600" o:gfxdata="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Rzr4dkAAAAJAQAADwAAAAAAAAABACAAAAAiAAAAZHJzL2Rvd25yZXYu&#10;eG1sUEsBAhQAFAAAAAgAh07iQDnvup36AQAAwQMAAA4AAAAAAAAAAQAgAAAAKA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项目单位：盘龙区政务服务管理局</w:t>
      </w:r>
    </w:p>
    <w:p>
      <w:pPr>
        <w:adjustRightInd w:val="0"/>
        <w:snapToGrid w:val="0"/>
        <w:spacing w:line="360" w:lineRule="auto"/>
        <w:ind w:firstLine="964" w:firstLineChars="300"/>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2336" behindDoc="0" locked="0" layoutInCell="1" allowOverlap="1">
                <wp:simplePos x="0" y="0"/>
                <wp:positionH relativeFrom="column">
                  <wp:posOffset>1571625</wp:posOffset>
                </wp:positionH>
                <wp:positionV relativeFrom="paragraph">
                  <wp:posOffset>232410</wp:posOffset>
                </wp:positionV>
                <wp:extent cx="2947035" cy="15240"/>
                <wp:effectExtent l="0" t="4445" r="5715" b="889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flipV="1">
                          <a:off x="0" y="0"/>
                          <a:ext cx="2947035" cy="1524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flip:y;margin-left:123.75pt;margin-top:18.3pt;height:1.2pt;width:232.05pt;z-index:251662336;mso-width-relative:page;mso-height-relative:page;" filled="f" stroked="t" coordsize="21600,21600" o:gfxdata="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PkY57XAAAACQEAAA8AAAAAAAAAAQAgAAAAIgAAAGRycy9kb3du&#10;cmV2LnhtbFBLAQIUABQAAAAIAIdO4kC71o3NAAIAAMwDAAAOAAAAAAAAAAEAIAAAACYBAABkcnMv&#10;ZTJvRG9jLnhtbFBLBQYAAAAABgAGAFkBAACYBQ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主管部门：盘龙区政务服务管理局</w:t>
      </w:r>
    </w:p>
    <w:p>
      <w:pPr>
        <w:adjustRightInd w:val="0"/>
        <w:snapToGrid w:val="0"/>
        <w:spacing w:line="360" w:lineRule="auto"/>
        <w:ind w:firstLine="964" w:firstLineChars="300"/>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3360" behindDoc="0" locked="0" layoutInCell="1" allowOverlap="1">
                <wp:simplePos x="0" y="0"/>
                <wp:positionH relativeFrom="column">
                  <wp:posOffset>1581150</wp:posOffset>
                </wp:positionH>
                <wp:positionV relativeFrom="paragraph">
                  <wp:posOffset>238125</wp:posOffset>
                </wp:positionV>
                <wp:extent cx="3613785" cy="8890"/>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3613785" cy="889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24.5pt;margin-top:18.75pt;height:0.7pt;width:284.55pt;z-index:251663360;mso-width-relative:page;mso-height-relative:page;" filled="f" stroked="t" coordsize="21600,21600" o:gfxdata="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9jW82AAAAAkBAAAPAAAAAAAAAAEAIAAAACIAAABkcnMvZG93bnJldi54&#10;bWxQSwECFAAUAAAACACHTuJAlfdeH/oBAADBAwAADgAAAAAAAAABACAAAAAnAQAAZHJzL2Uyb0Rv&#10;Yy54bWxQSwUGAAAAAAYABgBZAQAAkw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项目名称：</w:t>
      </w:r>
      <w:r>
        <w:rPr>
          <w:rFonts w:hint="eastAsia" w:ascii="Times New Roman" w:hAnsi="Times New Roman" w:eastAsia="黑体" w:cs="黑体"/>
          <w:b/>
          <w:bCs/>
          <w:w w:val="90"/>
          <w:sz w:val="32"/>
          <w:szCs w:val="32"/>
        </w:rPr>
        <w:t>不动产交易税收登记服务大厅租金专项经费</w:t>
      </w:r>
    </w:p>
    <w:p>
      <w:pPr>
        <w:adjustRightInd w:val="0"/>
        <w:snapToGrid w:val="0"/>
        <w:spacing w:line="360" w:lineRule="auto"/>
        <w:ind w:firstLine="964" w:firstLineChars="300"/>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4384" behindDoc="0" locked="0" layoutInCell="1" allowOverlap="1">
                <wp:simplePos x="0" y="0"/>
                <wp:positionH relativeFrom="column">
                  <wp:posOffset>1933575</wp:posOffset>
                </wp:positionH>
                <wp:positionV relativeFrom="paragraph">
                  <wp:posOffset>222885</wp:posOffset>
                </wp:positionV>
                <wp:extent cx="2613660" cy="15240"/>
                <wp:effectExtent l="0" t="4445" r="15240" b="889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flipV="1">
                          <a:off x="0" y="0"/>
                          <a:ext cx="2613660" cy="1524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flip:y;margin-left:152.25pt;margin-top:17.55pt;height:1.2pt;width:205.8pt;z-index:251664384;mso-width-relative:page;mso-height-relative:page;" filled="f" stroked="t" coordsize="21600,21600" o:gfxdata="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5b5G9YAAAAJAQAADwAAAAAAAAABACAAAAAiAAAAZHJzL2Rvd25y&#10;ZXYueG1sUEsBAhQAFAAAAAgAh07iQA7rAvgAAgAAzAMAAA4AAAAAAAAAAQAgAAAAJQEAAGRycy9l&#10;Mm9Eb2MueG1sUEsFBgAAAAAGAAYAWQEAAJc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绩效自评日期：</w:t>
      </w:r>
      <w:r>
        <w:rPr>
          <w:rFonts w:ascii="Times New Roman" w:hAnsi="Times New Roman" w:eastAsia="黑体"/>
          <w:b/>
          <w:bCs/>
          <w:sz w:val="32"/>
          <w:szCs w:val="32"/>
        </w:rPr>
        <w:t xml:space="preserve"> </w:t>
      </w:r>
      <w:r>
        <w:rPr>
          <w:rFonts w:hint="eastAsia" w:ascii="Times New Roman" w:hAnsi="Times New Roman" w:eastAsia="黑体"/>
          <w:b/>
          <w:bCs/>
          <w:sz w:val="32"/>
          <w:szCs w:val="32"/>
        </w:rPr>
        <w:t>2023年4月25日</w:t>
      </w: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spacing w:line="360" w:lineRule="auto"/>
        <w:ind w:left="1218" w:leftChars="580"/>
        <w:rPr>
          <w:rFonts w:ascii="Times New Roman" w:hAnsi="Times New Roman" w:eastAsia="黑体"/>
          <w:b/>
          <w:bCs/>
          <w:sz w:val="32"/>
          <w:szCs w:val="32"/>
        </w:rPr>
      </w:pPr>
    </w:p>
    <w:p>
      <w:pPr>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rPr>
        <w:t>23</w:t>
      </w:r>
      <w:r>
        <w:rPr>
          <w:rFonts w:hint="eastAsia" w:ascii="Times New Roman" w:hAnsi="Times New Roman" w:eastAsia="黑体" w:cs="黑体"/>
          <w:b/>
          <w:bCs/>
          <w:sz w:val="32"/>
          <w:szCs w:val="32"/>
        </w:rPr>
        <w:t>年</w:t>
      </w:r>
      <w:r>
        <w:rPr>
          <w:rFonts w:hint="eastAsia" w:ascii="Times New Roman" w:hAnsi="Times New Roman" w:eastAsia="黑体"/>
          <w:b/>
          <w:bCs/>
          <w:sz w:val="32"/>
          <w:szCs w:val="32"/>
        </w:rPr>
        <w:t>4</w:t>
      </w:r>
      <w:r>
        <w:rPr>
          <w:rFonts w:hint="eastAsia" w:ascii="Times New Roman" w:hAnsi="Times New Roman" w:eastAsia="黑体" w:cs="黑体"/>
          <w:b/>
          <w:bCs/>
          <w:sz w:val="32"/>
          <w:szCs w:val="32"/>
        </w:rPr>
        <w:t>月</w:t>
      </w:r>
    </w:p>
    <w:p>
      <w:pPr>
        <w:jc w:val="center"/>
        <w:rPr>
          <w:rFonts w:ascii="Times New Roman" w:hAnsi="Times New Roman" w:eastAsia="黑体" w:cs="黑体"/>
          <w:b/>
          <w:bCs/>
          <w:sz w:val="28"/>
          <w:szCs w:val="28"/>
        </w:rPr>
      </w:pPr>
    </w:p>
    <w:p>
      <w:pPr>
        <w:spacing w:line="360" w:lineRule="auto"/>
        <w:rPr>
          <w:rFonts w:ascii="黑体" w:hAnsi="黑体" w:eastAsia="黑体"/>
          <w:color w:val="000000"/>
          <w:sz w:val="28"/>
          <w:szCs w:val="28"/>
          <w:u w:color="000000"/>
          <w:lang w:val="zh-TW" w:eastAsia="zh-TW"/>
        </w:rPr>
      </w:pPr>
      <w:r>
        <w:rPr>
          <w:rFonts w:hint="eastAsia" w:ascii="黑体" w:hAnsi="黑体" w:eastAsia="黑体" w:cs="黑体"/>
          <w:color w:val="000000"/>
          <w:sz w:val="28"/>
          <w:szCs w:val="28"/>
          <w:u w:color="000000"/>
          <w:lang w:val="zh-TW" w:eastAsia="zh-TW"/>
        </w:rPr>
        <w:t>评价小组成员：</w:t>
      </w:r>
    </w:p>
    <w:tbl>
      <w:tblPr>
        <w:tblStyle w:val="6"/>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评价小组</w:t>
            </w: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机构职位</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姓名</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职务/职称</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所属单位/处室</w:t>
            </w:r>
          </w:p>
        </w:tc>
        <w:tc>
          <w:tcPr>
            <w:tcW w:w="2268"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组  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周  英</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局  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陈  媛</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黄朝穗</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郭  娜</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胡  旭</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办公室主任</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高  雄</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信息科科长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安  龙</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审改科科长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范茂康</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窗口科科长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吴皓荒</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公管科科长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赵  慧</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审批科科长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48"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报告撰写人（签字）：</w:t>
            </w:r>
          </w:p>
          <w:p>
            <w:pPr>
              <w:wordWrap w:val="0"/>
              <w:spacing w:line="360" w:lineRule="auto"/>
              <w:jc w:val="center"/>
              <w:rPr>
                <w:rFonts w:ascii="黑体" w:hAnsi="黑体" w:eastAsia="黑体" w:cs="黑体"/>
                <w:color w:val="000000"/>
                <w:sz w:val="24"/>
                <w:szCs w:val="24"/>
                <w:u w:color="000000"/>
                <w:lang w:val="zh-TW"/>
              </w:rPr>
            </w:pP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评价工作负责人（签字）：</w:t>
            </w:r>
          </w:p>
          <w:p>
            <w:pPr>
              <w:spacing w:line="360" w:lineRule="auto"/>
              <w:jc w:val="center"/>
              <w:rPr>
                <w:rFonts w:ascii="黑体" w:hAnsi="黑体" w:eastAsia="黑体" w:cs="黑体"/>
                <w:color w:val="000000"/>
                <w:sz w:val="24"/>
                <w:szCs w:val="24"/>
                <w:u w:color="000000"/>
                <w:lang w:val="zh-TW"/>
              </w:rPr>
            </w:pPr>
          </w:p>
          <w:p>
            <w:pPr>
              <w:spacing w:line="360" w:lineRule="auto"/>
              <w:jc w:val="center"/>
              <w:rPr>
                <w:rFonts w:ascii="黑体" w:hAnsi="黑体" w:eastAsia="黑体" w:cs="黑体"/>
                <w:color w:val="000000"/>
                <w:sz w:val="24"/>
                <w:szCs w:val="24"/>
                <w:u w:color="000000"/>
                <w:lang w:val="zh-TW"/>
              </w:rPr>
            </w:pP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bl>
    <w:p>
      <w:pPr>
        <w:pStyle w:val="10"/>
        <w:jc w:val="center"/>
        <w:rPr>
          <w:rFonts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目</w:t>
      </w:r>
      <w:r>
        <w:rPr>
          <w:rFonts w:hint="eastAsia" w:ascii="方正小标宋简体" w:hAnsi="方正小标宋简体" w:eastAsia="方正小标宋简体" w:cs="方正小标宋简体"/>
          <w:b w:val="0"/>
          <w:bCs w:val="0"/>
          <w:color w:val="auto"/>
          <w:sz w:val="44"/>
          <w:szCs w:val="44"/>
          <w:lang w:val="en-US"/>
        </w:rPr>
        <w:t xml:space="preserve"> </w:t>
      </w:r>
      <w:r>
        <w:rPr>
          <w:rFonts w:hint="eastAsia" w:ascii="方正小标宋简体" w:hAnsi="方正小标宋简体" w:eastAsia="方正小标宋简体" w:cs="方正小标宋简体"/>
          <w:b w:val="0"/>
          <w:bCs w:val="0"/>
          <w:color w:val="auto"/>
          <w:sz w:val="44"/>
          <w:szCs w:val="44"/>
        </w:rPr>
        <w:t>录</w:t>
      </w:r>
    </w:p>
    <w:p>
      <w:pPr>
        <w:spacing w:line="440" w:lineRule="exact"/>
        <w:ind w:firstLine="640" w:firstLineChars="200"/>
        <w:jc w:val="left"/>
        <w:rPr>
          <w:rFonts w:ascii="仿宋" w:hAnsi="仿宋" w:eastAsia="仿宋"/>
          <w:sz w:val="32"/>
          <w:szCs w:val="32"/>
        </w:rPr>
      </w:pPr>
    </w:p>
    <w:p>
      <w:pPr>
        <w:spacing w:line="500" w:lineRule="exact"/>
        <w:jc w:val="left"/>
        <w:rPr>
          <w:rFonts w:ascii="黑体" w:hAnsi="黑体" w:eastAsia="黑体" w:cs="黑体"/>
          <w:sz w:val="32"/>
          <w:szCs w:val="32"/>
        </w:rPr>
      </w:pPr>
      <w:r>
        <w:rPr>
          <w:rFonts w:hint="eastAsia" w:ascii="黑体" w:hAnsi="黑体" w:eastAsia="黑体" w:cs="黑体"/>
          <w:sz w:val="32"/>
          <w:szCs w:val="32"/>
        </w:rPr>
        <w:t>摘要</w:t>
      </w:r>
      <w:r>
        <w:rPr>
          <w:rFonts w:hint="eastAsia" w:ascii="黑体" w:hAnsi="黑体" w:eastAsia="黑体" w:cs="黑体"/>
          <w:sz w:val="32"/>
          <w:szCs w:val="32"/>
        </w:rPr>
        <w:tab/>
      </w:r>
      <w:r>
        <w:rPr>
          <w:rFonts w:hint="eastAsia" w:ascii="黑体" w:hAnsi="黑体" w:eastAsia="黑体" w:cs="黑体"/>
          <w:sz w:val="32"/>
          <w:szCs w:val="32"/>
        </w:rPr>
        <w:t xml:space="preserve"> </w:t>
      </w:r>
    </w:p>
    <w:p>
      <w:pPr>
        <w:spacing w:line="500" w:lineRule="exact"/>
        <w:jc w:val="left"/>
        <w:rPr>
          <w:rFonts w:ascii="黑体" w:hAnsi="黑体" w:eastAsia="黑体" w:cs="黑体"/>
          <w:sz w:val="32"/>
          <w:szCs w:val="32"/>
        </w:rPr>
      </w:pPr>
      <w:r>
        <w:rPr>
          <w:rFonts w:hint="eastAsia" w:ascii="黑体" w:hAnsi="黑体" w:eastAsia="黑体" w:cs="黑体"/>
          <w:sz w:val="32"/>
          <w:szCs w:val="32"/>
        </w:rPr>
        <w:t>一、 项目基本情况</w:t>
      </w:r>
      <w:r>
        <w:rPr>
          <w:rFonts w:hint="eastAsia" w:ascii="黑体" w:hAnsi="黑体" w:eastAsia="黑体" w:cs="黑体"/>
          <w:sz w:val="32"/>
          <w:szCs w:val="32"/>
        </w:rPr>
        <w:tab/>
      </w:r>
      <w:r>
        <w:rPr>
          <w:rFonts w:hint="eastAsia" w:ascii="黑体" w:hAnsi="黑体" w:eastAsia="黑体" w:cs="黑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（一）项目立项背景</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 xml:space="preserve">（二）项目立项依据 </w:t>
      </w:r>
    </w:p>
    <w:p>
      <w:pPr>
        <w:spacing w:line="500" w:lineRule="exact"/>
        <w:jc w:val="left"/>
        <w:rPr>
          <w:rFonts w:ascii="楷体" w:hAnsi="楷体" w:eastAsia="楷体" w:cs="楷体"/>
          <w:sz w:val="32"/>
          <w:szCs w:val="32"/>
        </w:rPr>
      </w:pPr>
      <w:r>
        <w:rPr>
          <w:rFonts w:hint="eastAsia" w:ascii="楷体" w:hAnsi="楷体" w:eastAsia="楷体" w:cs="楷体"/>
          <w:sz w:val="32"/>
          <w:szCs w:val="32"/>
        </w:rPr>
        <w:t>（三）项目实施内容</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（四）项目实施计划及完成情况</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（五）项目的组织及管理</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 xml:space="preserve">（六）项目绩效目标 </w:t>
      </w:r>
    </w:p>
    <w:p>
      <w:pPr>
        <w:spacing w:line="500" w:lineRule="exact"/>
        <w:jc w:val="left"/>
        <w:rPr>
          <w:rFonts w:ascii="黑体" w:hAnsi="黑体" w:eastAsia="黑体" w:cs="黑体"/>
          <w:sz w:val="32"/>
          <w:szCs w:val="32"/>
        </w:rPr>
      </w:pPr>
      <w:r>
        <w:rPr>
          <w:rFonts w:hint="eastAsia" w:ascii="黑体" w:hAnsi="黑体" w:eastAsia="黑体" w:cs="黑体"/>
          <w:sz w:val="32"/>
          <w:szCs w:val="32"/>
        </w:rPr>
        <w:t>二、绩效评价工作情况</w:t>
      </w:r>
      <w:r>
        <w:rPr>
          <w:rFonts w:hint="eastAsia" w:ascii="黑体" w:hAnsi="黑体" w:eastAsia="黑体" w:cs="黑体"/>
          <w:sz w:val="32"/>
          <w:szCs w:val="32"/>
        </w:rPr>
        <w:tab/>
      </w:r>
      <w:r>
        <w:rPr>
          <w:rFonts w:hint="eastAsia" w:ascii="黑体" w:hAnsi="黑体" w:eastAsia="黑体" w:cs="黑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（一）评价的目的和依据</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（二）绩效评价工作方案制定过程</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（三）绩效评价原则、评价方法等</w:t>
      </w:r>
      <w:r>
        <w:rPr>
          <w:rFonts w:hint="eastAsia" w:ascii="楷体" w:hAnsi="楷体" w:eastAsia="楷体" w:cs="楷体"/>
          <w:sz w:val="32"/>
          <w:szCs w:val="32"/>
        </w:rPr>
        <w:tab/>
      </w:r>
    </w:p>
    <w:p>
      <w:pPr>
        <w:spacing w:line="500" w:lineRule="exact"/>
        <w:jc w:val="left"/>
        <w:rPr>
          <w:rFonts w:ascii="楷体" w:hAnsi="楷体" w:eastAsia="楷体" w:cs="楷体"/>
          <w:sz w:val="32"/>
          <w:szCs w:val="32"/>
        </w:rPr>
      </w:pPr>
      <w:r>
        <w:rPr>
          <w:rFonts w:hint="eastAsia" w:ascii="楷体" w:hAnsi="楷体" w:eastAsia="楷体" w:cs="楷体"/>
          <w:sz w:val="32"/>
          <w:szCs w:val="32"/>
        </w:rPr>
        <w:t>（四）绩效评价实施过程</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（五）绩效评价的局限性</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黑体" w:hAnsi="黑体" w:eastAsia="黑体" w:cs="黑体"/>
          <w:sz w:val="32"/>
          <w:szCs w:val="32"/>
        </w:rPr>
      </w:pPr>
      <w:r>
        <w:rPr>
          <w:rFonts w:hint="eastAsia" w:ascii="黑体" w:hAnsi="黑体" w:eastAsia="黑体" w:cs="黑体"/>
          <w:sz w:val="32"/>
          <w:szCs w:val="32"/>
        </w:rPr>
        <w:t xml:space="preserve">三、评价结论及绩效分析 </w:t>
      </w:r>
    </w:p>
    <w:p>
      <w:pPr>
        <w:spacing w:line="500" w:lineRule="exact"/>
        <w:jc w:val="left"/>
        <w:rPr>
          <w:rFonts w:ascii="楷体" w:hAnsi="楷体" w:eastAsia="楷体" w:cs="楷体"/>
          <w:sz w:val="32"/>
          <w:szCs w:val="32"/>
        </w:rPr>
      </w:pPr>
      <w:r>
        <w:rPr>
          <w:rFonts w:hint="eastAsia" w:ascii="楷体" w:hAnsi="楷体" w:eastAsia="楷体" w:cs="楷体"/>
          <w:sz w:val="32"/>
          <w:szCs w:val="32"/>
        </w:rPr>
        <w:t>（一）评价结论</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（二）绩效分析</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黑体" w:hAnsi="黑体" w:eastAsia="黑体" w:cs="黑体"/>
          <w:sz w:val="32"/>
          <w:szCs w:val="32"/>
        </w:rPr>
      </w:pPr>
      <w:r>
        <w:rPr>
          <w:rFonts w:hint="eastAsia" w:ascii="黑体" w:hAnsi="黑体" w:eastAsia="黑体" w:cs="黑体"/>
          <w:sz w:val="32"/>
          <w:szCs w:val="32"/>
        </w:rPr>
        <w:t xml:space="preserve">四、项目主要经验及做法、存在的问题和建议 </w:t>
      </w:r>
    </w:p>
    <w:p>
      <w:pPr>
        <w:spacing w:line="500" w:lineRule="exact"/>
        <w:jc w:val="left"/>
        <w:rPr>
          <w:rFonts w:ascii="楷体" w:hAnsi="楷体" w:eastAsia="楷体" w:cs="楷体"/>
          <w:sz w:val="32"/>
          <w:szCs w:val="32"/>
        </w:rPr>
      </w:pPr>
      <w:r>
        <w:rPr>
          <w:rFonts w:hint="eastAsia" w:ascii="楷体" w:hAnsi="楷体" w:eastAsia="楷体" w:cs="楷体"/>
          <w:sz w:val="32"/>
          <w:szCs w:val="32"/>
        </w:rPr>
        <w:t>（一）主要经验及做法</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（二）存在的问题</w:t>
      </w:r>
      <w:r>
        <w:rPr>
          <w:rFonts w:hint="eastAsia" w:ascii="楷体" w:hAnsi="楷体" w:eastAsia="楷体" w:cs="楷体"/>
          <w:sz w:val="32"/>
          <w:szCs w:val="32"/>
        </w:rPr>
        <w:tab/>
      </w:r>
      <w:r>
        <w:rPr>
          <w:rFonts w:hint="eastAsia" w:ascii="楷体" w:hAnsi="楷体" w:eastAsia="楷体" w:cs="楷体"/>
          <w:sz w:val="32"/>
          <w:szCs w:val="32"/>
        </w:rPr>
        <w:t xml:space="preserve"> </w:t>
      </w:r>
    </w:p>
    <w:p>
      <w:pPr>
        <w:spacing w:line="500" w:lineRule="exact"/>
        <w:jc w:val="left"/>
        <w:rPr>
          <w:rFonts w:ascii="楷体" w:hAnsi="楷体" w:eastAsia="楷体" w:cs="楷体"/>
          <w:sz w:val="32"/>
          <w:szCs w:val="32"/>
        </w:rPr>
      </w:pPr>
      <w:r>
        <w:rPr>
          <w:rFonts w:hint="eastAsia" w:ascii="楷体" w:hAnsi="楷体" w:eastAsia="楷体" w:cs="楷体"/>
          <w:sz w:val="32"/>
          <w:szCs w:val="32"/>
        </w:rPr>
        <w:t xml:space="preserve">（三）建议和改进措施 </w:t>
      </w:r>
    </w:p>
    <w:p>
      <w:pPr>
        <w:spacing w:line="500" w:lineRule="exact"/>
        <w:jc w:val="left"/>
        <w:rPr>
          <w:rFonts w:ascii="黑体" w:hAnsi="黑体" w:eastAsia="黑体" w:cs="黑体"/>
          <w:sz w:val="32"/>
          <w:szCs w:val="32"/>
        </w:rPr>
      </w:pPr>
      <w:r>
        <w:rPr>
          <w:rFonts w:hint="eastAsia" w:ascii="黑体" w:hAnsi="黑体" w:eastAsia="黑体" w:cs="黑体"/>
          <w:sz w:val="32"/>
          <w:szCs w:val="32"/>
        </w:rPr>
        <w:t>五、附件</w:t>
      </w:r>
      <w:r>
        <w:rPr>
          <w:rFonts w:hint="eastAsia" w:ascii="黑体" w:hAnsi="黑体" w:eastAsia="黑体" w:cs="黑体"/>
          <w:sz w:val="32"/>
          <w:szCs w:val="32"/>
        </w:rPr>
        <w:tab/>
      </w:r>
      <w:r>
        <w:rPr>
          <w:rFonts w:hint="eastAsia" w:ascii="黑体" w:hAnsi="黑体" w:eastAsia="黑体" w:cs="黑体"/>
          <w:sz w:val="32"/>
          <w:szCs w:val="32"/>
        </w:rPr>
        <w:t xml:space="preserve"> </w:t>
      </w:r>
    </w:p>
    <w:p>
      <w:pPr>
        <w:spacing w:line="500" w:lineRule="exact"/>
        <w:rPr>
          <w:rFonts w:ascii="楷体" w:hAnsi="楷体" w:eastAsia="楷体" w:cs="楷体"/>
          <w:sz w:val="32"/>
          <w:szCs w:val="32"/>
        </w:rPr>
      </w:pPr>
      <w:r>
        <w:rPr>
          <w:rFonts w:hint="eastAsia" w:ascii="楷体" w:hAnsi="楷体" w:eastAsia="楷体" w:cs="楷体"/>
          <w:sz w:val="32"/>
          <w:szCs w:val="32"/>
        </w:rPr>
        <w:t>附件2：项目支出绩效评价共性指标体系框架</w:t>
      </w:r>
    </w:p>
    <w:p>
      <w:pPr>
        <w:spacing w:line="540" w:lineRule="exact"/>
        <w:rPr>
          <w:rFonts w:ascii="仿宋" w:hAnsi="仿宋" w:eastAsia="仿宋"/>
          <w:sz w:val="32"/>
          <w:szCs w:val="32"/>
        </w:rPr>
      </w:pPr>
    </w:p>
    <w:p>
      <w:pPr>
        <w:spacing w:line="540" w:lineRule="exact"/>
        <w:rPr>
          <w:rFonts w:ascii="仿宋" w:hAnsi="仿宋" w:eastAsia="仿宋"/>
          <w:sz w:val="32"/>
          <w:szCs w:val="32"/>
        </w:rPr>
      </w:pPr>
    </w:p>
    <w:p>
      <w:pPr>
        <w:spacing w:line="660" w:lineRule="exact"/>
        <w:jc w:val="center"/>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不动产交易税收登记服务大厅租金专项经费</w:t>
      </w:r>
    </w:p>
    <w:p>
      <w:pPr>
        <w:spacing w:line="6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20"/>
          <w:sz w:val="44"/>
          <w:szCs w:val="44"/>
        </w:rPr>
        <w:t>项目支出绩效自评报告</w:t>
      </w:r>
    </w:p>
    <w:p>
      <w:pPr>
        <w:topLinePunct/>
        <w:spacing w:line="440" w:lineRule="exact"/>
        <w:ind w:firstLine="800" w:firstLineChars="250"/>
        <w:rPr>
          <w:rFonts w:ascii="黑体" w:eastAsia="黑体"/>
          <w:sz w:val="32"/>
          <w:szCs w:val="32"/>
        </w:rPr>
      </w:pPr>
    </w:p>
    <w:p>
      <w:pPr>
        <w:topLinePunct/>
        <w:spacing w:line="580" w:lineRule="exact"/>
        <w:ind w:firstLine="640" w:firstLineChars="200"/>
        <w:rPr>
          <w:rFonts w:ascii="黑体" w:eastAsia="黑体"/>
          <w:sz w:val="32"/>
          <w:szCs w:val="32"/>
        </w:rPr>
      </w:pPr>
      <w:r>
        <w:rPr>
          <w:rFonts w:hint="eastAsia" w:ascii="黑体" w:eastAsia="黑体"/>
          <w:sz w:val="32"/>
          <w:szCs w:val="32"/>
        </w:rPr>
        <w:t>一、项目基本情况</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（一）项目概况</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1.立项背景及目的</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为严格贯彻落实国家、省、市、区“放管服”改革要求，满足我区不动产登记工作新的发展要求，促进我区经济社会发展，根据《昆明市盘龙区人民政府常务会议纪要》（第34期）和《关于增设盘龙区二手房交易登记便民服务大厅专题会议纪要》（第168期）文件要求，成立盘龙区不动产交易税收登记服务大厅，满足我区当前不动产登记业务需求，加强我区不动产交易税收的管控，防止我区税源流失，增加税收收入。  </w:t>
      </w:r>
    </w:p>
    <w:p>
      <w:pPr>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2.项目实施情况</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加快盘龙区不动产交易税收登记服务大厅投入使用，与昆明都市车迷汽车服务有限公司签订《房屋租赁合同》，按照双方合同约定，办公楼的协议租期为十年，起租日定为2019年1月起计算，即自2019年1月起至2028年12月止；协议租赁第一年租金共计180万元，租赁物租金以上一年度租金为基数，每一年按8万元标准递增一次。</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3.资金来源及使用情况</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按照双方合同约定，租赁物租金以上一年度租金为基数，每一年按8万元标准递增一次。相关费用列入当年我区财政预算予以保障。2022年有204万元用于支付不动产交易登记税收服务大厅租金，支付给都市车迷汽车服务有限公司。</w:t>
      </w:r>
    </w:p>
    <w:p>
      <w:pPr>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4.组织及管理情况</w:t>
      </w:r>
    </w:p>
    <w:p>
      <w:pPr>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我区不动产登记工作自2016年6月30日正式开展，主要承担整个盘龙辖区不动产登记工作，由于区政务服务中心场地受限，在福泽雅苑小区建立了不动产登记分中心、区政务服务中心国土资源分中心，两个中心合署办公，均属区政务服务中心派出分中心，现与昆明都市车迷汽车服务有限公司签订《房屋租赁合同》，用于我区引进市产权处、区</w:t>
      </w:r>
      <w:r>
        <w:rPr>
          <w:rFonts w:hint="eastAsia" w:ascii="仿宋_GB2312" w:hAnsi="楷体" w:eastAsia="仿宋_GB2312"/>
          <w:sz w:val="32"/>
          <w:szCs w:val="32"/>
          <w:lang w:val="en-US" w:eastAsia="zh-CN"/>
        </w:rPr>
        <w:t>税务</w:t>
      </w:r>
      <w:bookmarkStart w:id="0" w:name="_GoBack"/>
      <w:bookmarkEnd w:id="0"/>
      <w:r>
        <w:rPr>
          <w:rFonts w:hint="eastAsia" w:ascii="仿宋_GB2312" w:hAnsi="楷体" w:eastAsia="仿宋_GB2312"/>
          <w:sz w:val="32"/>
          <w:szCs w:val="32"/>
        </w:rPr>
        <w:t>局、市国土档案中心在全市率先开展不动产交易税收登记“一窗受理、集成服务”工作，由我中心年初作为预算项目上报财政，年中旬将租赁费支付昆明都市车迷汽车服务有限公司。</w:t>
      </w:r>
    </w:p>
    <w:p>
      <w:pPr>
        <w:spacing w:line="58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二</w:t>
      </w:r>
      <w:r>
        <w:rPr>
          <w:rFonts w:ascii="Times New Roman" w:hAnsi="Times New Roman" w:eastAsia="楷体_GB2312"/>
          <w:sz w:val="32"/>
          <w:szCs w:val="32"/>
        </w:rPr>
        <w:t>）项目监督</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昆明市盘龙区政务服务管理局职能配置、内设机构和人员编制规定》的相关要求以及区政务服务局内控制度，严格开展项目支出绩效自评，将项目支出后的实际情况与申报的绩效目标对比，从项目的经济性、效率性、有效性和可持续性等方面进行量化、具体分析。并按规定内容、规定时限对与预算、执行、决算、监督、绩效等管理相关的预决算信息进行信息公开，各项支出基础数据信息和会计信息资料具有真实性、完整性、准确性。完成预期的绩效目标，切实做到用实、用好财政资金。</w:t>
      </w:r>
    </w:p>
    <w:p>
      <w:pPr>
        <w:spacing w:line="580" w:lineRule="exact"/>
        <w:ind w:firstLine="640" w:firstLineChars="200"/>
        <w:rPr>
          <w:rFonts w:ascii="Times New Roman" w:hAnsi="Times New Roman" w:eastAsia="仿宋_GB2312"/>
          <w:sz w:val="32"/>
          <w:szCs w:val="32"/>
        </w:rPr>
      </w:pPr>
      <w:r>
        <w:rPr>
          <w:rFonts w:hint="eastAsia" w:ascii="楷体" w:hAnsi="楷体" w:eastAsia="楷体"/>
          <w:sz w:val="32"/>
          <w:szCs w:val="32"/>
        </w:rPr>
        <w:t>（三）绩效目标</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1.总目标</w:t>
      </w:r>
    </w:p>
    <w:p>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为切实加强我区不动产交易税收的管控，防止我区税源流失，增加税收收入相关工作，完成不动产交易登记税收服务大厅房屋租金支付。</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2.年度目标</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完成不动产交易登记税收服务大厅房屋租金支付，全年应支付房屋租金204万元，</w:t>
      </w:r>
      <w:r>
        <w:rPr>
          <w:rFonts w:hint="eastAsia" w:ascii="仿宋" w:hAnsi="仿宋" w:eastAsia="仿宋"/>
          <w:sz w:val="32"/>
          <w:szCs w:val="32"/>
        </w:rPr>
        <w:t>确保</w:t>
      </w:r>
      <w:r>
        <w:rPr>
          <w:rFonts w:hint="eastAsia" w:ascii="仿宋_GB2312" w:hAnsi="楷体" w:eastAsia="仿宋_GB2312"/>
          <w:sz w:val="32"/>
          <w:szCs w:val="32"/>
        </w:rPr>
        <w:t>不动产交易登记税收服务大厅各项工作</w:t>
      </w:r>
      <w:r>
        <w:rPr>
          <w:rFonts w:hint="eastAsia" w:ascii="仿宋" w:hAnsi="仿宋" w:eastAsia="仿宋"/>
          <w:sz w:val="32"/>
          <w:szCs w:val="32"/>
        </w:rPr>
        <w:t>正常运转。</w:t>
      </w:r>
    </w:p>
    <w:p>
      <w:pPr>
        <w:topLinePunct/>
        <w:spacing w:line="580" w:lineRule="exact"/>
        <w:ind w:firstLine="640" w:firstLineChars="200"/>
        <w:rPr>
          <w:rFonts w:ascii="黑体" w:hAnsi="黑体" w:eastAsia="黑体"/>
          <w:sz w:val="32"/>
          <w:szCs w:val="32"/>
        </w:rPr>
      </w:pPr>
      <w:r>
        <w:rPr>
          <w:rFonts w:hint="eastAsia" w:ascii="黑体" w:hAnsi="黑体" w:eastAsia="黑体"/>
          <w:sz w:val="32"/>
          <w:szCs w:val="32"/>
        </w:rPr>
        <w:t>二、绩效评价工作情况</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（一）绩效评价目的</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（二）绩效评价工作方案制定过程</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1.前期调研</w:t>
      </w:r>
    </w:p>
    <w:p>
      <w:pPr>
        <w:topLinePunct/>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区政务服务局绩效自评小组，由党政主要领导任组长，各业务科室相关负责人任组员。</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2.研究文件</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依据《盘龙区不动产交易税收登记服务大厅租用合同》按时开展评价。</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3.绩效评价指标体系及工作方案的设计</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不动产交易税收登记服务大厅租金专项经费项目支出绩效采用共性指标体系进行绩效评价，主要包括预算编制和执行情况，财务管理状况，资产配置、使用、处置及收益管理情况以及社会效益、经济效益等。</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（三）绩效评价原则、评价方法</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1.绩效评价原则</w:t>
      </w:r>
    </w:p>
    <w:p>
      <w:pPr>
        <w:topLinePunct/>
        <w:spacing w:line="580" w:lineRule="exact"/>
        <w:ind w:firstLine="640" w:firstLineChars="200"/>
        <w:rPr>
          <w:rFonts w:ascii="仿宋" w:hAnsi="仿宋" w:eastAsia="仿宋"/>
          <w:sz w:val="32"/>
          <w:szCs w:val="32"/>
        </w:rPr>
      </w:pPr>
      <w:r>
        <w:rPr>
          <w:rFonts w:hint="eastAsia" w:ascii="仿宋_GB2312" w:hAnsi="楷体" w:eastAsia="仿宋_GB2312"/>
          <w:sz w:val="32"/>
          <w:szCs w:val="32"/>
        </w:rPr>
        <w:t>不动产交易税收登记服务大厅租金专项经费项目支出绩效围绕绩效目标、针对具体支出及其产出绩效进行，评价结果应清晰反映支出和产出绩效之间</w:t>
      </w:r>
      <w:r>
        <w:rPr>
          <w:rFonts w:hint="eastAsia" w:ascii="仿宋" w:hAnsi="仿宋" w:eastAsia="仿宋"/>
          <w:sz w:val="32"/>
          <w:szCs w:val="32"/>
        </w:rPr>
        <w:t>的对应关系；严格执行规定的程序，按照科学可行的要求，采用定量与定性分析相结合的方式；</w:t>
      </w:r>
      <w:r>
        <w:rPr>
          <w:rFonts w:hint="eastAsia" w:ascii="仿宋_GB2312" w:hAnsi="楷体" w:eastAsia="仿宋_GB2312"/>
          <w:sz w:val="32"/>
          <w:szCs w:val="32"/>
        </w:rPr>
        <w:t>符合真实、客观、公正的要求，按照规定公开并接受社会监督；绩效自评结果运用于预算安排和预算执行中，不断提高部门预算管理水平。</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2.绩效评价方法</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绩效自评结果采取量化评分的形式，量化分值一般为百分制。可分为四个等级：优（得分≧90）；良（90﹥得分≧80）；中（80﹥得分≧60）；差（得分﹤60）。</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（四）绩效评价实施过程</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1.数据填报和采集</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依据区委、区政府方针政策及部门预算管理制度、项目及财务管理办法，按照部门职能职责、中长期发展规划及年度工作计划设立此项目。</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2.社会调查</w:t>
      </w:r>
    </w:p>
    <w:p>
      <w:pPr>
        <w:topLinePunct/>
        <w:spacing w:line="580" w:lineRule="exact"/>
        <w:ind w:firstLine="640" w:firstLineChars="200"/>
        <w:rPr>
          <w:rFonts w:ascii="仿宋_GB2312" w:hAnsi="楷体" w:eastAsia="仿宋_GB2312"/>
          <w:b/>
          <w:bCs/>
          <w:sz w:val="32"/>
          <w:szCs w:val="32"/>
        </w:rPr>
      </w:pPr>
      <w:r>
        <w:rPr>
          <w:rFonts w:hint="eastAsia" w:ascii="仿宋_GB2312" w:hAnsi="楷体" w:eastAsia="仿宋_GB2312"/>
          <w:sz w:val="32"/>
          <w:szCs w:val="32"/>
        </w:rPr>
        <w:t>部门申请预算时提出的绩效目标申报表及其他相关材料。</w:t>
      </w:r>
    </w:p>
    <w:p>
      <w:pPr>
        <w:topLinePunct/>
        <w:spacing w:line="580" w:lineRule="exact"/>
        <w:ind w:firstLine="643" w:firstLineChars="200"/>
        <w:rPr>
          <w:rFonts w:ascii="仿宋_GB2312" w:hAnsi="楷体" w:eastAsia="仿宋_GB2312"/>
          <w:b/>
          <w:bCs/>
          <w:sz w:val="32"/>
          <w:szCs w:val="32"/>
        </w:rPr>
      </w:pPr>
      <w:r>
        <w:rPr>
          <w:rFonts w:hint="eastAsia" w:ascii="仿宋_GB2312" w:hAnsi="楷体" w:eastAsia="仿宋_GB2312"/>
          <w:b/>
          <w:bCs/>
          <w:sz w:val="32"/>
          <w:szCs w:val="32"/>
        </w:rPr>
        <w:t>3.数据分析和撰写报告</w:t>
      </w:r>
    </w:p>
    <w:p>
      <w:pPr>
        <w:topLinePunct/>
        <w:spacing w:line="580" w:lineRule="exact"/>
        <w:ind w:firstLine="640" w:firstLineChars="200"/>
        <w:rPr>
          <w:rFonts w:ascii="仿宋_GB2312" w:hAnsi="楷体" w:eastAsia="仿宋_GB2312"/>
          <w:sz w:val="32"/>
          <w:szCs w:val="32"/>
        </w:rPr>
      </w:pPr>
      <w:r>
        <w:rPr>
          <w:rFonts w:hint="eastAsia" w:ascii="仿宋_GB2312" w:eastAsia="仿宋_GB2312"/>
          <w:sz w:val="32"/>
          <w:szCs w:val="32"/>
        </w:rPr>
        <w:t>预算批复，年度预算执行情况，年度决算报告。</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（五）本次绩效评价的局限性</w:t>
      </w:r>
    </w:p>
    <w:p>
      <w:pPr>
        <w:topLinePunct/>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无</w:t>
      </w:r>
    </w:p>
    <w:p>
      <w:pPr>
        <w:topLinePunct/>
        <w:spacing w:line="580" w:lineRule="exact"/>
        <w:ind w:firstLine="640" w:firstLineChars="200"/>
        <w:rPr>
          <w:rFonts w:ascii="黑体" w:hAnsi="黑体" w:eastAsia="黑体"/>
          <w:sz w:val="32"/>
          <w:szCs w:val="32"/>
        </w:rPr>
      </w:pPr>
      <w:r>
        <w:rPr>
          <w:rFonts w:hint="eastAsia" w:ascii="黑体" w:hAnsi="黑体" w:eastAsia="黑体"/>
          <w:sz w:val="32"/>
          <w:szCs w:val="32"/>
        </w:rPr>
        <w:t>三、评价结论和绩效分析</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（一）评价结论</w:t>
      </w:r>
    </w:p>
    <w:p>
      <w:pPr>
        <w:topLinePunct/>
        <w:spacing w:line="580" w:lineRule="exact"/>
        <w:ind w:firstLine="643" w:firstLineChars="200"/>
        <w:rPr>
          <w:rFonts w:ascii="仿宋_GB2312" w:hAnsi="仿宋" w:eastAsia="仿宋_GB2312"/>
          <w:b/>
          <w:bCs/>
          <w:sz w:val="32"/>
          <w:szCs w:val="32"/>
        </w:rPr>
      </w:pPr>
      <w:r>
        <w:rPr>
          <w:rFonts w:hint="eastAsia" w:ascii="仿宋_GB2312" w:hAnsi="仿宋" w:eastAsia="仿宋_GB2312"/>
          <w:b/>
          <w:bCs/>
          <w:sz w:val="32"/>
          <w:szCs w:val="32"/>
        </w:rPr>
        <w:t>1.评价结果</w:t>
      </w:r>
    </w:p>
    <w:p>
      <w:pPr>
        <w:topLinePunct/>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不动产交易税收登记服务大厅租金专项经费项目支出绩效自评分100分，自评结果为优秀，达到了预期的绩效目标，切实做到了用实、用好财政资金。</w:t>
      </w:r>
    </w:p>
    <w:p>
      <w:pPr>
        <w:topLinePunct/>
        <w:spacing w:line="580" w:lineRule="exact"/>
        <w:ind w:firstLine="643" w:firstLineChars="200"/>
        <w:rPr>
          <w:rFonts w:ascii="仿宋_GB2312" w:hAnsi="仿宋" w:eastAsia="仿宋_GB2312"/>
          <w:sz w:val="32"/>
          <w:szCs w:val="32"/>
        </w:rPr>
      </w:pPr>
      <w:r>
        <w:rPr>
          <w:rFonts w:hint="eastAsia" w:ascii="仿宋_GB2312" w:hAnsi="仿宋" w:eastAsia="仿宋_GB2312"/>
          <w:b/>
          <w:bCs/>
          <w:sz w:val="32"/>
          <w:szCs w:val="32"/>
        </w:rPr>
        <w:t>2.主要绩效</w:t>
      </w:r>
    </w:p>
    <w:p>
      <w:pPr>
        <w:topLinePunct/>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通过项目实施，完成不动产交易税收登记服务大厅基础保障工作，确保大厅各项工作平稳正常运行，提高政务服务大厅窗口服务专业化水平。</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（二）具体绩效分析</w:t>
      </w:r>
    </w:p>
    <w:p>
      <w:pPr>
        <w:topLinePunct/>
        <w:spacing w:line="580" w:lineRule="exact"/>
        <w:ind w:firstLine="640" w:firstLineChars="200"/>
        <w:rPr>
          <w:rFonts w:ascii="仿宋" w:hAnsi="仿宋" w:eastAsia="仿宋"/>
          <w:sz w:val="32"/>
          <w:szCs w:val="32"/>
        </w:rPr>
      </w:pPr>
      <w:r>
        <w:rPr>
          <w:rFonts w:hint="eastAsia" w:ascii="仿宋" w:hAnsi="仿宋" w:eastAsia="仿宋"/>
          <w:sz w:val="32"/>
          <w:szCs w:val="32"/>
        </w:rPr>
        <w:t>对照绩效评价指标体系逐项进行分析、评价并打分。不动产交易税收登记服务大厅租金专项经费项目支出绩效自评结果为优，作为下一年度预算项目经费的依据，继续使用。</w:t>
      </w:r>
      <w:r>
        <w:rPr>
          <w:rFonts w:ascii="仿宋" w:hAnsi="仿宋" w:eastAsia="仿宋"/>
          <w:sz w:val="32"/>
          <w:szCs w:val="32"/>
        </w:rPr>
        <w:t xml:space="preserve"> </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四、成本效益分析</w:t>
      </w:r>
    </w:p>
    <w:p>
      <w:pPr>
        <w:spacing w:line="580" w:lineRule="exact"/>
        <w:ind w:firstLine="640" w:firstLineChars="200"/>
        <w:rPr>
          <w:rFonts w:ascii="仿宋_GB2312" w:hAnsi="黑体" w:eastAsia="仿宋_GB2312"/>
          <w:sz w:val="32"/>
          <w:szCs w:val="32"/>
        </w:rPr>
      </w:pPr>
      <w:r>
        <w:rPr>
          <w:rFonts w:hint="eastAsia" w:ascii="仿宋_GB2312" w:hAnsi="仿宋" w:eastAsia="仿宋_GB2312"/>
          <w:sz w:val="32"/>
          <w:szCs w:val="32"/>
        </w:rPr>
        <w:t>通过对不动产交易税收登记服务大厅租金专项经费项目支出绩效与效益进行对比分析，资金使用方向、资金收入和支出结构、项目和资金管理情况、资金的节约性及资金使用效果分析，确定此项目评价绩效目标实现程度以及下年年度预算变化趋势。</w:t>
      </w:r>
    </w:p>
    <w:p>
      <w:pPr>
        <w:topLinePunct/>
        <w:spacing w:line="580" w:lineRule="exact"/>
        <w:ind w:firstLine="640" w:firstLineChars="200"/>
        <w:rPr>
          <w:rFonts w:ascii="黑体" w:hAnsi="黑体" w:eastAsia="黑体"/>
          <w:sz w:val="32"/>
          <w:szCs w:val="32"/>
        </w:rPr>
      </w:pPr>
      <w:r>
        <w:rPr>
          <w:rFonts w:hint="eastAsia" w:ascii="黑体" w:hAnsi="黑体" w:eastAsia="黑体"/>
          <w:sz w:val="32"/>
          <w:szCs w:val="32"/>
        </w:rPr>
        <w:t>五、主要经验及做法、存在的问题和建议</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（一）主要经验及做法</w:t>
      </w:r>
    </w:p>
    <w:p>
      <w:pPr>
        <w:topLinePunct/>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强化领导，建立健全绩效自评组织体系。结合实际，确定自评范围及考评指标，在充分发挥历年开展目标考核经验的基础上结合实际，研究确定年度绩效考核范围和考评指标。</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（二）存在的问题</w:t>
      </w:r>
    </w:p>
    <w:p>
      <w:pPr>
        <w:topLinePunct/>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通过对不动产交易税收登记服务大厅租金专项经费项目支出绩效跟踪情况，达成预期的绩效目标，还存在项目绩效指标体系不够细化等问题。</w:t>
      </w:r>
    </w:p>
    <w:p>
      <w:pPr>
        <w:topLinePunct/>
        <w:spacing w:line="580" w:lineRule="exact"/>
        <w:ind w:firstLine="640" w:firstLineChars="200"/>
        <w:rPr>
          <w:rFonts w:ascii="楷体" w:hAnsi="楷体" w:eastAsia="楷体"/>
          <w:sz w:val="32"/>
          <w:szCs w:val="32"/>
        </w:rPr>
      </w:pPr>
      <w:r>
        <w:rPr>
          <w:rFonts w:hint="eastAsia" w:ascii="楷体" w:hAnsi="楷体" w:eastAsia="楷体"/>
          <w:sz w:val="32"/>
          <w:szCs w:val="32"/>
        </w:rPr>
        <w:t>（三）建议和改进措施</w:t>
      </w:r>
    </w:p>
    <w:p>
      <w:pPr>
        <w:topLinePunct/>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措施到位，扎实推进绩效自评工作。落实责任，明确目标，强化工作结果。细化各业务科室考评指标，让各科室更明确自己的工作任务。制定指标做到全面、合理、公正，坚持定性与定量相结合，以定量为主，80%以上的指标进行量化。在绩效目标管理上存在的问题，做到及时整改。不断完善管理，提高预算支出绩效。</w:t>
      </w:r>
    </w:p>
    <w:p>
      <w:pPr>
        <w:spacing w:line="580" w:lineRule="exact"/>
        <w:ind w:firstLine="640" w:firstLineChars="200"/>
        <w:rPr>
          <w:sz w:val="32"/>
          <w:szCs w:val="32"/>
        </w:rPr>
      </w:pPr>
    </w:p>
    <w:p>
      <w:pPr>
        <w:topLinePunct/>
        <w:spacing w:line="580" w:lineRule="exact"/>
        <w:ind w:firstLine="640" w:firstLineChars="200"/>
        <w:jc w:val="right"/>
        <w:rPr>
          <w:rFonts w:ascii="仿宋" w:hAnsi="仿宋" w:eastAsia="仿宋"/>
          <w:sz w:val="32"/>
          <w:szCs w:val="32"/>
        </w:rPr>
      </w:pPr>
    </w:p>
    <w:p>
      <w:pPr>
        <w:topLinePunct/>
        <w:spacing w:line="580" w:lineRule="exact"/>
        <w:ind w:firstLine="640" w:firstLineChars="200"/>
        <w:jc w:val="right"/>
        <w:rPr>
          <w:rFonts w:ascii="仿宋" w:hAnsi="仿宋" w:eastAsia="仿宋"/>
          <w:sz w:val="32"/>
          <w:szCs w:val="32"/>
        </w:rPr>
      </w:pPr>
      <w:r>
        <w:rPr>
          <w:rFonts w:hint="eastAsia" w:ascii="仿宋" w:hAnsi="仿宋" w:eastAsia="仿宋"/>
          <w:sz w:val="32"/>
          <w:szCs w:val="32"/>
        </w:rPr>
        <w:t>昆明市盘龙区政务服务管理局</w:t>
      </w:r>
    </w:p>
    <w:p>
      <w:pPr>
        <w:topLinePunct/>
        <w:spacing w:line="580" w:lineRule="exact"/>
        <w:ind w:firstLine="640" w:firstLineChars="200"/>
        <w:jc w:val="center"/>
        <w:rPr>
          <w:rFonts w:ascii="仿宋" w:hAnsi="仿宋" w:eastAsia="仿宋" w:cs="宋体"/>
          <w:kern w:val="0"/>
          <w:sz w:val="32"/>
          <w:szCs w:val="32"/>
        </w:rPr>
      </w:pPr>
      <w:r>
        <w:rPr>
          <w:rFonts w:hint="eastAsia" w:ascii="仿宋" w:hAnsi="仿宋" w:eastAsia="仿宋"/>
          <w:sz w:val="32"/>
          <w:szCs w:val="32"/>
        </w:rPr>
        <w:t xml:space="preserve">                     2023年4月25日</w:t>
      </w:r>
    </w:p>
    <w:p>
      <w:pPr>
        <w:rPr>
          <w:sz w:val="32"/>
          <w:szCs w:val="32"/>
        </w:rPr>
      </w:pPr>
    </w:p>
    <w:p>
      <w:pPr>
        <w:rPr>
          <w:sz w:val="32"/>
          <w:szCs w:val="32"/>
        </w:rPr>
      </w:pPr>
    </w:p>
    <w:p>
      <w:pPr>
        <w:rPr>
          <w:sz w:val="32"/>
          <w:szCs w:val="32"/>
        </w:rPr>
      </w:pPr>
    </w:p>
    <w:p>
      <w:pPr>
        <w:widowControl/>
        <w:jc w:val="center"/>
        <w:rPr>
          <w:rFonts w:ascii="方正小标宋_GBK" w:eastAsia="方正小标宋_GBK"/>
          <w:sz w:val="36"/>
          <w:szCs w:val="36"/>
        </w:rPr>
      </w:pPr>
      <w:r>
        <w:rPr>
          <w:rFonts w:hint="eastAsia" w:ascii="方正小标宋_GBK" w:eastAsia="方正小标宋_GBK"/>
          <w:sz w:val="36"/>
          <w:szCs w:val="36"/>
        </w:rPr>
        <w:t>附件2：项目支出绩效评价共性指标体系框架</w:t>
      </w:r>
    </w:p>
    <w:tbl>
      <w:tblPr>
        <w:tblStyle w:val="6"/>
        <w:tblpPr w:leftFromText="180" w:rightFromText="180" w:vertAnchor="text" w:horzAnchor="page" w:tblpXSpec="center" w:tblpY="383"/>
        <w:tblW w:w="10412" w:type="dxa"/>
        <w:jc w:val="center"/>
        <w:tblLayout w:type="autofit"/>
        <w:tblCellMar>
          <w:top w:w="0" w:type="dxa"/>
          <w:left w:w="108" w:type="dxa"/>
          <w:bottom w:w="0" w:type="dxa"/>
          <w:right w:w="108" w:type="dxa"/>
        </w:tblCellMar>
      </w:tblPr>
      <w:tblGrid>
        <w:gridCol w:w="846"/>
        <w:gridCol w:w="971"/>
        <w:gridCol w:w="1143"/>
        <w:gridCol w:w="1091"/>
        <w:gridCol w:w="593"/>
        <w:gridCol w:w="709"/>
        <w:gridCol w:w="1866"/>
        <w:gridCol w:w="1975"/>
        <w:gridCol w:w="1218"/>
      </w:tblGrid>
      <w:tr>
        <w:tblPrEx>
          <w:tblCellMar>
            <w:top w:w="0" w:type="dxa"/>
            <w:left w:w="108" w:type="dxa"/>
            <w:bottom w:w="0" w:type="dxa"/>
            <w:right w:w="108" w:type="dxa"/>
          </w:tblCellMar>
        </w:tblPrEx>
        <w:trPr>
          <w:trHeight w:val="540" w:hRule="atLeast"/>
          <w:jc w:val="center"/>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5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18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900"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CellMar>
            <w:top w:w="0" w:type="dxa"/>
            <w:left w:w="108" w:type="dxa"/>
            <w:bottom w:w="0" w:type="dxa"/>
            <w:right w:w="108" w:type="dxa"/>
          </w:tblCellMar>
        </w:tblPrEx>
        <w:trPr>
          <w:trHeight w:val="105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CellMar>
            <w:top w:w="0" w:type="dxa"/>
            <w:left w:w="108" w:type="dxa"/>
            <w:bottom w:w="0" w:type="dxa"/>
            <w:right w:w="108" w:type="dxa"/>
          </w:tblCellMar>
        </w:tblPrEx>
        <w:trPr>
          <w:trHeight w:val="91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CellMar>
            <w:top w:w="0" w:type="dxa"/>
            <w:left w:w="108" w:type="dxa"/>
            <w:bottom w:w="0" w:type="dxa"/>
            <w:right w:w="108" w:type="dxa"/>
          </w:tblCellMar>
        </w:tblPrEx>
        <w:trPr>
          <w:trHeight w:val="108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CellMar>
            <w:top w:w="0" w:type="dxa"/>
            <w:left w:w="108" w:type="dxa"/>
            <w:bottom w:w="0" w:type="dxa"/>
            <w:right w:w="108" w:type="dxa"/>
          </w:tblCellMar>
        </w:tblPrEx>
        <w:trPr>
          <w:trHeight w:val="82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79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CellMar>
            <w:top w:w="0" w:type="dxa"/>
            <w:left w:w="108" w:type="dxa"/>
            <w:bottom w:w="0" w:type="dxa"/>
            <w:right w:w="108" w:type="dxa"/>
          </w:tblCellMar>
        </w:tblPrEx>
        <w:trPr>
          <w:trHeight w:val="720" w:hRule="atLeast"/>
          <w:jc w:val="center"/>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CellMar>
            <w:top w:w="0" w:type="dxa"/>
            <w:left w:w="108" w:type="dxa"/>
            <w:bottom w:w="0" w:type="dxa"/>
            <w:right w:w="108" w:type="dxa"/>
          </w:tblCellMar>
        </w:tblPrEx>
        <w:trPr>
          <w:trHeight w:val="81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CellMar>
            <w:top w:w="0" w:type="dxa"/>
            <w:left w:w="108" w:type="dxa"/>
            <w:bottom w:w="0" w:type="dxa"/>
            <w:right w:w="108" w:type="dxa"/>
          </w:tblCellMar>
        </w:tblPrEx>
        <w:trPr>
          <w:trHeight w:val="123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97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228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CellMar>
            <w:top w:w="0" w:type="dxa"/>
            <w:left w:w="108" w:type="dxa"/>
            <w:bottom w:w="0" w:type="dxa"/>
            <w:right w:w="108" w:type="dxa"/>
          </w:tblCellMar>
        </w:tblPrEx>
        <w:trPr>
          <w:trHeight w:val="75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CellMar>
            <w:top w:w="0" w:type="dxa"/>
            <w:left w:w="108" w:type="dxa"/>
            <w:bottom w:w="0" w:type="dxa"/>
            <w:right w:w="108" w:type="dxa"/>
          </w:tblCellMar>
        </w:tblPrEx>
        <w:trPr>
          <w:trHeight w:val="75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CellMar>
            <w:top w:w="0" w:type="dxa"/>
            <w:left w:w="108" w:type="dxa"/>
            <w:bottom w:w="0" w:type="dxa"/>
            <w:right w:w="108" w:type="dxa"/>
          </w:tblCellMar>
        </w:tblPrEx>
        <w:trPr>
          <w:trHeight w:val="120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CellMar>
            <w:top w:w="0" w:type="dxa"/>
            <w:left w:w="108" w:type="dxa"/>
            <w:bottom w:w="0" w:type="dxa"/>
            <w:right w:w="108" w:type="dxa"/>
          </w:tblCellMar>
        </w:tblPrEx>
        <w:trPr>
          <w:trHeight w:val="97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CellMar>
            <w:top w:w="0" w:type="dxa"/>
            <w:left w:w="108" w:type="dxa"/>
            <w:bottom w:w="0" w:type="dxa"/>
            <w:right w:w="108" w:type="dxa"/>
          </w:tblCellMar>
        </w:tblPrEx>
        <w:trPr>
          <w:trHeight w:val="94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CellMar>
            <w:top w:w="0" w:type="dxa"/>
            <w:left w:w="108" w:type="dxa"/>
            <w:bottom w:w="0" w:type="dxa"/>
            <w:right w:w="108" w:type="dxa"/>
          </w:tblCellMar>
        </w:tblPrEx>
        <w:trPr>
          <w:trHeight w:val="78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1200" w:hRule="atLeast"/>
          <w:jc w:val="center"/>
        </w:trPr>
        <w:tc>
          <w:tcPr>
            <w:tcW w:w="846"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C.不动产交易税收登记服务大厅租金专项经费绩效（60%）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C1.项目产出（30%）（说明：该指标主要反映部门（单位）项目工作任务的完成情况。三、四级指标以各部门（单位）在绩效自评工作中要结合项目特征设置个性化的三、四级指标。）</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C11.不动产交易税收登记服务大厅租金专项经费</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C111.成本指标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不动产交易登记税收服务大厅房屋租金196万元</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是否按相关依据标准做预算经费。</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年初预算项目标申报表、立项申请、批复文件、区政府相关规划、决策、批复</w:t>
            </w:r>
          </w:p>
        </w:tc>
      </w:tr>
      <w:tr>
        <w:tblPrEx>
          <w:tblCellMar>
            <w:top w:w="0" w:type="dxa"/>
            <w:left w:w="108" w:type="dxa"/>
            <w:bottom w:w="0" w:type="dxa"/>
            <w:right w:w="108" w:type="dxa"/>
          </w:tblCellMar>
        </w:tblPrEx>
        <w:trPr>
          <w:trHeight w:val="825"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C112.时效指标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2021年按支付完成</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按合同按时支付，存在一次未及时处理的，扣权重的10%，扣完为止。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合同金额及支付时间</w:t>
            </w:r>
          </w:p>
        </w:tc>
      </w:tr>
      <w:tr>
        <w:tblPrEx>
          <w:tblCellMar>
            <w:top w:w="0" w:type="dxa"/>
            <w:left w:w="108" w:type="dxa"/>
            <w:bottom w:w="0" w:type="dxa"/>
            <w:right w:w="108" w:type="dxa"/>
          </w:tblCellMar>
        </w:tblPrEx>
        <w:trPr>
          <w:trHeight w:val="840"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C113.数量指标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不动产交易税收登记服务大厅租金专项经费是否按合同金额及时支付。</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全部合格，得满分；存在一次超标，扣权重的10%，扣完为止。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年底决算表支出数</w:t>
            </w:r>
          </w:p>
        </w:tc>
      </w:tr>
      <w:tr>
        <w:tblPrEx>
          <w:tblCellMar>
            <w:top w:w="0" w:type="dxa"/>
            <w:left w:w="108" w:type="dxa"/>
            <w:bottom w:w="0" w:type="dxa"/>
            <w:right w:w="108" w:type="dxa"/>
          </w:tblCellMar>
        </w:tblPrEx>
        <w:trPr>
          <w:trHeight w:val="2715" w:hRule="atLeast"/>
          <w:jc w:val="center"/>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20%）（说明：该指标主要反映部门（单位）项目的实施效果。三、四级指标以XX年度污泥厂经费支出绩效评价为例设置，供各部门（单位）参考。各部门（单位）在绩效自评工作中要结合项目特征设置个性化的三、四级指标。）</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C211.社会效益指标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实现便民，利民，增加盘龙区税收</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及时提供企业及群众需求，得满分；存在一次不能满足的情况，扣权重的30%，扣完为止。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相关支付完成台账</w:t>
            </w:r>
          </w:p>
        </w:tc>
      </w:tr>
      <w:tr>
        <w:tblPrEx>
          <w:tblCellMar>
            <w:top w:w="0" w:type="dxa"/>
            <w:left w:w="108" w:type="dxa"/>
            <w:bottom w:w="0" w:type="dxa"/>
            <w:right w:w="108" w:type="dxa"/>
          </w:tblCellMar>
        </w:tblPrEx>
        <w:trPr>
          <w:trHeight w:val="540" w:hRule="atLeast"/>
          <w:jc w:val="center"/>
        </w:trPr>
        <w:tc>
          <w:tcPr>
            <w:tcW w:w="846"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C3.项目满意度（10%）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w:t>
            </w:r>
            <w:r>
              <w:rPr>
                <w:rFonts w:hint="eastAsia" w:ascii="宋体" w:hAnsi="宋体" w:cs="宋体"/>
                <w:color w:val="000000"/>
                <w:kern w:val="0"/>
                <w:sz w:val="18"/>
                <w:szCs w:val="18"/>
              </w:rPr>
              <w:t>1.服务对象的满意度</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C31</w:t>
            </w:r>
            <w:r>
              <w:rPr>
                <w:rFonts w:hint="eastAsia" w:ascii="宋体" w:hAnsi="宋体" w:cs="宋体"/>
                <w:color w:val="000000"/>
                <w:kern w:val="0"/>
                <w:sz w:val="18"/>
                <w:szCs w:val="18"/>
              </w:rPr>
              <w:t>1.群众满意度</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评价记录本测评群众满意程度</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该指标权重10分，根据群众反馈情况评分。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①满意度≥90%得10分；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②90%＞满意度≥80%得8分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③80%＞满意度≥70%得6分；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④70%＞满意度≥60%得3分；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⑤满意度&lt;60%得0分;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评价记录本测评结果</w:t>
            </w:r>
          </w:p>
        </w:tc>
      </w:tr>
      <w:tr>
        <w:tblPrEx>
          <w:tblCellMar>
            <w:top w:w="0" w:type="dxa"/>
            <w:left w:w="108" w:type="dxa"/>
            <w:bottom w:w="0" w:type="dxa"/>
            <w:right w:w="108" w:type="dxa"/>
          </w:tblCellMar>
        </w:tblPrEx>
        <w:trPr>
          <w:trHeight w:val="540"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pPr>
        <w:rPr>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13</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3D1C81"/>
    <w:rsid w:val="000353B6"/>
    <w:rsid w:val="00037216"/>
    <w:rsid w:val="000602F8"/>
    <w:rsid w:val="000A294F"/>
    <w:rsid w:val="00103C0C"/>
    <w:rsid w:val="00147D36"/>
    <w:rsid w:val="0018648F"/>
    <w:rsid w:val="00200F12"/>
    <w:rsid w:val="002D695D"/>
    <w:rsid w:val="002F7AEF"/>
    <w:rsid w:val="00356951"/>
    <w:rsid w:val="00376003"/>
    <w:rsid w:val="003A3750"/>
    <w:rsid w:val="003B574E"/>
    <w:rsid w:val="003D1C81"/>
    <w:rsid w:val="003D4FB0"/>
    <w:rsid w:val="0046791A"/>
    <w:rsid w:val="00494DBA"/>
    <w:rsid w:val="004D0A06"/>
    <w:rsid w:val="00516B9A"/>
    <w:rsid w:val="005E1F38"/>
    <w:rsid w:val="005E5DAF"/>
    <w:rsid w:val="005F2797"/>
    <w:rsid w:val="00634E86"/>
    <w:rsid w:val="006435A0"/>
    <w:rsid w:val="006902CE"/>
    <w:rsid w:val="006A3081"/>
    <w:rsid w:val="006B5D37"/>
    <w:rsid w:val="006C77AA"/>
    <w:rsid w:val="006F4D92"/>
    <w:rsid w:val="00712537"/>
    <w:rsid w:val="007A369F"/>
    <w:rsid w:val="008571AE"/>
    <w:rsid w:val="008572A9"/>
    <w:rsid w:val="00892E9B"/>
    <w:rsid w:val="00893C6A"/>
    <w:rsid w:val="008A4F6F"/>
    <w:rsid w:val="00952A3A"/>
    <w:rsid w:val="009A5A75"/>
    <w:rsid w:val="009F6584"/>
    <w:rsid w:val="009F6BA0"/>
    <w:rsid w:val="00A607BB"/>
    <w:rsid w:val="00A76190"/>
    <w:rsid w:val="00AA0A5C"/>
    <w:rsid w:val="00AC1BCF"/>
    <w:rsid w:val="00B40D90"/>
    <w:rsid w:val="00BB08B0"/>
    <w:rsid w:val="00BB42A4"/>
    <w:rsid w:val="00CB6588"/>
    <w:rsid w:val="00CF68D5"/>
    <w:rsid w:val="00D11C5C"/>
    <w:rsid w:val="00D87242"/>
    <w:rsid w:val="00E53225"/>
    <w:rsid w:val="00E9774B"/>
    <w:rsid w:val="00EC58B1"/>
    <w:rsid w:val="00F22640"/>
    <w:rsid w:val="00F32C6F"/>
    <w:rsid w:val="00F46384"/>
    <w:rsid w:val="00F55C21"/>
    <w:rsid w:val="04F33321"/>
    <w:rsid w:val="1B372036"/>
    <w:rsid w:val="6A731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semiHidden/>
    <w:unhideWhenUsed/>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uiPriority w:val="99"/>
    <w:rPr>
      <w:sz w:val="18"/>
      <w:szCs w:val="18"/>
    </w:rPr>
  </w:style>
  <w:style w:type="character" w:customStyle="1" w:styleId="9">
    <w:name w:val="页脚 Char"/>
    <w:basedOn w:val="7"/>
    <w:link w:val="4"/>
    <w:uiPriority w:val="99"/>
    <w:rPr>
      <w:sz w:val="18"/>
      <w:szCs w:val="18"/>
    </w:rPr>
  </w:style>
  <w:style w:type="paragraph" w:customStyle="1" w:styleId="10">
    <w:name w:val="TOC 标题1"/>
    <w:basedOn w:val="2"/>
    <w:next w:val="1"/>
    <w:uiPriority w:val="99"/>
    <w:pPr>
      <w:widowControl/>
      <w:spacing w:before="480" w:after="0" w:line="276" w:lineRule="auto"/>
      <w:jc w:val="left"/>
      <w:outlineLvl w:val="9"/>
    </w:pPr>
    <w:rPr>
      <w:rFonts w:ascii="Cambria" w:hAnsi="Cambria" w:cs="Cambria"/>
      <w:color w:val="365F91"/>
      <w:kern w:val="0"/>
      <w:sz w:val="28"/>
      <w:szCs w:val="28"/>
      <w:lang w:val="zh-CN"/>
    </w:rPr>
  </w:style>
  <w:style w:type="paragraph" w:customStyle="1" w:styleId="11">
    <w:name w:val="正文 A"/>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2">
    <w:name w:val="标题 1 Char"/>
    <w:basedOn w:val="7"/>
    <w:link w:val="2"/>
    <w:uiPriority w:val="9"/>
    <w:rPr>
      <w:rFonts w:ascii="Calibri" w:hAnsi="Calibri" w:eastAsia="宋体" w:cs="Times New Roman"/>
      <w:b/>
      <w:bCs/>
      <w:kern w:val="44"/>
      <w:sz w:val="44"/>
      <w:szCs w:val="44"/>
    </w:rPr>
  </w:style>
  <w:style w:type="character" w:customStyle="1" w:styleId="13">
    <w:name w:val="批注框文本 Char"/>
    <w:basedOn w:val="7"/>
    <w:link w:val="3"/>
    <w:semiHidden/>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5847</Words>
  <Characters>6181</Characters>
  <Lines>49</Lines>
  <Paragraphs>13</Paragraphs>
  <TotalTime>80</TotalTime>
  <ScaleCrop>false</ScaleCrop>
  <LinksUpToDate>false</LinksUpToDate>
  <CharactersWithSpaces>6424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2023-04-20T06:41:00Z</dcterms:created>
  <dc:creator>jsp</dc:creator>
  <cp:lastModifiedBy>岂曰无衣</cp:lastModifiedBy>
  <cp:lastPrinted>2023-04-27T02:03:00Z</cp:lastPrinted>
  <dcterms:modified xsi:type="dcterms:W3CDTF">2023-09-15T03:28:30Z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D434003A8FD349EBA29E1294ED93BC12_12</vt:lpwstr>
  </property>
</Properties>
</file>