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CCFFFF"/>
  <w:body>
    <w:p>
      <w:pPr>
        <w:spacing w:before="120" w:after="120" w:line="480" w:lineRule="auto"/>
        <w:jc w:val="center"/>
        <w:rPr>
          <w:rFonts w:ascii="Times New Roman" w:hAnsi="Times New Roman" w:eastAsia="黑体"/>
          <w:b/>
          <w:bCs/>
          <w:sz w:val="52"/>
          <w:szCs w:val="52"/>
        </w:rPr>
      </w:pPr>
    </w:p>
    <w:p>
      <w:pPr>
        <w:jc w:val="center"/>
        <w:rPr>
          <w:rFonts w:ascii="Times New Roman" w:hAnsi="黑体" w:eastAsia="黑体"/>
          <w:bCs/>
          <w:sz w:val="52"/>
          <w:szCs w:val="52"/>
        </w:rPr>
      </w:pPr>
      <w:r>
        <w:rPr>
          <w:rFonts w:hint="eastAsia" w:ascii="Times New Roman" w:hAnsi="黑体" w:eastAsia="黑体"/>
          <w:bCs/>
          <w:sz w:val="52"/>
          <w:szCs w:val="52"/>
          <w:lang w:val="en-US" w:eastAsia="zh-CN"/>
        </w:rPr>
        <w:t>档案室租金</w:t>
      </w:r>
      <w:r>
        <w:rPr>
          <w:rFonts w:ascii="Times New Roman" w:hAnsi="黑体" w:eastAsia="黑体"/>
          <w:bCs/>
          <w:sz w:val="52"/>
          <w:szCs w:val="52"/>
        </w:rPr>
        <w:t>绩效自评报告</w:t>
      </w:r>
    </w:p>
    <w:p>
      <w:pPr>
        <w:jc w:val="center"/>
        <w:rPr>
          <w:rFonts w:ascii="Times New Roman" w:hAnsi="Times New Roman" w:eastAsia="黑体"/>
          <w:bCs/>
          <w:sz w:val="52"/>
          <w:szCs w:val="52"/>
        </w:rPr>
      </w:pPr>
      <w:r>
        <w:rPr>
          <w:rFonts w:ascii="Times New Roman" w:hAnsi="黑体" w:eastAsia="黑体"/>
          <w:bCs/>
          <w:sz w:val="52"/>
          <w:szCs w:val="52"/>
        </w:rPr>
        <w:t>（</w:t>
      </w:r>
      <w:r>
        <w:rPr>
          <w:rFonts w:ascii="Times New Roman" w:hAnsi="Times New Roman" w:eastAsia="黑体"/>
          <w:bCs/>
          <w:sz w:val="52"/>
          <w:szCs w:val="52"/>
        </w:rPr>
        <w:t>20</w:t>
      </w:r>
      <w:r>
        <w:rPr>
          <w:rFonts w:hint="eastAsia" w:ascii="Times New Roman" w:hAnsi="Times New Roman" w:eastAsia="黑体"/>
          <w:bCs/>
          <w:sz w:val="52"/>
          <w:szCs w:val="52"/>
        </w:rPr>
        <w:t>2</w:t>
      </w:r>
      <w:r>
        <w:rPr>
          <w:rFonts w:hint="eastAsia" w:ascii="Times New Roman" w:hAnsi="Times New Roman" w:eastAsia="黑体"/>
          <w:bCs/>
          <w:sz w:val="52"/>
          <w:szCs w:val="52"/>
          <w:lang w:val="en-US" w:eastAsia="zh-CN"/>
        </w:rPr>
        <w:t>2</w:t>
      </w:r>
      <w:r>
        <w:rPr>
          <w:rFonts w:ascii="Times New Roman" w:hAnsi="黑体" w:eastAsia="黑体"/>
          <w:bCs/>
          <w:sz w:val="52"/>
          <w:szCs w:val="52"/>
        </w:rPr>
        <w:t>年度）</w:t>
      </w:r>
    </w:p>
    <w:p>
      <w:pPr>
        <w:spacing w:before="120" w:after="120" w:line="480" w:lineRule="auto"/>
        <w:jc w:val="center"/>
        <w:rPr>
          <w:rFonts w:ascii="Times New Roman" w:hAnsi="Times New Roman" w:eastAsia="黑体"/>
          <w:b/>
          <w:bCs/>
          <w:sz w:val="52"/>
          <w:szCs w:val="52"/>
        </w:rPr>
      </w:pPr>
    </w:p>
    <w:p>
      <w:pPr>
        <w:spacing w:before="120" w:after="120" w:line="480" w:lineRule="auto"/>
        <w:jc w:val="center"/>
        <w:rPr>
          <w:rFonts w:ascii="Times New Roman" w:hAnsi="Times New Roman"/>
          <w:b/>
          <w:bCs/>
          <w:sz w:val="44"/>
          <w:szCs w:val="44"/>
        </w:rPr>
      </w:pPr>
    </w:p>
    <w:p>
      <w:pPr>
        <w:spacing w:before="120" w:after="120" w:line="480" w:lineRule="auto"/>
        <w:jc w:val="center"/>
        <w:rPr>
          <w:rFonts w:ascii="Times New Roman" w:hAnsi="Times New Roman" w:eastAsia="黑体"/>
          <w:b/>
          <w:bCs/>
          <w:sz w:val="44"/>
          <w:szCs w:val="44"/>
        </w:rPr>
      </w:pPr>
    </w:p>
    <w:p>
      <w:pPr>
        <w:adjustRightInd w:val="0"/>
        <w:snapToGrid w:val="0"/>
        <w:spacing w:line="360" w:lineRule="auto"/>
        <w:ind w:left="1260" w:leftChars="600"/>
        <w:rPr>
          <w:rFonts w:ascii="Times New Roman" w:hAnsi="Times New Roman" w:eastAsia="黑体"/>
          <w:b/>
          <w:bCs/>
          <w:sz w:val="28"/>
          <w:szCs w:val="28"/>
        </w:rPr>
      </w:pPr>
      <w:r>
        <w:rPr>
          <w:rFonts w:ascii="Times New Roman" w:hAnsi="Times New Roman"/>
        </w:rPr>
        <w:pict>
          <v:shape id="_x0000_s1026" o:spid="_x0000_s1026" o:spt="32" type="#_x0000_t32" style="position:absolute;left:0pt;margin-left:186.75pt;margin-top:15.45pt;height:0pt;width:196.5pt;z-index:251659264;mso-width-relative:page;mso-height-relative:page;" filled="f" coordsize="21600,21600" o:gfxdata="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l6lyg1wAAAAkBAAAPAAAAAAAA&#10;AAEAIAAAACIAAABkcnMvZG93bnJldi54bWxQSwECFAAUAAAACACHTuJA6yaEFtoBAACVAwAADgAA&#10;AAAAAAABACAAAAAmAQAAZHJzL2Uyb0RvYy54bWxQSwUGAAAAAAYABgBZAQAAcgUAAAAA&#10;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ascii="Times New Roman" w:hAnsi="Times New Roman" w:eastAsia="黑体"/>
          <w:b/>
          <w:bCs/>
          <w:sz w:val="28"/>
          <w:szCs w:val="28"/>
        </w:rPr>
        <w:t>部门名称（公章）：盘龙区人力资源和社会保障局</w:t>
      </w:r>
    </w:p>
    <w:p>
      <w:pPr>
        <w:adjustRightInd w:val="0"/>
        <w:snapToGrid w:val="0"/>
        <w:spacing w:line="360" w:lineRule="auto"/>
        <w:ind w:left="1260" w:leftChars="600"/>
        <w:rPr>
          <w:rFonts w:hint="eastAsia" w:ascii="Times New Roman" w:hAnsi="Times New Roman" w:eastAsia="黑体"/>
          <w:b/>
          <w:bCs/>
          <w:sz w:val="28"/>
          <w:szCs w:val="28"/>
          <w:highlight w:val="none"/>
          <w:lang w:eastAsia="zh-CN"/>
        </w:rPr>
      </w:pPr>
      <w:r>
        <w:rPr>
          <w:rFonts w:ascii="Times New Roman" w:hAnsi="Times New Roman"/>
        </w:rPr>
        <w:pict>
          <v:shape id="自选图形 3" o:spid="_x0000_s1031" o:spt="32" type="#_x0000_t32" style="position:absolute;left:0pt;margin-left:135pt;margin-top:17.45pt;height:0pt;width:248.25pt;z-index:251659264;mso-width-relative:page;mso-height-relative:page;" filled="f" coordsize="21600,21600" o:gfxdata="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WfvYVNgAAAAJAQAADwAAAAAA&#10;AAABACAAAAAiAAAAZHJzL2Rvd25yZXYueG1sUEsBAhQAFAAAAAgAh07iQE1yCD3aAQAAlQMAAA4A&#10;AAAAAAAAAQAgAAAAJwEAAGRycy9lMm9Eb2MueG1sUEsFBgAAAAAGAAYAWQEAAHMFAAAAAA==&#10;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ascii="Times New Roman" w:hAnsi="Times New Roman" w:eastAsia="黑体"/>
          <w:b/>
          <w:bCs/>
          <w:sz w:val="28"/>
          <w:szCs w:val="28"/>
        </w:rPr>
        <w:t>项目单位：</w:t>
      </w:r>
      <w:r>
        <w:rPr>
          <w:rFonts w:hint="eastAsia" w:ascii="Times New Roman" w:hAnsi="Times New Roman" w:eastAsia="黑体"/>
          <w:b/>
          <w:bCs/>
          <w:sz w:val="28"/>
          <w:szCs w:val="28"/>
          <w:lang w:eastAsia="zh-CN"/>
        </w:rPr>
        <w:t>行政办公室</w:t>
      </w:r>
    </w:p>
    <w:p>
      <w:pPr>
        <w:adjustRightInd w:val="0"/>
        <w:snapToGrid w:val="0"/>
        <w:spacing w:line="360" w:lineRule="auto"/>
        <w:ind w:left="1260" w:leftChars="600"/>
        <w:rPr>
          <w:rFonts w:ascii="Times New Roman" w:hAnsi="Times New Roman" w:eastAsia="黑体"/>
          <w:b/>
          <w:bCs/>
          <w:sz w:val="28"/>
          <w:szCs w:val="28"/>
        </w:rPr>
      </w:pPr>
      <w:r>
        <w:rPr>
          <w:rFonts w:ascii="Times New Roman" w:hAnsi="Times New Roman"/>
        </w:rPr>
        <w:pict>
          <v:shape id="自选图形 4" o:spid="_x0000_s1030" o:spt="32" type="#_x0000_t32" style="position:absolute;left:0pt;margin-left:135pt;margin-top:14.25pt;height:0pt;width:248.25pt;z-index:251659264;mso-width-relative:page;mso-height-relative:page;" filled="f" coordsize="21600,21600" o:gfxdata="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0bpwj9cAAAAJAQAADwAAAAAA&#10;AAABACAAAAAiAAAAZHJzL2Rvd25yZXYueG1sUEsBAhQAFAAAAAgAh07iQB83Aa3bAQAAlQMAAA4A&#10;AAAAAAAAAQAgAAAAJgEAAGRycy9lMm9Eb2MueG1sUEsFBgAAAAAGAAYAWQEAAHMFAAAAAA==&#10;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ascii="Times New Roman" w:hAnsi="Times New Roman" w:eastAsia="黑体"/>
          <w:b/>
          <w:bCs/>
          <w:sz w:val="28"/>
          <w:szCs w:val="28"/>
        </w:rPr>
        <w:t>主管部门：</w:t>
      </w:r>
    </w:p>
    <w:p>
      <w:pPr>
        <w:adjustRightInd w:val="0"/>
        <w:snapToGrid w:val="0"/>
        <w:spacing w:line="360" w:lineRule="auto"/>
        <w:ind w:firstLine="1260" w:firstLineChars="600"/>
        <w:rPr>
          <w:rFonts w:ascii="Times New Roman" w:hAnsi="Times New Roman" w:eastAsia="黑体"/>
          <w:b/>
          <w:bCs/>
          <w:sz w:val="28"/>
          <w:szCs w:val="28"/>
        </w:rPr>
      </w:pPr>
      <w:r>
        <w:rPr>
          <w:rFonts w:ascii="Times New Roman" w:hAnsi="Times New Roman"/>
        </w:rPr>
        <w:pict>
          <v:shape id="_x0000_s1029" o:spid="_x0000_s1029" o:spt="32" type="#_x0000_t32" style="position:absolute;left:0pt;flip:y;margin-left:132.65pt;margin-top:17.25pt;height:0.8pt;width:250.6pt;z-index:251659264;mso-width-relative:page;mso-height-relative:page;" filled="f" stroked="t" coordsize="21600,21600">
            <v:path arrowok="t"/>
            <v:fill on="f" focussize="0,0"/>
            <v:stroke color="#000000"/>
            <v:imagedata o:title=""/>
            <o:lock v:ext="edit" aspectratio="f"/>
          </v:shape>
        </w:pict>
      </w:r>
      <w:r>
        <w:rPr>
          <w:rFonts w:ascii="Times New Roman" w:hAnsi="Times New Roman" w:eastAsia="黑体"/>
          <w:b/>
          <w:bCs/>
          <w:sz w:val="28"/>
          <w:szCs w:val="28"/>
        </w:rPr>
        <w:t>项目名称：</w:t>
      </w:r>
      <w:r>
        <w:rPr>
          <w:rFonts w:hint="eastAsia" w:ascii="Times New Roman" w:hAnsi="Times New Roman" w:eastAsia="黑体"/>
          <w:b/>
          <w:bCs/>
          <w:sz w:val="28"/>
          <w:szCs w:val="28"/>
        </w:rPr>
        <w:t>档案室租金</w:t>
      </w:r>
    </w:p>
    <w:p>
      <w:pPr>
        <w:adjustRightInd w:val="0"/>
        <w:snapToGrid w:val="0"/>
        <w:spacing w:line="360" w:lineRule="auto"/>
        <w:ind w:left="1260" w:leftChars="600"/>
        <w:rPr>
          <w:rFonts w:ascii="Times New Roman" w:hAnsi="Times New Roman" w:eastAsia="黑体"/>
          <w:b/>
          <w:bCs/>
          <w:sz w:val="28"/>
          <w:szCs w:val="28"/>
        </w:rPr>
      </w:pPr>
      <w:r>
        <w:rPr>
          <w:rFonts w:ascii="Times New Roman" w:hAnsi="Times New Roman"/>
        </w:rPr>
        <w:pict>
          <v:shape id="自选图形 6" o:spid="_x0000_s1027" o:spt="32" type="#_x0000_t32" style="position:absolute;left:0pt;flip:y;margin-left:157.65pt;margin-top:18pt;height:1.65pt;width:225.6pt;z-index:251659264;mso-width-relative:page;mso-height-relative:page;" filled="f" stroked="t" coordsize="21600,21600">
            <v:path arrowok="t"/>
            <v:fill on="f" focussize="0,0"/>
            <v:stroke color="#000000"/>
            <v:imagedata o:title=""/>
            <o:lock v:ext="edit" aspectratio="f"/>
          </v:shape>
        </w:pict>
      </w:r>
      <w:r>
        <w:rPr>
          <w:rFonts w:ascii="Times New Roman" w:hAnsi="Times New Roman" w:eastAsia="黑体"/>
          <w:b/>
          <w:bCs/>
          <w:sz w:val="28"/>
          <w:szCs w:val="28"/>
        </w:rPr>
        <w:t>绩效自评日期：202</w:t>
      </w:r>
      <w:r>
        <w:rPr>
          <w:rFonts w:hint="eastAsia" w:ascii="Times New Roman" w:hAnsi="Times New Roman" w:eastAsia="黑体"/>
          <w:b/>
          <w:bCs/>
          <w:sz w:val="28"/>
          <w:szCs w:val="28"/>
          <w:lang w:val="en-US" w:eastAsia="zh-CN"/>
        </w:rPr>
        <w:t>3</w:t>
      </w:r>
      <w:r>
        <w:rPr>
          <w:rFonts w:ascii="Times New Roman" w:hAnsi="Times New Roman" w:eastAsia="黑体"/>
          <w:b/>
          <w:bCs/>
          <w:sz w:val="28"/>
          <w:szCs w:val="28"/>
        </w:rPr>
        <w:t>年4月</w:t>
      </w:r>
    </w:p>
    <w:p>
      <w:pPr>
        <w:spacing w:line="360" w:lineRule="auto"/>
        <w:ind w:left="1218" w:leftChars="580"/>
        <w:rPr>
          <w:rFonts w:ascii="Times New Roman" w:hAnsi="Times New Roman" w:eastAsia="黑体"/>
          <w:b/>
          <w:bCs/>
          <w:sz w:val="28"/>
          <w:szCs w:val="28"/>
        </w:rPr>
      </w:pPr>
    </w:p>
    <w:p>
      <w:pPr>
        <w:jc w:val="center"/>
        <w:rPr>
          <w:rFonts w:ascii="Times New Roman" w:hAnsi="Times New Roman" w:eastAsia="黑体"/>
          <w:b/>
          <w:bCs/>
          <w:sz w:val="28"/>
          <w:szCs w:val="28"/>
        </w:rPr>
      </w:pPr>
      <w:r>
        <w:rPr>
          <w:rFonts w:ascii="Times New Roman" w:hAnsi="Times New Roman" w:eastAsia="黑体"/>
          <w:b/>
          <w:bCs/>
          <w:sz w:val="28"/>
          <w:szCs w:val="28"/>
        </w:rPr>
        <w:t>202</w:t>
      </w:r>
      <w:r>
        <w:rPr>
          <w:rFonts w:hint="eastAsia" w:ascii="Times New Roman" w:hAnsi="Times New Roman" w:eastAsia="黑体"/>
          <w:b/>
          <w:bCs/>
          <w:sz w:val="28"/>
          <w:szCs w:val="28"/>
          <w:lang w:val="en-US" w:eastAsia="zh-CN"/>
        </w:rPr>
        <w:t>3</w:t>
      </w:r>
      <w:r>
        <w:rPr>
          <w:rFonts w:ascii="Times New Roman" w:hAnsi="Times New Roman" w:eastAsia="黑体"/>
          <w:b/>
          <w:bCs/>
          <w:sz w:val="28"/>
          <w:szCs w:val="28"/>
        </w:rPr>
        <w:t>年4月</w:t>
      </w:r>
    </w:p>
    <w:p>
      <w:pPr>
        <w:jc w:val="center"/>
        <w:rPr>
          <w:rFonts w:ascii="Times New Roman" w:hAnsi="Times New Roman" w:eastAsia="黑体"/>
          <w:b/>
          <w:bCs/>
          <w:sz w:val="28"/>
          <w:szCs w:val="28"/>
        </w:rPr>
      </w:pPr>
    </w:p>
    <w:p>
      <w:pPr>
        <w:jc w:val="center"/>
        <w:rPr>
          <w:rFonts w:ascii="Times New Roman" w:hAnsi="Times New Roman" w:eastAsia="黑体"/>
          <w:b/>
          <w:bCs/>
          <w:sz w:val="28"/>
          <w:szCs w:val="28"/>
        </w:rPr>
      </w:pPr>
    </w:p>
    <w:p>
      <w:pPr>
        <w:widowControl/>
        <w:jc w:val="left"/>
        <w:rPr>
          <w:rFonts w:ascii="Times New Roman" w:hAnsi="Times New Roman" w:eastAsia="仿宋_GB2312"/>
          <w:b/>
          <w:bCs/>
          <w:sz w:val="28"/>
          <w:szCs w:val="28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cols w:space="425" w:num="1"/>
          <w:titlePg/>
          <w:docGrid w:type="lines" w:linePitch="312" w:charSpace="0"/>
        </w:sectPr>
      </w:pPr>
    </w:p>
    <w:p>
      <w:pPr>
        <w:pStyle w:val="14"/>
        <w:widowControl w:val="0"/>
        <w:spacing w:after="0" w:line="360" w:lineRule="auto"/>
        <w:ind w:left="420" w:leftChars="200"/>
        <w:jc w:val="both"/>
        <w:rPr>
          <w:rFonts w:ascii="Times New Roman" w:hAnsi="Times New Roman" w:eastAsia="黑体" w:cs="Times New Roman"/>
          <w:kern w:val="2"/>
          <w:sz w:val="24"/>
          <w:szCs w:val="24"/>
          <w:lang w:val="zh-TW" w:eastAsia="zh-TW"/>
        </w:rPr>
      </w:pPr>
      <w:r>
        <w:rPr>
          <w:rFonts w:ascii="Times New Roman" w:hAnsi="Times New Roman" w:eastAsia="黑体" w:cs="Times New Roman"/>
          <w:kern w:val="2"/>
          <w:sz w:val="24"/>
          <w:szCs w:val="24"/>
          <w:lang w:val="zh-TW" w:eastAsia="zh-TW"/>
        </w:rPr>
        <w:t>评价小组成员：</w:t>
      </w:r>
    </w:p>
    <w:tbl>
      <w:tblPr>
        <w:tblStyle w:val="8"/>
        <w:tblpPr w:leftFromText="180" w:rightFromText="180" w:vertAnchor="text" w:horzAnchor="margin" w:tblpY="72"/>
        <w:tblW w:w="81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620"/>
        <w:gridCol w:w="1971"/>
        <w:gridCol w:w="1270"/>
        <w:gridCol w:w="1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620" w:type="dxa"/>
            <w:vAlign w:val="center"/>
          </w:tcPr>
          <w:p>
            <w:pPr>
              <w:pStyle w:val="14"/>
              <w:widowControl w:val="0"/>
              <w:spacing w:after="0" w:line="240" w:lineRule="auto"/>
              <w:jc w:val="center"/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</w:pPr>
            <w:r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  <w:t>评价小组</w:t>
            </w:r>
          </w:p>
          <w:p>
            <w:pPr>
              <w:pStyle w:val="14"/>
              <w:widowControl w:val="0"/>
              <w:spacing w:after="0" w:line="240" w:lineRule="auto"/>
              <w:jc w:val="center"/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</w:pPr>
            <w:r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  <w:t>机构职位</w:t>
            </w:r>
          </w:p>
        </w:tc>
        <w:tc>
          <w:tcPr>
            <w:tcW w:w="1620" w:type="dxa"/>
            <w:vAlign w:val="center"/>
          </w:tcPr>
          <w:p>
            <w:pPr>
              <w:pStyle w:val="14"/>
              <w:widowControl w:val="0"/>
              <w:spacing w:after="0" w:line="240" w:lineRule="auto"/>
              <w:jc w:val="center"/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</w:pPr>
            <w:r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  <w:t>姓名</w:t>
            </w:r>
          </w:p>
        </w:tc>
        <w:tc>
          <w:tcPr>
            <w:tcW w:w="1971" w:type="dxa"/>
            <w:vAlign w:val="center"/>
          </w:tcPr>
          <w:p>
            <w:pPr>
              <w:pStyle w:val="14"/>
              <w:widowControl w:val="0"/>
              <w:spacing w:after="0" w:line="240" w:lineRule="auto"/>
              <w:jc w:val="center"/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</w:pPr>
            <w:r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  <w:t>职务/职称</w:t>
            </w:r>
          </w:p>
        </w:tc>
        <w:tc>
          <w:tcPr>
            <w:tcW w:w="1270" w:type="dxa"/>
            <w:vAlign w:val="center"/>
          </w:tcPr>
          <w:p>
            <w:pPr>
              <w:pStyle w:val="14"/>
              <w:widowControl w:val="0"/>
              <w:spacing w:after="0" w:line="240" w:lineRule="auto"/>
              <w:jc w:val="center"/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</w:pPr>
            <w:r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  <w:t>所属</w:t>
            </w:r>
          </w:p>
          <w:p>
            <w:pPr>
              <w:pStyle w:val="14"/>
              <w:widowControl w:val="0"/>
              <w:spacing w:after="0" w:line="240" w:lineRule="auto"/>
              <w:jc w:val="center"/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</w:pPr>
            <w:r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  <w:t>单位/处室</w:t>
            </w:r>
          </w:p>
        </w:tc>
        <w:tc>
          <w:tcPr>
            <w:tcW w:w="1621" w:type="dxa"/>
            <w:vAlign w:val="center"/>
          </w:tcPr>
          <w:p>
            <w:pPr>
              <w:pStyle w:val="14"/>
              <w:widowControl w:val="0"/>
              <w:spacing w:after="0" w:line="240" w:lineRule="auto"/>
              <w:jc w:val="center"/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</w:pPr>
            <w:r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  <w:t>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vAlign w:val="center"/>
          </w:tcPr>
          <w:p>
            <w:pPr>
              <w:pStyle w:val="14"/>
              <w:widowControl w:val="0"/>
              <w:spacing w:after="0" w:line="240" w:lineRule="auto"/>
              <w:jc w:val="center"/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</w:pPr>
            <w:r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  <w:t>组长</w:t>
            </w:r>
          </w:p>
        </w:tc>
        <w:tc>
          <w:tcPr>
            <w:tcW w:w="1620" w:type="dxa"/>
          </w:tcPr>
          <w:p>
            <w:pPr>
              <w:pStyle w:val="14"/>
              <w:widowControl w:val="0"/>
              <w:spacing w:after="0" w:line="240" w:lineRule="auto"/>
              <w:jc w:val="both"/>
              <w:rPr>
                <w:rFonts w:hint="eastAsia" w:ascii="Times New Roman" w:hAnsi="Times New Roman" w:eastAsia="黑体" w:cs="Times New Roman"/>
                <w:kern w:val="2"/>
                <w:sz w:val="24"/>
                <w:szCs w:val="24"/>
                <w:highlight w:val="none"/>
                <w:lang w:val="zh-TW" w:eastAsia="zh-CN"/>
              </w:rPr>
            </w:pPr>
            <w:r>
              <w:rPr>
                <w:rFonts w:hint="eastAsia" w:ascii="Times New Roman" w:hAnsi="Times New Roman" w:eastAsia="黑体" w:cs="Times New Roman"/>
                <w:kern w:val="2"/>
                <w:sz w:val="24"/>
                <w:szCs w:val="24"/>
                <w:highlight w:val="none"/>
                <w:lang w:val="zh-TW" w:eastAsia="zh-CN"/>
              </w:rPr>
              <w:t>李平原</w:t>
            </w:r>
          </w:p>
        </w:tc>
        <w:tc>
          <w:tcPr>
            <w:tcW w:w="1971" w:type="dxa"/>
          </w:tcPr>
          <w:p>
            <w:pPr>
              <w:pStyle w:val="14"/>
              <w:widowControl w:val="0"/>
              <w:spacing w:after="0" w:line="240" w:lineRule="auto"/>
              <w:jc w:val="both"/>
              <w:rPr>
                <w:rFonts w:ascii="Times New Roman" w:hAnsi="Times New Roman" w:eastAsia="黑体" w:cs="Times New Roman"/>
                <w:kern w:val="2"/>
                <w:sz w:val="24"/>
                <w:szCs w:val="24"/>
                <w:highlight w:val="none"/>
                <w:lang w:val="zh-TW"/>
              </w:rPr>
            </w:pPr>
            <w:r>
              <w:rPr>
                <w:rFonts w:ascii="Times New Roman" w:hAnsi="Times New Roman" w:eastAsia="黑体" w:cs="Times New Roman"/>
                <w:kern w:val="2"/>
                <w:sz w:val="24"/>
                <w:szCs w:val="24"/>
                <w:highlight w:val="none"/>
                <w:lang w:val="zh-TW"/>
              </w:rPr>
              <w:t>局长</w:t>
            </w:r>
          </w:p>
        </w:tc>
        <w:tc>
          <w:tcPr>
            <w:tcW w:w="1270" w:type="dxa"/>
          </w:tcPr>
          <w:p>
            <w:pPr>
              <w:pStyle w:val="14"/>
              <w:widowControl w:val="0"/>
              <w:spacing w:after="0" w:line="240" w:lineRule="auto"/>
              <w:jc w:val="both"/>
              <w:rPr>
                <w:rFonts w:ascii="Times New Roman" w:hAnsi="Times New Roman" w:eastAsia="黑体" w:cs="Times New Roman"/>
                <w:kern w:val="2"/>
                <w:sz w:val="24"/>
                <w:szCs w:val="24"/>
                <w:highlight w:val="none"/>
                <w:lang w:val="zh-TW" w:eastAsia="zh-TW"/>
              </w:rPr>
            </w:pPr>
          </w:p>
        </w:tc>
        <w:tc>
          <w:tcPr>
            <w:tcW w:w="1621" w:type="dxa"/>
          </w:tcPr>
          <w:p>
            <w:pPr>
              <w:pStyle w:val="14"/>
              <w:widowControl w:val="0"/>
              <w:spacing w:after="0" w:line="240" w:lineRule="auto"/>
              <w:jc w:val="both"/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vAlign w:val="center"/>
          </w:tcPr>
          <w:p>
            <w:pPr>
              <w:pStyle w:val="14"/>
              <w:widowControl w:val="0"/>
              <w:spacing w:after="0" w:line="360" w:lineRule="auto"/>
              <w:jc w:val="center"/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</w:pPr>
            <w:r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  <w:t>副组长</w:t>
            </w:r>
          </w:p>
        </w:tc>
        <w:tc>
          <w:tcPr>
            <w:tcW w:w="1620" w:type="dxa"/>
          </w:tcPr>
          <w:p>
            <w:pPr>
              <w:pStyle w:val="14"/>
              <w:widowControl w:val="0"/>
              <w:spacing w:after="0" w:line="360" w:lineRule="auto"/>
              <w:jc w:val="both"/>
              <w:rPr>
                <w:rFonts w:hint="eastAsia" w:ascii="Times New Roman" w:hAnsi="Times New Roman" w:eastAsia="黑体" w:cs="Times New Roman"/>
                <w:kern w:val="2"/>
                <w:sz w:val="24"/>
                <w:szCs w:val="24"/>
                <w:highlight w:val="none"/>
                <w:lang w:val="zh-TW" w:eastAsia="zh-CN"/>
              </w:rPr>
            </w:pPr>
            <w:r>
              <w:rPr>
                <w:rFonts w:hint="eastAsia" w:ascii="Times New Roman" w:hAnsi="Times New Roman" w:eastAsia="黑体" w:cs="Times New Roman"/>
                <w:kern w:val="2"/>
                <w:sz w:val="24"/>
                <w:szCs w:val="24"/>
                <w:highlight w:val="none"/>
                <w:lang w:val="zh-TW" w:eastAsia="zh-CN"/>
              </w:rPr>
              <w:t>李霖</w:t>
            </w:r>
          </w:p>
        </w:tc>
        <w:tc>
          <w:tcPr>
            <w:tcW w:w="1971" w:type="dxa"/>
          </w:tcPr>
          <w:p>
            <w:pPr>
              <w:pStyle w:val="14"/>
              <w:widowControl w:val="0"/>
              <w:spacing w:after="0" w:line="360" w:lineRule="auto"/>
              <w:jc w:val="both"/>
              <w:rPr>
                <w:rFonts w:ascii="Times New Roman" w:hAnsi="Times New Roman" w:eastAsia="黑体" w:cs="Times New Roman"/>
                <w:kern w:val="2"/>
                <w:sz w:val="24"/>
                <w:szCs w:val="24"/>
                <w:highlight w:val="none"/>
                <w:lang w:val="zh-TW"/>
              </w:rPr>
            </w:pPr>
            <w:r>
              <w:rPr>
                <w:rFonts w:ascii="Times New Roman" w:hAnsi="Times New Roman" w:eastAsia="黑体" w:cs="Times New Roman"/>
                <w:kern w:val="2"/>
                <w:sz w:val="24"/>
                <w:szCs w:val="24"/>
                <w:highlight w:val="none"/>
                <w:lang w:val="zh-TW"/>
              </w:rPr>
              <w:t>副局长</w:t>
            </w:r>
          </w:p>
        </w:tc>
        <w:tc>
          <w:tcPr>
            <w:tcW w:w="1270" w:type="dxa"/>
          </w:tcPr>
          <w:p>
            <w:pPr>
              <w:pStyle w:val="14"/>
              <w:widowControl w:val="0"/>
              <w:spacing w:after="0" w:line="360" w:lineRule="auto"/>
              <w:jc w:val="both"/>
              <w:rPr>
                <w:rFonts w:ascii="Times New Roman" w:hAnsi="Times New Roman" w:eastAsia="黑体" w:cs="Times New Roman"/>
                <w:kern w:val="2"/>
                <w:sz w:val="24"/>
                <w:szCs w:val="24"/>
                <w:highlight w:val="none"/>
                <w:lang w:val="zh-TW" w:eastAsia="zh-TW"/>
              </w:rPr>
            </w:pPr>
          </w:p>
        </w:tc>
        <w:tc>
          <w:tcPr>
            <w:tcW w:w="1621" w:type="dxa"/>
          </w:tcPr>
          <w:p>
            <w:pPr>
              <w:pStyle w:val="14"/>
              <w:widowControl w:val="0"/>
              <w:spacing w:after="0" w:line="360" w:lineRule="auto"/>
              <w:jc w:val="both"/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1620" w:type="dxa"/>
            <w:vAlign w:val="center"/>
          </w:tcPr>
          <w:p>
            <w:pPr>
              <w:pStyle w:val="14"/>
              <w:widowControl w:val="0"/>
              <w:spacing w:after="0" w:line="360" w:lineRule="auto"/>
              <w:jc w:val="center"/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</w:pPr>
            <w:r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  <w:t>成员</w:t>
            </w:r>
          </w:p>
        </w:tc>
        <w:tc>
          <w:tcPr>
            <w:tcW w:w="1620" w:type="dxa"/>
          </w:tcPr>
          <w:p>
            <w:pPr>
              <w:pStyle w:val="14"/>
              <w:widowControl w:val="0"/>
              <w:spacing w:after="0" w:line="360" w:lineRule="auto"/>
              <w:jc w:val="both"/>
              <w:rPr>
                <w:rFonts w:hint="eastAsia" w:ascii="Times New Roman" w:hAnsi="Times New Roman" w:eastAsia="黑体" w:cs="Times New Roman"/>
                <w:kern w:val="2"/>
                <w:sz w:val="24"/>
                <w:szCs w:val="24"/>
                <w:highlight w:val="none"/>
                <w:lang w:val="zh-TW" w:eastAsia="zh-CN"/>
              </w:rPr>
            </w:pPr>
            <w:r>
              <w:rPr>
                <w:rFonts w:hint="eastAsia" w:ascii="Times New Roman" w:hAnsi="Times New Roman" w:eastAsia="黑体" w:cs="Times New Roman"/>
                <w:kern w:val="2"/>
                <w:sz w:val="24"/>
                <w:szCs w:val="24"/>
                <w:highlight w:val="none"/>
                <w:lang w:val="zh-TW" w:eastAsia="zh-CN"/>
              </w:rPr>
              <w:t>旷尉</w:t>
            </w:r>
          </w:p>
        </w:tc>
        <w:tc>
          <w:tcPr>
            <w:tcW w:w="1971" w:type="dxa"/>
          </w:tcPr>
          <w:p>
            <w:pPr>
              <w:pStyle w:val="14"/>
              <w:widowControl w:val="0"/>
              <w:spacing w:after="0" w:line="360" w:lineRule="auto"/>
              <w:jc w:val="both"/>
              <w:rPr>
                <w:rFonts w:hint="eastAsia" w:ascii="Times New Roman" w:hAnsi="Times New Roman" w:eastAsia="黑体" w:cs="Times New Roman"/>
                <w:kern w:val="2"/>
                <w:sz w:val="24"/>
                <w:szCs w:val="24"/>
                <w:highlight w:val="none"/>
                <w:lang w:val="zh-TW" w:eastAsia="zh-CN"/>
              </w:rPr>
            </w:pPr>
            <w:r>
              <w:rPr>
                <w:rFonts w:hint="eastAsia" w:ascii="Times New Roman" w:hAnsi="Times New Roman" w:eastAsia="黑体" w:cs="Times New Roman"/>
                <w:kern w:val="2"/>
                <w:sz w:val="24"/>
                <w:szCs w:val="24"/>
                <w:highlight w:val="none"/>
                <w:lang w:val="zh-TW" w:eastAsia="zh-CN"/>
              </w:rPr>
              <w:t>行政办公室主任</w:t>
            </w:r>
          </w:p>
        </w:tc>
        <w:tc>
          <w:tcPr>
            <w:tcW w:w="1270" w:type="dxa"/>
          </w:tcPr>
          <w:p>
            <w:pPr>
              <w:pStyle w:val="14"/>
              <w:widowControl w:val="0"/>
              <w:spacing w:after="0" w:line="360" w:lineRule="auto"/>
              <w:jc w:val="both"/>
              <w:rPr>
                <w:rFonts w:ascii="Times New Roman" w:hAnsi="Times New Roman" w:eastAsia="黑体" w:cs="Times New Roman"/>
                <w:kern w:val="2"/>
                <w:sz w:val="24"/>
                <w:szCs w:val="24"/>
                <w:highlight w:val="none"/>
                <w:lang w:val="zh-TW" w:eastAsia="zh-TW"/>
              </w:rPr>
            </w:pPr>
          </w:p>
        </w:tc>
        <w:tc>
          <w:tcPr>
            <w:tcW w:w="1621" w:type="dxa"/>
          </w:tcPr>
          <w:p>
            <w:pPr>
              <w:pStyle w:val="14"/>
              <w:widowControl w:val="0"/>
              <w:spacing w:after="0" w:line="360" w:lineRule="auto"/>
              <w:jc w:val="both"/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1620" w:type="dxa"/>
            <w:vAlign w:val="center"/>
          </w:tcPr>
          <w:p>
            <w:pPr>
              <w:pStyle w:val="14"/>
              <w:widowControl w:val="0"/>
              <w:spacing w:after="0" w:line="360" w:lineRule="auto"/>
              <w:jc w:val="center"/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</w:pPr>
          </w:p>
        </w:tc>
        <w:tc>
          <w:tcPr>
            <w:tcW w:w="1620" w:type="dxa"/>
          </w:tcPr>
          <w:p>
            <w:pPr>
              <w:pStyle w:val="14"/>
              <w:widowControl w:val="0"/>
              <w:spacing w:after="0" w:line="360" w:lineRule="auto"/>
              <w:jc w:val="both"/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</w:pPr>
          </w:p>
        </w:tc>
        <w:tc>
          <w:tcPr>
            <w:tcW w:w="1971" w:type="dxa"/>
          </w:tcPr>
          <w:p>
            <w:pPr>
              <w:pStyle w:val="14"/>
              <w:widowControl w:val="0"/>
              <w:spacing w:after="0" w:line="360" w:lineRule="auto"/>
              <w:jc w:val="both"/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</w:pPr>
          </w:p>
        </w:tc>
        <w:tc>
          <w:tcPr>
            <w:tcW w:w="1270" w:type="dxa"/>
          </w:tcPr>
          <w:p>
            <w:pPr>
              <w:pStyle w:val="14"/>
              <w:widowControl w:val="0"/>
              <w:spacing w:after="0" w:line="360" w:lineRule="auto"/>
              <w:jc w:val="both"/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1" w:type="dxa"/>
          </w:tcPr>
          <w:p>
            <w:pPr>
              <w:pStyle w:val="14"/>
              <w:widowControl w:val="0"/>
              <w:spacing w:after="0" w:line="360" w:lineRule="auto"/>
              <w:jc w:val="both"/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vAlign w:val="center"/>
          </w:tcPr>
          <w:p>
            <w:pPr>
              <w:pStyle w:val="14"/>
              <w:widowControl w:val="0"/>
              <w:spacing w:after="0" w:line="360" w:lineRule="auto"/>
              <w:jc w:val="center"/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</w:pPr>
            <w:r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  <w:t>……</w:t>
            </w:r>
          </w:p>
        </w:tc>
        <w:tc>
          <w:tcPr>
            <w:tcW w:w="1620" w:type="dxa"/>
          </w:tcPr>
          <w:p>
            <w:pPr>
              <w:pStyle w:val="14"/>
              <w:widowControl w:val="0"/>
              <w:spacing w:after="0" w:line="360" w:lineRule="auto"/>
              <w:jc w:val="both"/>
              <w:rPr>
                <w:rFonts w:ascii="Times New Roman" w:hAnsi="Times New Roman" w:eastAsia="黑体" w:cs="Times New Roman"/>
                <w:kern w:val="2"/>
                <w:sz w:val="24"/>
                <w:szCs w:val="24"/>
              </w:rPr>
            </w:pPr>
          </w:p>
        </w:tc>
        <w:tc>
          <w:tcPr>
            <w:tcW w:w="1971" w:type="dxa"/>
          </w:tcPr>
          <w:p>
            <w:pPr>
              <w:pStyle w:val="14"/>
              <w:widowControl w:val="0"/>
              <w:spacing w:after="0" w:line="360" w:lineRule="auto"/>
              <w:jc w:val="both"/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</w:pPr>
          </w:p>
        </w:tc>
        <w:tc>
          <w:tcPr>
            <w:tcW w:w="1270" w:type="dxa"/>
          </w:tcPr>
          <w:p>
            <w:pPr>
              <w:pStyle w:val="14"/>
              <w:widowControl w:val="0"/>
              <w:spacing w:after="0" w:line="360" w:lineRule="auto"/>
              <w:jc w:val="both"/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1" w:type="dxa"/>
          </w:tcPr>
          <w:p>
            <w:pPr>
              <w:pStyle w:val="14"/>
              <w:widowControl w:val="0"/>
              <w:spacing w:after="0" w:line="360" w:lineRule="auto"/>
              <w:jc w:val="both"/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</w:trPr>
        <w:tc>
          <w:tcPr>
            <w:tcW w:w="8102" w:type="dxa"/>
            <w:gridSpan w:val="5"/>
          </w:tcPr>
          <w:p>
            <w:pPr>
              <w:pStyle w:val="14"/>
              <w:widowControl w:val="0"/>
              <w:spacing w:after="0" w:line="360" w:lineRule="auto"/>
              <w:jc w:val="both"/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</w:pPr>
            <w:r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  <w:t>报告撰写人（签字）：</w:t>
            </w:r>
          </w:p>
          <w:p>
            <w:pPr>
              <w:pStyle w:val="14"/>
              <w:widowControl w:val="0"/>
              <w:spacing w:after="0" w:line="360" w:lineRule="auto"/>
              <w:jc w:val="both"/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</w:pPr>
          </w:p>
          <w:p>
            <w:pPr>
              <w:pStyle w:val="14"/>
              <w:widowControl w:val="0"/>
              <w:spacing w:after="0" w:line="360" w:lineRule="auto"/>
              <w:jc w:val="both"/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</w:pPr>
          </w:p>
          <w:p>
            <w:pPr>
              <w:pStyle w:val="14"/>
              <w:widowControl w:val="0"/>
              <w:wordWrap w:val="0"/>
              <w:spacing w:after="0" w:line="360" w:lineRule="auto"/>
              <w:jc w:val="right"/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</w:pPr>
            <w:r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  <w:t>年</w:t>
            </w:r>
            <w:r>
              <w:rPr>
                <w:rFonts w:hint="eastAsia" w:ascii="Times New Roman" w:hAnsi="Times New Roman" w:eastAsia="黑体" w:cs="Times New Roman"/>
                <w:kern w:val="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  <w:t>月</w:t>
            </w:r>
            <w:r>
              <w:rPr>
                <w:rFonts w:hint="eastAsia" w:ascii="Times New Roman" w:hAnsi="Times New Roman" w:eastAsia="黑体" w:cs="Times New Roman"/>
                <w:kern w:val="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1" w:hRule="atLeast"/>
        </w:trPr>
        <w:tc>
          <w:tcPr>
            <w:tcW w:w="8102" w:type="dxa"/>
            <w:gridSpan w:val="5"/>
          </w:tcPr>
          <w:p>
            <w:pPr>
              <w:pStyle w:val="14"/>
              <w:widowControl w:val="0"/>
              <w:spacing w:after="0" w:line="360" w:lineRule="auto"/>
              <w:jc w:val="both"/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</w:pPr>
            <w:r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  <w:t>评价工作负责人（签字）：</w:t>
            </w:r>
          </w:p>
          <w:p>
            <w:pPr>
              <w:pStyle w:val="14"/>
              <w:widowControl w:val="0"/>
              <w:spacing w:after="0" w:line="360" w:lineRule="auto"/>
              <w:jc w:val="both"/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</w:pPr>
          </w:p>
          <w:p>
            <w:pPr>
              <w:pStyle w:val="14"/>
              <w:widowControl w:val="0"/>
              <w:spacing w:after="0" w:line="360" w:lineRule="auto"/>
              <w:jc w:val="both"/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</w:pPr>
          </w:p>
          <w:p>
            <w:pPr>
              <w:pStyle w:val="14"/>
              <w:widowControl w:val="0"/>
              <w:wordWrap w:val="0"/>
              <w:spacing w:after="0" w:line="360" w:lineRule="auto"/>
              <w:jc w:val="right"/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</w:pPr>
            <w:r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  <w:t>年</w:t>
            </w:r>
            <w:r>
              <w:rPr>
                <w:rFonts w:hint="eastAsia" w:ascii="Times New Roman" w:hAnsi="Times New Roman" w:eastAsia="黑体" w:cs="Times New Roman"/>
                <w:kern w:val="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  <w:t>月</w:t>
            </w:r>
            <w:r>
              <w:rPr>
                <w:rFonts w:hint="eastAsia" w:ascii="Times New Roman" w:hAnsi="Times New Roman" w:eastAsia="黑体" w:cs="Times New Roman"/>
                <w:kern w:val="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黑体" w:cs="Times New Roman"/>
                <w:kern w:val="2"/>
                <w:sz w:val="24"/>
                <w:szCs w:val="24"/>
                <w:lang w:val="zh-TW"/>
              </w:rPr>
              <w:t>日</w:t>
            </w:r>
          </w:p>
        </w:tc>
      </w:tr>
    </w:tbl>
    <w:p>
      <w:pPr>
        <w:pStyle w:val="14"/>
        <w:widowControl w:val="0"/>
        <w:spacing w:after="0" w:line="360" w:lineRule="auto"/>
        <w:ind w:firstLine="566" w:firstLineChars="236"/>
        <w:jc w:val="both"/>
        <w:rPr>
          <w:rFonts w:ascii="Times New Roman" w:hAnsi="Times New Roman" w:eastAsia="PMingLiU" w:cs="Times New Roman"/>
          <w:kern w:val="2"/>
          <w:sz w:val="24"/>
          <w:szCs w:val="24"/>
          <w:lang w:val="zh-TW" w:eastAsia="zh-TW"/>
        </w:rPr>
      </w:pPr>
    </w:p>
    <w:p>
      <w:pPr>
        <w:pStyle w:val="14"/>
        <w:widowControl w:val="0"/>
        <w:spacing w:after="0" w:line="360" w:lineRule="auto"/>
        <w:jc w:val="both"/>
        <w:rPr>
          <w:rFonts w:ascii="Times New Roman" w:hAnsi="Times New Roman" w:cs="Times New Roman"/>
          <w:kern w:val="2"/>
          <w:sz w:val="24"/>
          <w:szCs w:val="24"/>
          <w:lang w:val="zh-TW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440" w:lineRule="exact"/>
        <w:ind w:firstLine="640" w:firstLineChars="200"/>
        <w:jc w:val="center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黑体" w:eastAsia="黑体"/>
          <w:sz w:val="32"/>
          <w:szCs w:val="32"/>
        </w:rPr>
        <w:t>目录</w:t>
      </w:r>
    </w:p>
    <w:p>
      <w:pPr>
        <w:spacing w:line="440" w:lineRule="exact"/>
        <w:ind w:firstLine="420" w:firstLineChars="200"/>
        <w:jc w:val="left"/>
        <w:rPr>
          <w:rFonts w:ascii="Times New Roman" w:hAnsi="Times New Roman" w:eastAsia="黑体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440" w:lineRule="exact"/>
        <w:ind w:firstLine="420" w:firstLineChars="200"/>
        <w:jc w:val="left"/>
        <w:textAlignment w:val="auto"/>
        <w:rPr>
          <w:rFonts w:ascii="Times New Roman" w:hAnsi="Times New Roman" w:eastAsia="黑体"/>
          <w:szCs w:val="32"/>
        </w:rPr>
      </w:pPr>
      <w:r>
        <w:rPr>
          <w:rFonts w:ascii="Times New Roman" w:hAnsi="黑体" w:eastAsia="黑体"/>
          <w:szCs w:val="32"/>
        </w:rPr>
        <w:t>摘要</w:t>
      </w:r>
      <w:r>
        <w:rPr>
          <w:rFonts w:ascii="Times New Roman" w:hAnsi="Times New Roman" w:eastAsia="黑体"/>
          <w:szCs w:val="32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440" w:lineRule="exact"/>
        <w:ind w:firstLine="420" w:firstLineChars="200"/>
        <w:jc w:val="left"/>
        <w:textAlignment w:val="auto"/>
        <w:rPr>
          <w:rFonts w:ascii="Times New Roman" w:hAnsi="Times New Roman" w:eastAsia="黑体"/>
          <w:szCs w:val="32"/>
        </w:rPr>
      </w:pPr>
      <w:r>
        <w:rPr>
          <w:rFonts w:ascii="Times New Roman" w:hAnsi="黑体" w:eastAsia="黑体"/>
          <w:szCs w:val="32"/>
        </w:rPr>
        <w:t>一、项目基本情况</w:t>
      </w:r>
      <w:r>
        <w:rPr>
          <w:rFonts w:ascii="Times New Roman" w:hAnsi="Times New Roman" w:eastAsia="黑体"/>
          <w:szCs w:val="32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440" w:lineRule="exact"/>
        <w:ind w:firstLine="420" w:firstLineChars="200"/>
        <w:jc w:val="left"/>
        <w:textAlignment w:val="auto"/>
        <w:rPr>
          <w:rFonts w:hint="eastAsia" w:ascii="Times New Roman" w:hAnsi="黑体" w:eastAsia="黑体"/>
          <w:szCs w:val="32"/>
        </w:rPr>
      </w:pPr>
      <w:r>
        <w:rPr>
          <w:rFonts w:hint="eastAsia" w:ascii="Times New Roman" w:hAnsi="黑体" w:eastAsia="黑体"/>
          <w:szCs w:val="32"/>
        </w:rPr>
        <w:t>（一）项目立项背景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440" w:lineRule="exact"/>
        <w:ind w:firstLine="420" w:firstLineChars="200"/>
        <w:jc w:val="left"/>
        <w:textAlignment w:val="auto"/>
        <w:rPr>
          <w:rFonts w:hint="eastAsia" w:ascii="Times New Roman" w:hAnsi="黑体" w:eastAsia="黑体"/>
          <w:szCs w:val="32"/>
        </w:rPr>
      </w:pPr>
      <w:r>
        <w:rPr>
          <w:rFonts w:hint="eastAsia" w:ascii="Times New Roman" w:hAnsi="黑体" w:eastAsia="黑体"/>
          <w:szCs w:val="32"/>
        </w:rPr>
        <w:t>（二）项目实施情况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440" w:lineRule="exact"/>
        <w:ind w:firstLine="420" w:firstLineChars="200"/>
        <w:jc w:val="left"/>
        <w:textAlignment w:val="auto"/>
        <w:rPr>
          <w:rFonts w:hint="eastAsia" w:ascii="Times New Roman" w:hAnsi="黑体" w:eastAsia="黑体"/>
          <w:szCs w:val="32"/>
        </w:rPr>
      </w:pPr>
      <w:r>
        <w:rPr>
          <w:rFonts w:hint="eastAsia" w:ascii="Times New Roman" w:hAnsi="黑体" w:eastAsia="黑体"/>
          <w:szCs w:val="32"/>
        </w:rPr>
        <w:t>（三）资金来源及使用情况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440" w:lineRule="exact"/>
        <w:ind w:firstLine="420" w:firstLineChars="200"/>
        <w:jc w:val="left"/>
        <w:textAlignment w:val="auto"/>
        <w:rPr>
          <w:rFonts w:ascii="Times New Roman" w:hAnsi="Times New Roman" w:eastAsia="黑体"/>
          <w:szCs w:val="32"/>
        </w:rPr>
      </w:pPr>
      <w:r>
        <w:rPr>
          <w:rFonts w:hint="eastAsia" w:ascii="Times New Roman" w:hAnsi="黑体" w:eastAsia="黑体"/>
          <w:szCs w:val="32"/>
        </w:rPr>
        <w:t>（四）项目绩效目标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440" w:lineRule="exact"/>
        <w:ind w:firstLine="420" w:firstLineChars="200"/>
        <w:jc w:val="left"/>
        <w:textAlignment w:val="auto"/>
        <w:rPr>
          <w:rFonts w:ascii="Times New Roman" w:hAnsi="Times New Roman" w:eastAsia="黑体"/>
          <w:szCs w:val="32"/>
        </w:rPr>
      </w:pPr>
      <w:r>
        <w:rPr>
          <w:rFonts w:ascii="Times New Roman" w:hAnsi="黑体" w:eastAsia="黑体"/>
          <w:szCs w:val="32"/>
        </w:rPr>
        <w:t>二、绩效评价工作情况</w:t>
      </w:r>
      <w:r>
        <w:rPr>
          <w:rFonts w:ascii="Times New Roman" w:hAnsi="Times New Roman" w:eastAsia="黑体"/>
          <w:szCs w:val="32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440" w:lineRule="exact"/>
        <w:ind w:firstLine="420" w:firstLineChars="200"/>
        <w:jc w:val="left"/>
        <w:textAlignment w:val="auto"/>
        <w:rPr>
          <w:rFonts w:hint="eastAsia" w:ascii="Times New Roman" w:hAnsi="黑体" w:eastAsia="黑体"/>
          <w:szCs w:val="32"/>
        </w:rPr>
      </w:pPr>
      <w:r>
        <w:rPr>
          <w:rFonts w:hint="eastAsia" w:ascii="Times New Roman" w:hAnsi="黑体" w:eastAsia="黑体"/>
          <w:szCs w:val="32"/>
        </w:rPr>
        <w:t>（一）绩效评价目的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440" w:lineRule="exact"/>
        <w:ind w:firstLine="420" w:firstLineChars="200"/>
        <w:jc w:val="left"/>
        <w:textAlignment w:val="auto"/>
        <w:rPr>
          <w:rFonts w:hint="eastAsia" w:ascii="Times New Roman" w:hAnsi="黑体" w:eastAsia="黑体"/>
          <w:szCs w:val="32"/>
        </w:rPr>
      </w:pPr>
      <w:r>
        <w:rPr>
          <w:rFonts w:hint="eastAsia" w:ascii="Times New Roman" w:hAnsi="黑体" w:eastAsia="黑体"/>
          <w:szCs w:val="32"/>
        </w:rPr>
        <w:t>（二）绩效评价工作方案制定过程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440" w:lineRule="exact"/>
        <w:ind w:firstLine="420" w:firstLineChars="200"/>
        <w:jc w:val="left"/>
        <w:textAlignment w:val="auto"/>
        <w:rPr>
          <w:rFonts w:hint="eastAsia" w:ascii="Times New Roman" w:hAnsi="黑体" w:eastAsia="黑体"/>
          <w:szCs w:val="32"/>
        </w:rPr>
      </w:pPr>
      <w:r>
        <w:rPr>
          <w:rFonts w:hint="eastAsia" w:ascii="Times New Roman" w:hAnsi="黑体" w:eastAsia="黑体"/>
          <w:szCs w:val="32"/>
        </w:rPr>
        <w:t>（三）绩效评价原则、评价方法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440" w:lineRule="exact"/>
        <w:ind w:firstLine="420" w:firstLineChars="200"/>
        <w:jc w:val="left"/>
        <w:textAlignment w:val="auto"/>
        <w:rPr>
          <w:rFonts w:ascii="Times New Roman" w:hAnsi="Times New Roman" w:eastAsia="黑体"/>
          <w:szCs w:val="32"/>
        </w:rPr>
      </w:pPr>
      <w:r>
        <w:rPr>
          <w:rFonts w:hint="eastAsia" w:ascii="Times New Roman" w:hAnsi="黑体" w:eastAsia="黑体"/>
          <w:szCs w:val="32"/>
        </w:rPr>
        <w:t>（四）绩效评价实施过程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440" w:lineRule="exact"/>
        <w:ind w:firstLine="420" w:firstLineChars="200"/>
        <w:jc w:val="left"/>
        <w:textAlignment w:val="auto"/>
        <w:rPr>
          <w:rFonts w:ascii="Times New Roman" w:hAnsi="Times New Roman" w:eastAsia="黑体"/>
          <w:szCs w:val="32"/>
        </w:rPr>
      </w:pPr>
      <w:r>
        <w:rPr>
          <w:rFonts w:ascii="Times New Roman" w:hAnsi="黑体" w:eastAsia="黑体"/>
          <w:szCs w:val="32"/>
        </w:rPr>
        <w:t>三、评价结论</w:t>
      </w:r>
      <w:r>
        <w:rPr>
          <w:rFonts w:hint="eastAsia" w:ascii="Times New Roman" w:hAnsi="黑体" w:eastAsia="黑体"/>
          <w:szCs w:val="32"/>
        </w:rPr>
        <w:t>和</w:t>
      </w:r>
      <w:r>
        <w:rPr>
          <w:rFonts w:ascii="Times New Roman" w:hAnsi="黑体" w:eastAsia="黑体"/>
          <w:szCs w:val="32"/>
        </w:rPr>
        <w:t>绩效分析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440" w:lineRule="exact"/>
        <w:ind w:firstLine="420" w:firstLineChars="200"/>
        <w:jc w:val="left"/>
        <w:textAlignment w:val="auto"/>
        <w:rPr>
          <w:rFonts w:ascii="Times New Roman" w:hAnsi="Times New Roman" w:eastAsia="黑体"/>
          <w:szCs w:val="32"/>
        </w:rPr>
      </w:pPr>
      <w:r>
        <w:rPr>
          <w:rFonts w:ascii="Times New Roman" w:hAnsi="黑体" w:eastAsia="黑体"/>
          <w:szCs w:val="32"/>
        </w:rPr>
        <w:t>（一）评价结论</w:t>
      </w:r>
      <w:r>
        <w:rPr>
          <w:rFonts w:ascii="Times New Roman" w:hAnsi="Times New Roman" w:eastAsia="黑体"/>
          <w:szCs w:val="32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440" w:lineRule="exact"/>
        <w:ind w:firstLine="420" w:firstLineChars="200"/>
        <w:jc w:val="left"/>
        <w:textAlignment w:val="auto"/>
        <w:rPr>
          <w:rFonts w:ascii="Times New Roman" w:hAnsi="Times New Roman" w:eastAsia="黑体"/>
          <w:szCs w:val="32"/>
        </w:rPr>
      </w:pPr>
      <w:r>
        <w:rPr>
          <w:rFonts w:ascii="Times New Roman" w:hAnsi="黑体" w:eastAsia="黑体"/>
          <w:szCs w:val="32"/>
        </w:rPr>
        <w:t>（二）具体绩效分析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ascii="Times New Roman" w:hAnsi="黑体" w:eastAsia="黑体"/>
          <w:szCs w:val="21"/>
        </w:rPr>
      </w:pPr>
      <w:r>
        <w:rPr>
          <w:rFonts w:hint="eastAsia" w:ascii="Times New Roman" w:hAnsi="黑体" w:eastAsia="黑体"/>
          <w:szCs w:val="21"/>
          <w:lang w:val="en-US" w:eastAsia="zh-CN"/>
        </w:rPr>
        <w:t>四</w:t>
      </w:r>
      <w:r>
        <w:rPr>
          <w:rFonts w:ascii="Times New Roman" w:hAnsi="黑体" w:eastAsia="黑体"/>
          <w:szCs w:val="21"/>
        </w:rPr>
        <w:t>、</w:t>
      </w:r>
      <w:r>
        <w:rPr>
          <w:rFonts w:hint="eastAsia" w:ascii="Times New Roman" w:hAnsi="黑体" w:eastAsia="黑体"/>
          <w:szCs w:val="21"/>
        </w:rPr>
        <w:t>成本效益分析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ascii="Times New Roman" w:hAnsi="黑体" w:eastAsia="黑体"/>
          <w:szCs w:val="21"/>
        </w:rPr>
      </w:pPr>
      <w:r>
        <w:rPr>
          <w:rFonts w:hint="eastAsia" w:ascii="Times New Roman" w:hAnsi="黑体" w:eastAsia="黑体"/>
          <w:szCs w:val="21"/>
          <w:lang w:val="en-US" w:eastAsia="zh-CN"/>
        </w:rPr>
        <w:t>五、</w:t>
      </w:r>
      <w:r>
        <w:rPr>
          <w:rFonts w:ascii="Times New Roman" w:hAnsi="黑体" w:eastAsia="黑体"/>
          <w:szCs w:val="21"/>
        </w:rPr>
        <w:t>主要经验及做法、存在的问题和建议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ascii="Times New Roman" w:hAnsi="黑体" w:eastAsia="黑体"/>
          <w:szCs w:val="21"/>
        </w:rPr>
      </w:pPr>
      <w:r>
        <w:rPr>
          <w:rFonts w:hint="eastAsia" w:ascii="Times New Roman" w:hAnsi="黑体" w:eastAsia="黑体"/>
          <w:szCs w:val="21"/>
          <w:lang w:val="en-US" w:eastAsia="zh-CN"/>
        </w:rPr>
        <w:t>六</w:t>
      </w:r>
      <w:r>
        <w:rPr>
          <w:rFonts w:hint="eastAsia" w:ascii="Times New Roman" w:hAnsi="黑体" w:eastAsia="黑体"/>
          <w:szCs w:val="21"/>
        </w:rPr>
        <w:t>、附件</w:t>
      </w:r>
    </w:p>
    <w:p>
      <w:pPr>
        <w:spacing w:line="440" w:lineRule="exact"/>
        <w:jc w:val="center"/>
        <w:rPr>
          <w:rFonts w:ascii="Times New Roman" w:hAnsi="Times New Roman" w:eastAsia="方正小标宋_GBK"/>
          <w:sz w:val="36"/>
          <w:szCs w:val="36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440" w:lineRule="exact"/>
        <w:jc w:val="center"/>
        <w:rPr>
          <w:rFonts w:ascii="Times New Roman" w:hAnsi="Times New Roman" w:eastAsia="方正小标宋_GBK"/>
          <w:sz w:val="36"/>
          <w:szCs w:val="36"/>
        </w:rPr>
      </w:pPr>
      <w:r>
        <w:rPr>
          <w:rFonts w:hint="eastAsia" w:ascii="Times New Roman" w:hAnsi="Times New Roman" w:eastAsia="方正小标宋_GBK"/>
          <w:sz w:val="36"/>
          <w:szCs w:val="36"/>
        </w:rPr>
        <w:t>档案室租金</w:t>
      </w:r>
      <w:r>
        <w:rPr>
          <w:rFonts w:ascii="Times New Roman" w:hAnsi="Times New Roman" w:eastAsia="方正小标宋_GBK"/>
          <w:sz w:val="36"/>
          <w:szCs w:val="36"/>
        </w:rPr>
        <w:t>项目支出绩效自评报告</w:t>
      </w:r>
    </w:p>
    <w:p>
      <w:pPr>
        <w:spacing w:line="440" w:lineRule="exact"/>
        <w:ind w:firstLine="640" w:firstLineChars="200"/>
        <w:jc w:val="center"/>
        <w:rPr>
          <w:rFonts w:ascii="Times New Roman" w:hAnsi="Times New Roman" w:eastAsia="黑体"/>
          <w:sz w:val="32"/>
          <w:szCs w:val="32"/>
        </w:rPr>
      </w:pPr>
    </w:p>
    <w:p>
      <w:pPr>
        <w:spacing w:line="440" w:lineRule="exact"/>
        <w:jc w:val="center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黑体" w:eastAsia="黑体"/>
          <w:sz w:val="32"/>
          <w:szCs w:val="32"/>
        </w:rPr>
        <w:t>摘要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一、项目概况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/>
          <w:sz w:val="28"/>
          <w:szCs w:val="28"/>
          <w:lang w:eastAsia="zh-CN"/>
        </w:rPr>
      </w:pP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根据</w:t>
      </w:r>
      <w:r>
        <w:rPr>
          <w:rFonts w:hint="eastAsia" w:ascii="Times New Roman" w:hAnsi="Times New Roman" w:eastAsia="仿宋_GB2312"/>
          <w:sz w:val="28"/>
          <w:szCs w:val="28"/>
        </w:rPr>
        <w:t>盘办发【2015】7号、《昆明市档案信息化建设“十二五”规划》</w:t>
      </w:r>
      <w:r>
        <w:rPr>
          <w:rFonts w:hint="eastAsia" w:ascii="Times New Roman" w:hAnsi="Times New Roman" w:eastAsia="仿宋_GB2312"/>
          <w:sz w:val="28"/>
          <w:szCs w:val="28"/>
          <w:lang w:eastAsia="zh-CN"/>
        </w:rPr>
        <w:t>，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2021年至2024年1月1日</w:t>
      </w:r>
      <w:r>
        <w:rPr>
          <w:rFonts w:hint="eastAsia" w:ascii="Times New Roman" w:hAnsi="Times New Roman" w:eastAsia="仿宋_GB2312"/>
          <w:sz w:val="28"/>
          <w:szCs w:val="28"/>
        </w:rPr>
        <w:t>租交三桥一楼，作为人事档案数字化办公室（会议中心产权）</w:t>
      </w:r>
      <w:r>
        <w:rPr>
          <w:rFonts w:hint="eastAsia" w:ascii="Times New Roman" w:hAnsi="Times New Roman" w:eastAsia="仿宋_GB2312"/>
          <w:sz w:val="28"/>
          <w:szCs w:val="28"/>
          <w:lang w:eastAsia="zh-CN"/>
        </w:rPr>
        <w:t>，</w:t>
      </w:r>
      <w:r>
        <w:rPr>
          <w:rFonts w:hint="eastAsia" w:ascii="Times New Roman" w:hAnsi="Times New Roman" w:eastAsia="仿宋_GB2312"/>
          <w:sz w:val="28"/>
          <w:szCs w:val="28"/>
        </w:rPr>
        <w:t>做好干部人事档案、流动人员档案日常管理、维护、查阅、复印、机要工作</w:t>
      </w:r>
      <w:bookmarkStart w:id="0" w:name="_Hlk100828745"/>
      <w:r>
        <w:rPr>
          <w:rFonts w:hint="eastAsia" w:ascii="Times New Roman" w:hAnsi="Times New Roman" w:eastAsia="仿宋_GB2312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/>
          <w:sz w:val="28"/>
          <w:szCs w:val="28"/>
          <w:lang w:eastAsia="zh-CN"/>
        </w:rPr>
      </w:pPr>
      <w:r>
        <w:rPr>
          <w:rFonts w:hint="eastAsia" w:ascii="Times New Roman" w:hAnsi="Times New Roman" w:eastAsia="仿宋_GB2312"/>
          <w:sz w:val="28"/>
          <w:szCs w:val="28"/>
        </w:rPr>
        <w:t>2022年档案室租金项目，预算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经费</w:t>
      </w:r>
      <w:r>
        <w:rPr>
          <w:rFonts w:hint="eastAsia" w:ascii="Times New Roman" w:hAnsi="Times New Roman" w:eastAsia="仿宋_GB2312"/>
          <w:sz w:val="28"/>
          <w:szCs w:val="28"/>
        </w:rPr>
        <w:t>100,000.00元，实际发生费用88,920.00元，预算完成率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88.92</w:t>
      </w:r>
      <w:r>
        <w:rPr>
          <w:rFonts w:ascii="Times New Roman" w:hAnsi="Times New Roman" w:eastAsia="仿宋_GB2312"/>
          <w:sz w:val="28"/>
          <w:szCs w:val="28"/>
        </w:rPr>
        <w:t>%</w:t>
      </w:r>
      <w:r>
        <w:rPr>
          <w:rFonts w:hint="eastAsia" w:ascii="Times New Roman" w:hAnsi="Times New Roman" w:eastAsia="仿宋_GB2312"/>
          <w:sz w:val="28"/>
          <w:szCs w:val="28"/>
          <w:lang w:eastAsia="zh-CN"/>
        </w:rPr>
        <w:t>。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二、评价结论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ascii="Times New Roman" w:hAnsi="Times New Roman" w:eastAsia="仿宋_GB2312"/>
          <w:sz w:val="28"/>
          <w:szCs w:val="28"/>
          <w:highlight w:val="none"/>
        </w:rPr>
      </w:pPr>
      <w:r>
        <w:rPr>
          <w:rFonts w:hint="eastAsia" w:ascii="Times New Roman" w:hAnsi="Times New Roman" w:eastAsia="仿宋_GB2312"/>
          <w:sz w:val="28"/>
          <w:szCs w:val="28"/>
        </w:rPr>
        <w:t>202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2</w:t>
      </w:r>
      <w:r>
        <w:rPr>
          <w:rFonts w:hint="eastAsia" w:ascii="Times New Roman" w:hAnsi="Times New Roman" w:eastAsia="仿宋_GB2312"/>
          <w:sz w:val="28"/>
          <w:szCs w:val="28"/>
        </w:rPr>
        <w:t>年档案室租金项目绩效评价得分为</w:t>
      </w:r>
      <w:r>
        <w:rPr>
          <w:rFonts w:hint="eastAsia" w:ascii="Times New Roman" w:hAnsi="Times New Roman" w:eastAsia="仿宋_GB2312"/>
          <w:sz w:val="28"/>
          <w:szCs w:val="28"/>
          <w:highlight w:val="none"/>
        </w:rPr>
        <w:t>9</w:t>
      </w:r>
      <w:r>
        <w:rPr>
          <w:rFonts w:hint="eastAsia" w:ascii="Times New Roman" w:hAnsi="Times New Roman" w:eastAsia="仿宋_GB2312"/>
          <w:sz w:val="28"/>
          <w:szCs w:val="28"/>
          <w:highlight w:val="none"/>
          <w:lang w:val="en-US" w:eastAsia="zh-CN"/>
        </w:rPr>
        <w:t>7</w:t>
      </w:r>
      <w:r>
        <w:rPr>
          <w:rFonts w:hint="eastAsia" w:ascii="Times New Roman" w:hAnsi="Times New Roman" w:eastAsia="仿宋_GB2312"/>
          <w:sz w:val="28"/>
          <w:szCs w:val="28"/>
          <w:highlight w:val="none"/>
        </w:rPr>
        <w:t>分，</w:t>
      </w:r>
      <w:r>
        <w:rPr>
          <w:rFonts w:hint="eastAsia" w:ascii="Times New Roman" w:hAnsi="Times New Roman" w:eastAsia="仿宋_GB2312"/>
          <w:sz w:val="28"/>
          <w:szCs w:val="28"/>
        </w:rPr>
        <w:t>评价等级为“优”。</w:t>
      </w:r>
      <w:r>
        <w:rPr>
          <w:rFonts w:hint="eastAsia" w:ascii="Times New Roman" w:hAnsi="Times New Roman" w:eastAsia="仿宋_GB2312"/>
          <w:sz w:val="28"/>
          <w:szCs w:val="28"/>
          <w:highlight w:val="none"/>
          <w:lang w:val="en-US" w:eastAsia="zh-CN"/>
        </w:rPr>
        <w:t>为</w:t>
      </w:r>
      <w:r>
        <w:rPr>
          <w:rFonts w:hint="eastAsia" w:ascii="Times New Roman" w:hAnsi="Times New Roman" w:eastAsia="仿宋_GB2312"/>
          <w:sz w:val="28"/>
          <w:szCs w:val="28"/>
          <w:highlight w:val="none"/>
        </w:rPr>
        <w:t>做好干部人事档案、流动人员档案日常管理、维护、查阅、复印</w:t>
      </w:r>
      <w:r>
        <w:rPr>
          <w:rFonts w:hint="eastAsia" w:ascii="Times New Roman" w:hAnsi="Times New Roman" w:eastAsia="仿宋_GB2312"/>
          <w:sz w:val="28"/>
          <w:szCs w:val="28"/>
          <w:highlight w:val="none"/>
          <w:lang w:val="en-US" w:eastAsia="zh-CN"/>
        </w:rPr>
        <w:t>提供保障</w:t>
      </w:r>
      <w:r>
        <w:rPr>
          <w:rFonts w:hint="eastAsia" w:ascii="Times New Roman" w:hAnsi="Times New Roman" w:eastAsia="仿宋_GB2312"/>
          <w:sz w:val="28"/>
          <w:szCs w:val="28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三、经验、问题和建议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按照合同规定完成2023年度档案室租金支付，按照档案管理工作制度，规范管理，实现档案管理规范化、标准化</w:t>
      </w:r>
      <w:r>
        <w:rPr>
          <w:rFonts w:hint="eastAsia" w:ascii="Times New Roman" w:hAnsi="Times New Roman" w:eastAsia="仿宋_GB2312"/>
          <w:sz w:val="28"/>
          <w:szCs w:val="28"/>
        </w:rPr>
        <w:t>。</w:t>
      </w:r>
    </w:p>
    <w:p>
      <w:pPr>
        <w:spacing w:line="520" w:lineRule="exact"/>
        <w:jc w:val="center"/>
        <w:rPr>
          <w:rFonts w:hint="eastAsia" w:ascii="Times New Roman" w:hAnsi="Times New Roman" w:eastAsia="方正小标宋_GBK"/>
          <w:sz w:val="36"/>
          <w:szCs w:val="36"/>
        </w:rPr>
      </w:pPr>
      <w:r>
        <w:rPr>
          <w:rFonts w:hint="eastAsia" w:ascii="Times New Roman" w:hAnsi="Times New Roman" w:eastAsia="方正小标宋_GBK"/>
          <w:sz w:val="36"/>
          <w:szCs w:val="36"/>
        </w:rPr>
        <w:t>2022年档案室租金项目支出</w:t>
      </w:r>
    </w:p>
    <w:p>
      <w:pPr>
        <w:spacing w:line="520" w:lineRule="exact"/>
        <w:jc w:val="center"/>
        <w:rPr>
          <w:rFonts w:ascii="Times New Roman" w:hAnsi="Times New Roman" w:eastAsia="方正小标宋_GBK"/>
          <w:szCs w:val="21"/>
        </w:rPr>
      </w:pPr>
      <w:r>
        <w:rPr>
          <w:rFonts w:hint="eastAsia" w:ascii="Times New Roman" w:hAnsi="Times New Roman" w:eastAsia="方正小标宋_GBK"/>
          <w:sz w:val="36"/>
          <w:szCs w:val="36"/>
        </w:rPr>
        <w:t>绩效自评报告</w:t>
      </w:r>
    </w:p>
    <w:p>
      <w:pPr>
        <w:spacing w:line="520" w:lineRule="exact"/>
        <w:ind w:firstLine="420" w:firstLineChars="200"/>
        <w:jc w:val="center"/>
        <w:rPr>
          <w:rFonts w:ascii="Times New Roman" w:hAnsi="Times New Roman" w:eastAsia="黑体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Times New Roman" w:hAnsi="Times New Roman" w:eastAsia="黑体"/>
          <w:sz w:val="28"/>
          <w:szCs w:val="28"/>
        </w:rPr>
      </w:pPr>
      <w:r>
        <w:rPr>
          <w:rFonts w:ascii="Times New Roman" w:hAnsi="Times New Roman" w:eastAsia="黑体"/>
          <w:sz w:val="28"/>
          <w:szCs w:val="28"/>
        </w:rPr>
        <w:t>一、项目基本情况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Times New Roman" w:hAnsi="Times New Roman" w:eastAsia="楷体"/>
          <w:sz w:val="28"/>
          <w:szCs w:val="28"/>
        </w:rPr>
      </w:pPr>
      <w:r>
        <w:rPr>
          <w:rFonts w:ascii="Times New Roman" w:hAnsi="Times New Roman" w:eastAsia="楷体"/>
          <w:sz w:val="28"/>
          <w:szCs w:val="28"/>
        </w:rPr>
        <w:t>（一）</w:t>
      </w:r>
      <w:r>
        <w:rPr>
          <w:rFonts w:hint="eastAsia" w:ascii="Times New Roman" w:hAnsi="Times New Roman" w:eastAsia="楷体"/>
          <w:sz w:val="28"/>
          <w:szCs w:val="28"/>
        </w:rPr>
        <w:t>项目立项背景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根据</w:t>
      </w:r>
      <w:r>
        <w:rPr>
          <w:rFonts w:hint="eastAsia" w:ascii="Times New Roman" w:hAnsi="Times New Roman" w:eastAsia="仿宋_GB2312"/>
          <w:sz w:val="28"/>
          <w:szCs w:val="28"/>
        </w:rPr>
        <w:t>盘办发【2015】7号、《昆明市档案信息化建设“十二五”规划》</w:t>
      </w:r>
      <w:r>
        <w:rPr>
          <w:rFonts w:hint="eastAsia" w:ascii="Times New Roman" w:hAnsi="Times New Roman" w:eastAsia="仿宋_GB2312"/>
          <w:sz w:val="28"/>
          <w:szCs w:val="28"/>
          <w:lang w:eastAsia="zh-CN"/>
        </w:rPr>
        <w:t>，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2021年至2024年1月1日</w:t>
      </w:r>
      <w:r>
        <w:rPr>
          <w:rFonts w:hint="eastAsia" w:ascii="Times New Roman" w:hAnsi="Times New Roman" w:eastAsia="仿宋_GB2312"/>
          <w:sz w:val="28"/>
          <w:szCs w:val="28"/>
        </w:rPr>
        <w:t>租交三桥一楼，作为人事档案数字化办公室（会议中心产权）</w:t>
      </w:r>
      <w:r>
        <w:rPr>
          <w:rFonts w:hint="eastAsia" w:ascii="Times New Roman" w:hAnsi="Times New Roman" w:eastAsia="仿宋_GB2312"/>
          <w:sz w:val="28"/>
          <w:szCs w:val="28"/>
          <w:lang w:eastAsia="zh-CN"/>
        </w:rPr>
        <w:t>，</w:t>
      </w:r>
      <w:r>
        <w:rPr>
          <w:rFonts w:hint="eastAsia" w:ascii="Times New Roman" w:hAnsi="Times New Roman" w:eastAsia="仿宋_GB2312"/>
          <w:sz w:val="28"/>
          <w:szCs w:val="28"/>
        </w:rPr>
        <w:t>做好干部人事档案、流动人员档案日常管理、维护、查阅、复印、机要工作</w:t>
      </w:r>
      <w:r>
        <w:rPr>
          <w:rFonts w:hint="eastAsia" w:ascii="Times New Roman" w:hAnsi="Times New Roman" w:eastAsia="仿宋_GB2312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Times New Roman" w:hAnsi="Times New Roman" w:eastAsia="楷体"/>
          <w:sz w:val="28"/>
          <w:szCs w:val="28"/>
        </w:rPr>
      </w:pPr>
      <w:r>
        <w:rPr>
          <w:rFonts w:hint="eastAsia" w:ascii="Times New Roman" w:hAnsi="Times New Roman" w:eastAsia="楷体"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楷体"/>
          <w:sz w:val="28"/>
          <w:szCs w:val="28"/>
          <w:lang w:val="en-US" w:eastAsia="zh-CN"/>
        </w:rPr>
        <w:t>二</w:t>
      </w:r>
      <w:r>
        <w:rPr>
          <w:rFonts w:hint="eastAsia" w:ascii="Times New Roman" w:hAnsi="Times New Roman" w:eastAsia="楷体"/>
          <w:sz w:val="28"/>
          <w:szCs w:val="28"/>
          <w:lang w:eastAsia="zh-CN"/>
        </w:rPr>
        <w:t>）</w:t>
      </w:r>
      <w:r>
        <w:rPr>
          <w:rFonts w:hint="eastAsia" w:ascii="Times New Roman" w:hAnsi="Times New Roman" w:eastAsia="楷体"/>
          <w:sz w:val="28"/>
          <w:szCs w:val="28"/>
        </w:rPr>
        <w:t>项目实施情况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/>
          <w:sz w:val="28"/>
          <w:szCs w:val="28"/>
          <w:lang w:eastAsia="zh-CN"/>
        </w:rPr>
      </w:pPr>
      <w:r>
        <w:rPr>
          <w:rFonts w:hint="eastAsia" w:ascii="Times New Roman" w:hAnsi="Times New Roman" w:eastAsia="仿宋_GB2312"/>
          <w:sz w:val="28"/>
          <w:szCs w:val="28"/>
        </w:rPr>
        <w:t>租赁办公的房屋场地范围为北京路471号盘龙区会议服务中心所属的二楼办公室4间，第一间面积77平方米，使用单位盘龙区人才服务中心（做档案室使用）。第二间内面积38.5平方米，使用单位盘龙区城乡居民社会养老保险局（做档案室使用）。第三间面积93平方米，使用单位盘龙区医疗保障局。租金每平方米为30元 /平方米*247平方米=7410元*12个月=88920元，共计每年88920元。统一由我局进行预算及支付。2022年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支付2023年</w:t>
      </w:r>
      <w:r>
        <w:rPr>
          <w:rFonts w:hint="eastAsia" w:ascii="Times New Roman" w:hAnsi="Times New Roman" w:eastAsia="仿宋_GB2312"/>
          <w:sz w:val="28"/>
          <w:szCs w:val="28"/>
        </w:rPr>
        <w:t>档案室租金88,920.00元</w:t>
      </w:r>
      <w:r>
        <w:rPr>
          <w:rFonts w:hint="eastAsia" w:ascii="Times New Roman" w:hAnsi="Times New Roman" w:eastAsia="仿宋_GB2312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Times New Roman" w:hAnsi="Times New Roman" w:eastAsia="楷体"/>
          <w:sz w:val="28"/>
          <w:szCs w:val="28"/>
        </w:rPr>
      </w:pPr>
      <w:r>
        <w:rPr>
          <w:rFonts w:hint="eastAsia" w:ascii="Times New Roman" w:hAnsi="Times New Roman" w:eastAsia="楷体"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楷体"/>
          <w:sz w:val="28"/>
          <w:szCs w:val="28"/>
          <w:lang w:val="en-US" w:eastAsia="zh-CN"/>
        </w:rPr>
        <w:t>三</w:t>
      </w:r>
      <w:r>
        <w:rPr>
          <w:rFonts w:hint="eastAsia" w:ascii="Times New Roman" w:hAnsi="Times New Roman" w:eastAsia="楷体"/>
          <w:sz w:val="28"/>
          <w:szCs w:val="28"/>
          <w:lang w:eastAsia="zh-CN"/>
        </w:rPr>
        <w:t>）</w:t>
      </w:r>
      <w:r>
        <w:rPr>
          <w:rFonts w:hint="eastAsia" w:ascii="Times New Roman" w:hAnsi="Times New Roman" w:eastAsia="楷体"/>
          <w:sz w:val="28"/>
          <w:szCs w:val="28"/>
        </w:rPr>
        <w:t>资金来源及使用情况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ascii="Times New Roman" w:hAnsi="Times New Roman" w:eastAsia="楷体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2022年档案室租金项目预算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经费</w:t>
      </w:r>
      <w:r>
        <w:rPr>
          <w:rFonts w:hint="eastAsia" w:ascii="Times New Roman" w:hAnsi="Times New Roman" w:eastAsia="仿宋_GB2312"/>
          <w:sz w:val="28"/>
          <w:szCs w:val="28"/>
        </w:rPr>
        <w:t>100,000.00元，实际发生费用88,920.00元，预算完成率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88.92</w:t>
      </w:r>
      <w:r>
        <w:rPr>
          <w:rFonts w:ascii="Times New Roman" w:hAnsi="Times New Roman" w:eastAsia="仿宋_GB2312"/>
          <w:sz w:val="28"/>
          <w:szCs w:val="28"/>
        </w:rPr>
        <w:t>%</w:t>
      </w:r>
      <w:r>
        <w:rPr>
          <w:rFonts w:hint="eastAsia" w:ascii="Times New Roman" w:hAnsi="Times New Roman" w:eastAsia="仿宋_GB2312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Times New Roman" w:hAnsi="Times New Roman" w:eastAsia="楷体"/>
          <w:sz w:val="28"/>
          <w:szCs w:val="28"/>
        </w:rPr>
      </w:pPr>
      <w:r>
        <w:rPr>
          <w:rFonts w:hint="eastAsia" w:ascii="Times New Roman" w:hAnsi="Times New Roman" w:eastAsia="楷体"/>
          <w:sz w:val="28"/>
          <w:szCs w:val="28"/>
        </w:rPr>
        <w:t>（</w:t>
      </w:r>
      <w:r>
        <w:rPr>
          <w:rFonts w:hint="eastAsia" w:ascii="Times New Roman" w:hAnsi="Times New Roman" w:eastAsia="楷体"/>
          <w:sz w:val="28"/>
          <w:szCs w:val="28"/>
          <w:lang w:val="en-US" w:eastAsia="zh-CN"/>
        </w:rPr>
        <w:t>四</w:t>
      </w:r>
      <w:r>
        <w:rPr>
          <w:rFonts w:hint="eastAsia" w:ascii="Times New Roman" w:hAnsi="Times New Roman" w:eastAsia="楷体"/>
          <w:sz w:val="28"/>
          <w:szCs w:val="28"/>
        </w:rPr>
        <w:t>）</w:t>
      </w:r>
      <w:r>
        <w:rPr>
          <w:rFonts w:hint="eastAsia" w:ascii="Times New Roman" w:hAnsi="Times New Roman" w:eastAsia="楷体"/>
          <w:sz w:val="28"/>
          <w:szCs w:val="28"/>
          <w:lang w:val="en-US" w:eastAsia="zh-CN"/>
        </w:rPr>
        <w:t>项目</w:t>
      </w:r>
      <w:r>
        <w:rPr>
          <w:rFonts w:hint="eastAsia" w:ascii="Times New Roman" w:hAnsi="Times New Roman" w:eastAsia="楷体"/>
          <w:sz w:val="28"/>
          <w:szCs w:val="28"/>
        </w:rPr>
        <w:t>绩效目标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1.总目标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/>
          <w:sz w:val="28"/>
          <w:szCs w:val="28"/>
          <w:lang w:eastAsia="zh-CN"/>
        </w:rPr>
      </w:pPr>
      <w:r>
        <w:rPr>
          <w:rFonts w:hint="eastAsia" w:ascii="Times New Roman" w:hAnsi="Times New Roman" w:eastAsia="仿宋_GB2312"/>
          <w:sz w:val="28"/>
          <w:szCs w:val="28"/>
        </w:rPr>
        <w:t>做好5000卷2019年干部人事档案、流动人员档案日常管理、维护、查阅、复印、机要工作</w:t>
      </w:r>
      <w:r>
        <w:rPr>
          <w:rFonts w:hint="eastAsia" w:ascii="Times New Roman" w:hAnsi="Times New Roman" w:eastAsia="仿宋_GB2312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2.年度目标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/>
          <w:sz w:val="28"/>
          <w:szCs w:val="28"/>
          <w:lang w:eastAsia="zh-CN"/>
        </w:rPr>
      </w:pPr>
      <w:r>
        <w:rPr>
          <w:rFonts w:hint="eastAsia" w:ascii="Times New Roman" w:hAnsi="Times New Roman" w:eastAsia="仿宋_GB2312"/>
          <w:sz w:val="28"/>
          <w:szCs w:val="28"/>
        </w:rPr>
        <w:t>做好5000卷2019年干部人事档案、流动人员档案日常管理、维护、查阅、复印、机要工作。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租用</w:t>
      </w:r>
      <w:r>
        <w:rPr>
          <w:rFonts w:hint="eastAsia" w:ascii="Times New Roman" w:hAnsi="Times New Roman" w:eastAsia="仿宋_GB2312"/>
          <w:sz w:val="28"/>
          <w:szCs w:val="28"/>
        </w:rPr>
        <w:t>交三桥一楼，靠近食堂。作为人事档案数字化办公室，会议中心产权</w:t>
      </w:r>
      <w:r>
        <w:rPr>
          <w:rFonts w:hint="eastAsia" w:ascii="Times New Roman" w:hAnsi="Times New Roman" w:eastAsia="仿宋_GB2312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Times New Roman" w:hAnsi="Times New Roman" w:eastAsia="黑体"/>
          <w:sz w:val="28"/>
          <w:szCs w:val="28"/>
        </w:rPr>
      </w:pPr>
      <w:r>
        <w:rPr>
          <w:rFonts w:hint="eastAsia" w:ascii="Times New Roman" w:hAnsi="Times New Roman" w:eastAsia="黑体"/>
          <w:sz w:val="28"/>
          <w:szCs w:val="28"/>
        </w:rPr>
        <w:t>二、绩效评价工作情况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Times New Roman" w:hAnsi="Times New Roman" w:eastAsia="楷体"/>
          <w:sz w:val="28"/>
          <w:szCs w:val="28"/>
        </w:rPr>
      </w:pPr>
      <w:r>
        <w:rPr>
          <w:rFonts w:ascii="Times New Roman" w:hAnsi="楷体" w:eastAsia="楷体"/>
          <w:sz w:val="28"/>
          <w:szCs w:val="28"/>
        </w:rPr>
        <w:t>（一）绩效评价目的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全面了解项目管理过程是否规范、产出目标是否完成以及效果目标是否实现等方面的内容，总结经验，查找不足，为项目在以后年度的开展提供可行性参考建议。在此基础上，重点分析项目预算编制的合理性、成本支出的真实性和控制有效性，评价财政资金的使用效率和效果，为以后年度编制项目预算、选择项目实施主体等提供参考依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ascii="Times New Roman" w:hAnsi="楷体" w:eastAsia="楷体"/>
          <w:sz w:val="28"/>
          <w:szCs w:val="28"/>
        </w:rPr>
      </w:pPr>
      <w:bookmarkStart w:id="1" w:name="_Hlk100760740"/>
      <w:r>
        <w:rPr>
          <w:rFonts w:hint="eastAsia" w:ascii="Times New Roman" w:hAnsi="楷体" w:eastAsia="楷体"/>
          <w:sz w:val="28"/>
          <w:szCs w:val="28"/>
          <w:lang w:eastAsia="zh-CN"/>
        </w:rPr>
        <w:t>（</w:t>
      </w:r>
      <w:r>
        <w:rPr>
          <w:rFonts w:hint="eastAsia" w:ascii="Times New Roman" w:hAnsi="楷体" w:eastAsia="楷体"/>
          <w:sz w:val="28"/>
          <w:szCs w:val="28"/>
          <w:lang w:val="en-US" w:eastAsia="zh-CN"/>
        </w:rPr>
        <w:t>二</w:t>
      </w:r>
      <w:r>
        <w:rPr>
          <w:rFonts w:hint="eastAsia" w:ascii="Times New Roman" w:hAnsi="楷体" w:eastAsia="楷体"/>
          <w:sz w:val="28"/>
          <w:szCs w:val="28"/>
          <w:lang w:eastAsia="zh-CN"/>
        </w:rPr>
        <w:t>）</w:t>
      </w:r>
      <w:r>
        <w:rPr>
          <w:rFonts w:ascii="Times New Roman" w:hAnsi="楷体" w:eastAsia="楷体"/>
          <w:sz w:val="28"/>
          <w:szCs w:val="28"/>
        </w:rPr>
        <w:t>绩效评价工作方案制定过程</w:t>
      </w:r>
      <w:r>
        <w:rPr>
          <w:rFonts w:ascii="Times New Roman" w:hAnsi="楷体" w:eastAsia="楷体"/>
          <w:sz w:val="28"/>
          <w:szCs w:val="28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仿宋_GB2312" w:hAnsi="楷体" w:eastAsia="仿宋_GB2312"/>
          <w:sz w:val="28"/>
          <w:szCs w:val="28"/>
        </w:rPr>
      </w:pPr>
      <w:bookmarkStart w:id="2" w:name="_Hlk100759182"/>
      <w:r>
        <w:rPr>
          <w:rFonts w:hint="eastAsia" w:ascii="仿宋_GB2312" w:hAnsi="楷体" w:eastAsia="仿宋_GB2312"/>
          <w:sz w:val="28"/>
          <w:szCs w:val="28"/>
        </w:rPr>
        <w:t>从贯彻文件、摸清概况、制定流程等三个方面做好前期准备工作，厘清绩效自评工作总体思路，扎实打好自评基础工作。一是研学文件，组织自评组人员认真学习相关政策文件，包括绩效自评工作通知、相关资金管理办法等，吃透文件精神，做到心中有数，手中有尺。二是理清项目情况，与相关业务部门沟通联系，确定部门职责及目标完成情况。三是制定流程，明确具体评价内容、评价方法、工作步骤、人员分工等，提前准备资料清单和问卷调查访谈记录，科学安排，确保高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仿宋_GB2312" w:hAnsi="楷体" w:eastAsia="仿宋_GB2312"/>
          <w:sz w:val="28"/>
          <w:szCs w:val="28"/>
        </w:rPr>
      </w:pPr>
      <w:r>
        <w:rPr>
          <w:rFonts w:hint="eastAsia" w:ascii="仿宋_GB2312" w:hAnsi="楷体" w:eastAsia="仿宋_GB2312"/>
          <w:sz w:val="28"/>
          <w:szCs w:val="28"/>
        </w:rPr>
        <w:t>为确保评价结果真实、准确、客观。除细致深入的对各类数据资料进行比对核实、将取得的测算依据与指标值逐项核对外，还对发现的问题进行分析研判，剖析问题原因及财政支出可能存在的风险点，提出进一步完善政策建议，更好地发挥政策效用。</w:t>
      </w:r>
    </w:p>
    <w:bookmarkEnd w:id="2"/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ascii="Times New Roman" w:hAnsi="楷体" w:eastAsia="楷体"/>
          <w:sz w:val="28"/>
          <w:szCs w:val="28"/>
        </w:rPr>
      </w:pPr>
      <w:r>
        <w:rPr>
          <w:rFonts w:hint="eastAsia" w:ascii="Times New Roman" w:hAnsi="楷体" w:eastAsia="楷体"/>
          <w:sz w:val="28"/>
          <w:szCs w:val="28"/>
        </w:rPr>
        <w:t>（三）</w:t>
      </w:r>
      <w:r>
        <w:rPr>
          <w:rFonts w:ascii="Times New Roman" w:hAnsi="楷体" w:eastAsia="楷体"/>
          <w:sz w:val="28"/>
          <w:szCs w:val="28"/>
        </w:rPr>
        <w:t>绩效评价原则</w:t>
      </w:r>
      <w:r>
        <w:rPr>
          <w:rFonts w:hint="eastAsia" w:ascii="Times New Roman" w:hAnsi="楷体" w:eastAsia="楷体"/>
          <w:sz w:val="28"/>
          <w:szCs w:val="28"/>
        </w:rPr>
        <w:t>、</w:t>
      </w:r>
      <w:r>
        <w:rPr>
          <w:rFonts w:ascii="Times New Roman" w:hAnsi="楷体" w:eastAsia="楷体"/>
          <w:sz w:val="28"/>
          <w:szCs w:val="28"/>
        </w:rPr>
        <w:t>评价方法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仿宋_GB2312" w:hAnsi="楷体" w:eastAsia="仿宋_GB2312"/>
          <w:sz w:val="28"/>
          <w:szCs w:val="28"/>
        </w:rPr>
      </w:pPr>
      <w:bookmarkStart w:id="3" w:name="_Hlk100759222"/>
      <w:r>
        <w:rPr>
          <w:rFonts w:hint="eastAsia" w:ascii="仿宋_GB2312" w:hAnsi="楷体" w:eastAsia="仿宋_GB2312"/>
          <w:sz w:val="28"/>
          <w:szCs w:val="28"/>
        </w:rPr>
        <w:t>根据《项目支出绩效评价管理办法》（财预〔2020〕10号）、《云南省省级财政支出预算绩效评价操作规程（试行）》（云财评审〔2016〕39号）、昆明市盘龙区财政局关于开展2022年度区级预算支出绩效自评工作的通知（盘财绩〔202</w:t>
      </w:r>
      <w:r>
        <w:rPr>
          <w:rFonts w:hint="eastAsia" w:ascii="仿宋_GB2312" w:hAnsi="楷体" w:eastAsia="仿宋_GB2312"/>
          <w:sz w:val="28"/>
          <w:szCs w:val="28"/>
          <w:lang w:val="en-US" w:eastAsia="zh-CN"/>
        </w:rPr>
        <w:t>3</w:t>
      </w:r>
      <w:r>
        <w:rPr>
          <w:rFonts w:hint="eastAsia" w:ascii="仿宋_GB2312" w:hAnsi="楷体" w:eastAsia="仿宋_GB2312"/>
          <w:sz w:val="28"/>
          <w:szCs w:val="28"/>
        </w:rPr>
        <w:t>〕14号），本次评价指标体系参照“项目支出绩效评价共性指标体系框架”制定，遵循相关性原则、重要性原则、可比性原则、经济性原则和系统性原则。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仿宋_GB2312" w:hAnsi="楷体" w:eastAsia="仿宋_GB2312"/>
          <w:sz w:val="28"/>
          <w:szCs w:val="28"/>
        </w:rPr>
      </w:pPr>
      <w:r>
        <w:rPr>
          <w:rFonts w:hint="eastAsia" w:ascii="仿宋_GB2312" w:hAnsi="楷体" w:eastAsia="仿宋_GB2312"/>
          <w:sz w:val="28"/>
          <w:szCs w:val="28"/>
        </w:rPr>
        <w:t>本次绩效评价采用定量与定性相结合的评价方法，对收集的相关基础资料、各种技术系统取得的经济数据，在归集、整理、分析的基础上，运用资料审阅、分析比较法、公众问卷调查法等，系统、科学地反映项目综合绩效情况。具体评价方式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仿宋_GB2312" w:hAnsi="楷体" w:eastAsia="仿宋_GB2312"/>
          <w:sz w:val="28"/>
          <w:szCs w:val="28"/>
        </w:rPr>
      </w:pPr>
      <w:r>
        <w:rPr>
          <w:rFonts w:hint="eastAsia" w:ascii="仿宋_GB2312" w:hAnsi="楷体" w:eastAsia="仿宋_GB2312"/>
          <w:sz w:val="28"/>
          <w:szCs w:val="28"/>
        </w:rPr>
        <w:t>（1）审阅资料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仿宋_GB2312" w:hAnsi="楷体" w:eastAsia="仿宋_GB2312"/>
          <w:sz w:val="28"/>
          <w:szCs w:val="28"/>
        </w:rPr>
      </w:pPr>
      <w:r>
        <w:rPr>
          <w:rFonts w:hint="eastAsia" w:ascii="仿宋_GB2312" w:hAnsi="楷体" w:eastAsia="仿宋_GB2312"/>
          <w:sz w:val="28"/>
          <w:szCs w:val="28"/>
        </w:rPr>
        <w:t>对制度、操作规程等资料进行认真审阅，核实相关工作是否按要求完成，评价完成的质量和效果，为评价提供依据；查阅部门整体及项目预算和决算、财务和统计报表、预算执行情况和分析报告等相关文件，分析研究资金管理、资金下达等文件，必要时，请相关人员做出说明，并对需要进一步调查的问题做好记录；检查资金拨付、兑付情况，查看资金收支凭证，关注项目资金是否专款专用、是否存在违规现象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仿宋_GB2312" w:hAnsi="楷体" w:eastAsia="仿宋_GB2312"/>
          <w:sz w:val="28"/>
          <w:szCs w:val="28"/>
        </w:rPr>
      </w:pPr>
      <w:r>
        <w:rPr>
          <w:rFonts w:hint="eastAsia" w:ascii="仿宋_GB2312" w:hAnsi="楷体" w:eastAsia="仿宋_GB2312"/>
          <w:sz w:val="28"/>
          <w:szCs w:val="28"/>
        </w:rPr>
        <w:t>（2）分析比较法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仿宋_GB2312" w:hAnsi="楷体" w:eastAsia="仿宋_GB2312"/>
          <w:sz w:val="28"/>
          <w:szCs w:val="28"/>
        </w:rPr>
      </w:pPr>
      <w:r>
        <w:rPr>
          <w:rFonts w:hint="eastAsia" w:ascii="仿宋_GB2312" w:hAnsi="楷体" w:eastAsia="仿宋_GB2312"/>
          <w:sz w:val="28"/>
          <w:szCs w:val="28"/>
        </w:rPr>
        <w:t>依据资金拨付文件和凭证等，评价资金下拨及兑付情况；依据统计报表、决算报表等资料，对照资金实际完成内容，评价是否严格按照计划进行；依据相关政策文件，评价部门整体绩效管理是否按照相关管理办法执行；通过详细列举分析影响绩效目标实现的内外因素，将绩效目标与实施结果对比分析，评价绩效目标实现程度；将预期效益与实施效果对比分析，结合开展问卷调查和实地访谈，评价项目预期效益实现程度。</w:t>
      </w:r>
    </w:p>
    <w:bookmarkEnd w:id="3"/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ascii="Times New Roman" w:hAnsi="Times New Roman" w:eastAsia="黑体"/>
          <w:sz w:val="28"/>
          <w:szCs w:val="28"/>
        </w:rPr>
      </w:pPr>
      <w:r>
        <w:rPr>
          <w:rFonts w:hint="eastAsia" w:ascii="Times New Roman" w:hAnsi="楷体" w:eastAsia="楷体"/>
          <w:sz w:val="28"/>
          <w:szCs w:val="28"/>
          <w:lang w:eastAsia="zh-CN"/>
        </w:rPr>
        <w:t>（</w:t>
      </w:r>
      <w:r>
        <w:rPr>
          <w:rFonts w:hint="eastAsia" w:ascii="Times New Roman" w:hAnsi="楷体" w:eastAsia="楷体"/>
          <w:sz w:val="28"/>
          <w:szCs w:val="28"/>
          <w:lang w:val="en-US" w:eastAsia="zh-CN"/>
        </w:rPr>
        <w:t>四</w:t>
      </w:r>
      <w:r>
        <w:rPr>
          <w:rFonts w:hint="eastAsia" w:ascii="Times New Roman" w:hAnsi="楷体" w:eastAsia="楷体"/>
          <w:sz w:val="28"/>
          <w:szCs w:val="28"/>
          <w:lang w:eastAsia="zh-CN"/>
        </w:rPr>
        <w:t>）</w:t>
      </w:r>
      <w:r>
        <w:rPr>
          <w:rFonts w:ascii="Times New Roman" w:hAnsi="楷体" w:eastAsia="楷体"/>
          <w:sz w:val="28"/>
          <w:szCs w:val="28"/>
        </w:rPr>
        <w:t>绩效评价实施过程</w:t>
      </w:r>
      <w:r>
        <w:rPr>
          <w:rFonts w:ascii="Times New Roman" w:hAnsi="楷体" w:eastAsia="楷体"/>
          <w:sz w:val="28"/>
          <w:szCs w:val="28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仿宋_GB2312" w:hAnsi="楷体" w:eastAsia="仿宋_GB2312"/>
          <w:sz w:val="28"/>
          <w:szCs w:val="28"/>
        </w:rPr>
      </w:pPr>
      <w:bookmarkStart w:id="4" w:name="_Hlk100759243"/>
      <w:r>
        <w:rPr>
          <w:rFonts w:hint="eastAsia" w:ascii="仿宋_GB2312" w:hAnsi="楷体" w:eastAsia="仿宋_GB2312"/>
          <w:sz w:val="28"/>
          <w:szCs w:val="28"/>
        </w:rPr>
        <w:t>根据绩效评价工作方案的要求进行全方位的绩效评价，运用科学、合理的绩效评价指标、评价标准和评价方法，对财政支出进行客观、公正的评价。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仿宋_GB2312" w:hAnsi="楷体" w:eastAsia="仿宋_GB2312"/>
          <w:sz w:val="28"/>
          <w:szCs w:val="28"/>
        </w:rPr>
      </w:pPr>
      <w:r>
        <w:rPr>
          <w:rFonts w:hint="eastAsia" w:ascii="仿宋_GB2312" w:hAnsi="楷体" w:eastAsia="仿宋_GB2312"/>
          <w:sz w:val="28"/>
          <w:szCs w:val="28"/>
        </w:rPr>
        <w:t>（1）前期准备阶段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仿宋_GB2312" w:hAnsi="楷体" w:eastAsia="仿宋_GB2312"/>
          <w:sz w:val="28"/>
          <w:szCs w:val="28"/>
        </w:rPr>
      </w:pPr>
      <w:r>
        <w:rPr>
          <w:rFonts w:hint="eastAsia" w:ascii="仿宋_GB2312" w:hAnsi="楷体" w:eastAsia="仿宋_GB2312"/>
          <w:sz w:val="28"/>
          <w:szCs w:val="28"/>
        </w:rPr>
        <w:t>为进一步提高项目绩效管理质量，根据盘龙区财政局下发的昆明市盘龙区财政局关于开展2022年度区级预算支出绩效自评工作的通知（盘财绩〔202</w:t>
      </w:r>
      <w:r>
        <w:rPr>
          <w:rFonts w:hint="eastAsia" w:ascii="仿宋_GB2312" w:hAnsi="楷体" w:eastAsia="仿宋_GB2312"/>
          <w:sz w:val="28"/>
          <w:szCs w:val="28"/>
          <w:lang w:val="en-US" w:eastAsia="zh-CN"/>
        </w:rPr>
        <w:t>3</w:t>
      </w:r>
      <w:r>
        <w:rPr>
          <w:rFonts w:hint="eastAsia" w:ascii="仿宋_GB2312" w:hAnsi="楷体" w:eastAsia="仿宋_GB2312"/>
          <w:sz w:val="28"/>
          <w:szCs w:val="28"/>
        </w:rPr>
        <w:t>〕14号）明确了本次评价对象就流程。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仿宋_GB2312" w:hAnsi="楷体" w:eastAsia="仿宋_GB2312"/>
          <w:sz w:val="28"/>
          <w:szCs w:val="28"/>
        </w:rPr>
      </w:pPr>
      <w:r>
        <w:rPr>
          <w:rFonts w:hint="eastAsia" w:ascii="仿宋_GB2312" w:hAnsi="楷体" w:eastAsia="仿宋_GB2312"/>
          <w:sz w:val="28"/>
          <w:szCs w:val="28"/>
        </w:rPr>
        <w:t>（2）组织实施阶段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仿宋_GB2312" w:hAnsi="楷体" w:eastAsia="仿宋_GB2312"/>
          <w:sz w:val="28"/>
          <w:szCs w:val="28"/>
        </w:rPr>
      </w:pPr>
      <w:r>
        <w:rPr>
          <w:rFonts w:hint="eastAsia" w:ascii="仿宋_GB2312" w:hAnsi="楷体" w:eastAsia="仿宋_GB2312"/>
          <w:sz w:val="28"/>
          <w:szCs w:val="28"/>
        </w:rPr>
        <w:t>实施评价：根据项目自评的要求，项目成立了部门预算绩效评价工作小组，由负责人，小组成员配合完成，及时布置绩效评价工作，严密分工，明确要求。根据项目预期绩效目标设定的情况，审查有关对应的业务资料；根据项目预算安排情况，审查有关对应的收支财务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仿宋_GB2312" w:hAnsi="楷体" w:eastAsia="仿宋_GB2312"/>
          <w:sz w:val="28"/>
          <w:szCs w:val="28"/>
        </w:rPr>
      </w:pPr>
      <w:r>
        <w:rPr>
          <w:rFonts w:hint="eastAsia" w:ascii="仿宋_GB2312" w:hAnsi="楷体" w:eastAsia="仿宋_GB2312"/>
          <w:sz w:val="28"/>
          <w:szCs w:val="28"/>
        </w:rPr>
        <w:t>（3）报告撰写提交阶段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仿宋_GB2312" w:hAnsi="楷体" w:eastAsia="仿宋_GB2312"/>
          <w:sz w:val="28"/>
          <w:szCs w:val="28"/>
        </w:rPr>
        <w:t>根据业务资料、财务资料，对履职效益和质量做出评判，最后相关工作成果由项目负责人汇总、形成评价结论并撰写自评报告，审核上报。</w:t>
      </w:r>
      <w:bookmarkEnd w:id="4"/>
    </w:p>
    <w:bookmarkEnd w:id="1"/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Times New Roman" w:hAnsi="Times New Roman" w:eastAsia="黑体"/>
          <w:sz w:val="28"/>
          <w:szCs w:val="28"/>
        </w:rPr>
      </w:pPr>
      <w:r>
        <w:rPr>
          <w:rFonts w:ascii="Times New Roman" w:hAnsi="黑体" w:eastAsia="黑体"/>
          <w:sz w:val="28"/>
          <w:szCs w:val="28"/>
        </w:rPr>
        <w:t>三、评价结论和绩效分析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Times New Roman" w:hAnsi="Times New Roman" w:eastAsia="楷体"/>
          <w:sz w:val="28"/>
          <w:szCs w:val="28"/>
        </w:rPr>
      </w:pPr>
      <w:r>
        <w:rPr>
          <w:rFonts w:ascii="Times New Roman" w:hAnsi="楷体" w:eastAsia="楷体"/>
          <w:sz w:val="28"/>
          <w:szCs w:val="28"/>
        </w:rPr>
        <w:t>（一）评价结论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1.评价结果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/>
          <w:sz w:val="28"/>
          <w:szCs w:val="28"/>
        </w:rPr>
      </w:pPr>
      <w:bookmarkStart w:id="5" w:name="_Hlk100759299"/>
      <w:r>
        <w:rPr>
          <w:rFonts w:hint="eastAsia" w:ascii="Times New Roman" w:hAnsi="Times New Roman" w:eastAsia="仿宋_GB2312"/>
          <w:sz w:val="28"/>
          <w:szCs w:val="28"/>
        </w:rPr>
        <w:t>202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2</w:t>
      </w:r>
      <w:r>
        <w:rPr>
          <w:rFonts w:hint="eastAsia" w:ascii="Times New Roman" w:hAnsi="Times New Roman" w:eastAsia="仿宋_GB2312"/>
          <w:sz w:val="28"/>
          <w:szCs w:val="28"/>
        </w:rPr>
        <w:t>年档案室租金项目绩效评价得分</w:t>
      </w:r>
      <w:bookmarkStart w:id="9" w:name="_GoBack"/>
      <w:r>
        <w:rPr>
          <w:rFonts w:hint="eastAsia" w:ascii="Times New Roman" w:hAnsi="Times New Roman" w:eastAsia="仿宋_GB2312"/>
          <w:sz w:val="28"/>
          <w:szCs w:val="28"/>
          <w:highlight w:val="none"/>
        </w:rPr>
        <w:t>为9</w:t>
      </w:r>
      <w:r>
        <w:rPr>
          <w:rFonts w:hint="eastAsia" w:ascii="Times New Roman" w:hAnsi="Times New Roman" w:eastAsia="仿宋_GB2312"/>
          <w:sz w:val="28"/>
          <w:szCs w:val="28"/>
          <w:highlight w:val="none"/>
          <w:lang w:val="en-US" w:eastAsia="zh-CN"/>
        </w:rPr>
        <w:t>7</w:t>
      </w:r>
      <w:r>
        <w:rPr>
          <w:rFonts w:hint="eastAsia" w:ascii="Times New Roman" w:hAnsi="Times New Roman" w:eastAsia="仿宋_GB2312"/>
          <w:sz w:val="28"/>
          <w:szCs w:val="28"/>
          <w:highlight w:val="none"/>
        </w:rPr>
        <w:t>分</w:t>
      </w:r>
      <w:r>
        <w:rPr>
          <w:rFonts w:hint="eastAsia" w:ascii="Times New Roman" w:hAnsi="Times New Roman" w:eastAsia="仿宋_GB2312"/>
          <w:sz w:val="28"/>
          <w:szCs w:val="28"/>
          <w:highlight w:val="none"/>
        </w:rPr>
        <w:t>，评价</w:t>
      </w:r>
      <w:bookmarkEnd w:id="9"/>
      <w:r>
        <w:rPr>
          <w:rFonts w:hint="eastAsia" w:ascii="Times New Roman" w:hAnsi="Times New Roman" w:eastAsia="仿宋_GB2312"/>
          <w:sz w:val="28"/>
          <w:szCs w:val="28"/>
        </w:rPr>
        <w:t>等级为“优”。一级指标具体得分情况详见下表：</w:t>
      </w:r>
    </w:p>
    <w:tbl>
      <w:tblPr>
        <w:tblStyle w:val="8"/>
        <w:tblW w:w="822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2126"/>
        <w:gridCol w:w="2126"/>
        <w:gridCol w:w="184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2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/>
                <w:szCs w:val="32"/>
              </w:rPr>
            </w:pPr>
            <w:r>
              <w:rPr>
                <w:rFonts w:hint="eastAsia" w:ascii="仿宋" w:hAnsi="仿宋" w:eastAsia="仿宋"/>
                <w:szCs w:val="32"/>
              </w:rPr>
              <w:t>绩效评价得分情况表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szCs w:val="32"/>
              </w:rPr>
            </w:pPr>
            <w:r>
              <w:rPr>
                <w:rFonts w:hint="eastAsia" w:ascii="仿宋" w:hAnsi="仿宋" w:eastAsia="仿宋"/>
                <w:szCs w:val="32"/>
              </w:rPr>
              <w:t>一级指标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szCs w:val="32"/>
              </w:rPr>
            </w:pPr>
            <w:r>
              <w:rPr>
                <w:rFonts w:hint="eastAsia" w:ascii="仿宋" w:hAnsi="仿宋" w:eastAsia="仿宋"/>
                <w:szCs w:val="32"/>
              </w:rPr>
              <w:t>指标分值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szCs w:val="32"/>
              </w:rPr>
            </w:pPr>
            <w:r>
              <w:rPr>
                <w:rFonts w:hint="eastAsia" w:ascii="仿宋" w:hAnsi="仿宋" w:eastAsia="仿宋"/>
                <w:szCs w:val="32"/>
              </w:rPr>
              <w:t>评价得分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szCs w:val="32"/>
              </w:rPr>
            </w:pPr>
            <w:r>
              <w:rPr>
                <w:rFonts w:hint="eastAsia" w:ascii="仿宋" w:hAnsi="仿宋" w:eastAsia="仿宋"/>
                <w:szCs w:val="32"/>
              </w:rPr>
              <w:t>得分率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szCs w:val="32"/>
              </w:rPr>
            </w:pPr>
            <w:r>
              <w:rPr>
                <w:rFonts w:hint="eastAsia" w:ascii="仿宋" w:hAnsi="仿宋" w:eastAsia="仿宋"/>
                <w:szCs w:val="32"/>
              </w:rPr>
              <w:t>项目决策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仿宋" w:hAnsi="仿宋" w:eastAsia="仿宋"/>
                <w:szCs w:val="32"/>
              </w:rPr>
            </w:pPr>
            <w:r>
              <w:rPr>
                <w:rFonts w:ascii="仿宋" w:hAnsi="仿宋" w:eastAsia="仿宋"/>
                <w:szCs w:val="32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仿宋" w:hAnsi="仿宋" w:eastAsia="仿宋"/>
                <w:szCs w:val="32"/>
              </w:rPr>
            </w:pPr>
            <w:r>
              <w:rPr>
                <w:rFonts w:ascii="仿宋" w:hAnsi="仿宋" w:eastAsia="仿宋"/>
                <w:szCs w:val="32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仿宋" w:hAnsi="仿宋" w:eastAsia="仿宋"/>
                <w:szCs w:val="32"/>
              </w:rPr>
            </w:pPr>
            <w:r>
              <w:rPr>
                <w:rFonts w:ascii="仿宋" w:hAnsi="仿宋" w:eastAsia="仿宋"/>
                <w:szCs w:val="32"/>
              </w:rPr>
              <w:t>90.00%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szCs w:val="32"/>
              </w:rPr>
            </w:pPr>
            <w:r>
              <w:rPr>
                <w:rFonts w:hint="eastAsia" w:ascii="仿宋" w:hAnsi="仿宋" w:eastAsia="仿宋"/>
                <w:szCs w:val="32"/>
              </w:rPr>
              <w:t>项目管理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仿宋" w:hAnsi="仿宋" w:eastAsia="仿宋"/>
                <w:szCs w:val="32"/>
              </w:rPr>
            </w:pPr>
            <w:r>
              <w:rPr>
                <w:rFonts w:ascii="仿宋" w:hAnsi="仿宋" w:eastAsia="仿宋"/>
                <w:szCs w:val="32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仿宋" w:hAnsi="仿宋" w:eastAsia="仿宋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Cs w:val="32"/>
                <w:lang w:val="en-US" w:eastAsia="zh-CN"/>
              </w:rP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仿宋" w:hAnsi="仿宋" w:eastAsia="仿宋"/>
                <w:szCs w:val="32"/>
              </w:rPr>
            </w:pPr>
            <w:r>
              <w:rPr>
                <w:rFonts w:hint="eastAsia" w:ascii="仿宋" w:hAnsi="仿宋" w:eastAsia="仿宋"/>
                <w:szCs w:val="32"/>
                <w:lang w:val="en-US" w:eastAsia="zh-CN"/>
              </w:rPr>
              <w:t>95</w:t>
            </w:r>
            <w:r>
              <w:rPr>
                <w:rFonts w:ascii="仿宋" w:hAnsi="仿宋" w:eastAsia="仿宋"/>
                <w:szCs w:val="32"/>
              </w:rPr>
              <w:t>.00%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szCs w:val="32"/>
              </w:rPr>
            </w:pPr>
            <w:r>
              <w:rPr>
                <w:rFonts w:hint="eastAsia" w:ascii="仿宋" w:hAnsi="仿宋" w:eastAsia="仿宋"/>
                <w:szCs w:val="32"/>
              </w:rPr>
              <w:t>项目绩效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仿宋" w:hAnsi="仿宋" w:eastAsia="仿宋"/>
                <w:szCs w:val="32"/>
              </w:rPr>
            </w:pPr>
            <w:r>
              <w:rPr>
                <w:rFonts w:ascii="仿宋" w:hAnsi="仿宋" w:eastAsia="仿宋"/>
                <w:szCs w:val="32"/>
              </w:rPr>
              <w:t>60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仿宋" w:hAnsi="仿宋" w:eastAsia="仿宋"/>
                <w:szCs w:val="32"/>
              </w:rPr>
            </w:pPr>
            <w:r>
              <w:rPr>
                <w:rFonts w:ascii="仿宋" w:hAnsi="仿宋" w:eastAsia="仿宋"/>
                <w:szCs w:val="32"/>
              </w:rPr>
              <w:t>60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仿宋" w:hAnsi="仿宋" w:eastAsia="仿宋"/>
                <w:szCs w:val="32"/>
              </w:rPr>
            </w:pPr>
            <w:r>
              <w:rPr>
                <w:rFonts w:ascii="仿宋" w:hAnsi="仿宋" w:eastAsia="仿宋"/>
                <w:szCs w:val="32"/>
              </w:rPr>
              <w:t>100.00%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szCs w:val="32"/>
              </w:rPr>
            </w:pPr>
            <w:r>
              <w:rPr>
                <w:rFonts w:hint="eastAsia" w:ascii="仿宋" w:hAnsi="仿宋" w:eastAsia="仿宋"/>
                <w:szCs w:val="32"/>
              </w:rPr>
              <w:t>合 计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仿宋" w:hAnsi="仿宋" w:eastAsia="仿宋"/>
                <w:szCs w:val="32"/>
              </w:rPr>
            </w:pPr>
            <w:r>
              <w:rPr>
                <w:rFonts w:ascii="仿宋" w:hAnsi="仿宋" w:eastAsia="仿宋"/>
                <w:szCs w:val="3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hint="eastAsia" w:ascii="仿宋" w:hAnsi="仿宋" w:eastAsia="仿宋"/>
                <w:szCs w:val="32"/>
                <w:lang w:val="en-US" w:eastAsia="zh-CN"/>
              </w:rPr>
            </w:pPr>
            <w:r>
              <w:rPr>
                <w:rFonts w:ascii="仿宋" w:hAnsi="仿宋" w:eastAsia="仿宋"/>
                <w:szCs w:val="32"/>
              </w:rPr>
              <w:t>9</w:t>
            </w:r>
            <w:r>
              <w:rPr>
                <w:rFonts w:hint="eastAsia" w:ascii="仿宋" w:hAnsi="仿宋" w:eastAsia="仿宋"/>
                <w:szCs w:val="32"/>
                <w:lang w:val="en-US" w:eastAsia="zh-CN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仿宋" w:hAnsi="仿宋" w:eastAsia="仿宋"/>
                <w:szCs w:val="32"/>
              </w:rPr>
            </w:pPr>
            <w:r>
              <w:rPr>
                <w:rFonts w:ascii="仿宋" w:hAnsi="仿宋" w:eastAsia="仿宋"/>
                <w:szCs w:val="32"/>
              </w:rPr>
              <w:t>9</w:t>
            </w:r>
            <w:r>
              <w:rPr>
                <w:rFonts w:hint="eastAsia" w:ascii="仿宋" w:hAnsi="仿宋" w:eastAsia="仿宋"/>
                <w:szCs w:val="32"/>
                <w:lang w:val="en-US" w:eastAsia="zh-CN"/>
              </w:rPr>
              <w:t>7</w:t>
            </w:r>
            <w:r>
              <w:rPr>
                <w:rFonts w:ascii="仿宋" w:hAnsi="仿宋" w:eastAsia="仿宋"/>
                <w:szCs w:val="32"/>
              </w:rPr>
              <w:t>.00%</w:t>
            </w:r>
          </w:p>
        </w:tc>
      </w:tr>
      <w:bookmarkEnd w:id="5"/>
    </w:tbl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2.主要绩效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按照合同规定</w:t>
      </w:r>
      <w:r>
        <w:rPr>
          <w:rFonts w:hint="eastAsia" w:ascii="Times New Roman" w:hAnsi="Times New Roman" w:eastAsia="仿宋_GB2312"/>
          <w:sz w:val="28"/>
          <w:szCs w:val="28"/>
        </w:rPr>
        <w:t>完成202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3</w:t>
      </w:r>
      <w:r>
        <w:rPr>
          <w:rFonts w:hint="eastAsia" w:ascii="Times New Roman" w:hAnsi="Times New Roman" w:eastAsia="仿宋_GB2312"/>
          <w:sz w:val="28"/>
          <w:szCs w:val="28"/>
        </w:rPr>
        <w:t>年度档案室租金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支付</w:t>
      </w:r>
      <w:r>
        <w:rPr>
          <w:rFonts w:hint="eastAsia" w:ascii="Times New Roman" w:hAnsi="Times New Roman" w:eastAsia="仿宋_GB2312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ascii="Times New Roman" w:hAnsi="楷体" w:eastAsia="楷体"/>
          <w:sz w:val="28"/>
          <w:szCs w:val="28"/>
        </w:rPr>
      </w:pPr>
      <w:r>
        <w:rPr>
          <w:rFonts w:ascii="Times New Roman" w:hAnsi="楷体" w:eastAsia="楷体"/>
          <w:sz w:val="28"/>
          <w:szCs w:val="28"/>
        </w:rPr>
        <w:t>（二）具体绩效分析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Times New Roman" w:hAnsi="仿宋_GB2312" w:eastAsia="仿宋_GB2312"/>
          <w:sz w:val="28"/>
          <w:szCs w:val="28"/>
        </w:rPr>
      </w:pPr>
      <w:bookmarkStart w:id="6" w:name="_Hlk100760931"/>
      <w:bookmarkStart w:id="7" w:name="_Hlk100759561"/>
      <w:r>
        <w:rPr>
          <w:rFonts w:hint="eastAsia" w:ascii="Times New Roman" w:hAnsi="仿宋_GB2312" w:eastAsia="仿宋_GB2312"/>
          <w:sz w:val="28"/>
          <w:szCs w:val="28"/>
        </w:rPr>
        <w:t>通过开展绩效自评工作，全面了解项目支出预算资金的执行、管理使用情况，以及取得的成绩和综合效果，促使项目组树立责任意识、绩效意识及风险控制意识，进一步加强预算支出及项目管理，保证财政资金管理的规范性、使用的安全性和有效性，提高财政专项资金的使用效益和管理水平。通过开展绩效自评工作，进一步提高预算执行中基础数据的准确性、人员经费的规范性、公用经费的合规性、项目经费的有效性和内控制度的完备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Times New Roman" w:hAnsi="仿宋_GB2312" w:eastAsia="仿宋_GB2312"/>
          <w:sz w:val="28"/>
          <w:szCs w:val="28"/>
        </w:rPr>
      </w:pPr>
      <w:r>
        <w:rPr>
          <w:rFonts w:hint="eastAsia" w:ascii="Times New Roman" w:hAnsi="仿宋_GB2312" w:eastAsia="仿宋_GB2312"/>
          <w:sz w:val="28"/>
          <w:szCs w:val="28"/>
        </w:rPr>
        <w:t>（1）项目决策方面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Times New Roman" w:hAnsi="仿宋_GB2312" w:eastAsia="仿宋_GB2312"/>
          <w:sz w:val="28"/>
          <w:szCs w:val="28"/>
        </w:rPr>
      </w:pPr>
      <w:r>
        <w:rPr>
          <w:rFonts w:hint="eastAsia" w:ascii="Times New Roman" w:hAnsi="仿宋_GB2312" w:eastAsia="仿宋_GB2312"/>
          <w:sz w:val="28"/>
          <w:szCs w:val="28"/>
        </w:rPr>
        <w:t>在项目决策部分分别对项目立项、项目目标指标进行评价。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仿宋_GB2312" w:eastAsia="仿宋_GB2312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仿宋_GB2312" w:eastAsia="仿宋_GB2312"/>
          <w:sz w:val="28"/>
          <w:szCs w:val="28"/>
        </w:rPr>
        <w:t>项目立项方面：与部门中长期规划目标与部门中长期目标适应，立项依据充分，立项程序规范</w:t>
      </w:r>
      <w:r>
        <w:rPr>
          <w:rFonts w:hint="eastAsia" w:ascii="Times New Roman" w:hAnsi="仿宋_GB2312" w:eastAsia="仿宋_GB2312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Times New Roman" w:hAnsi="仿宋_GB2312" w:eastAsia="仿宋_GB2312"/>
          <w:sz w:val="28"/>
          <w:szCs w:val="28"/>
        </w:rPr>
      </w:pPr>
      <w:r>
        <w:rPr>
          <w:rFonts w:hint="eastAsia" w:ascii="Times New Roman" w:hAnsi="仿宋_GB2312" w:eastAsia="仿宋_GB2312"/>
          <w:sz w:val="28"/>
          <w:szCs w:val="28"/>
        </w:rPr>
        <w:t>项目目标方面：绩效目标设定合理、明确，指标细化量化，与项目目标匹配。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Times New Roman" w:hAnsi="仿宋_GB2312" w:eastAsia="仿宋_GB2312"/>
          <w:sz w:val="28"/>
          <w:szCs w:val="28"/>
        </w:rPr>
      </w:pPr>
      <w:r>
        <w:rPr>
          <w:rFonts w:hint="eastAsia" w:ascii="Times New Roman" w:hAnsi="仿宋_GB2312" w:eastAsia="仿宋_GB2312"/>
          <w:sz w:val="28"/>
          <w:szCs w:val="28"/>
        </w:rPr>
        <w:t>（2）项目管理方面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Times New Roman" w:hAnsi="仿宋_GB2312" w:eastAsia="仿宋_GB2312"/>
          <w:sz w:val="28"/>
          <w:szCs w:val="28"/>
        </w:rPr>
      </w:pPr>
      <w:r>
        <w:rPr>
          <w:rFonts w:hint="eastAsia" w:ascii="Times New Roman" w:hAnsi="仿宋_GB2312" w:eastAsia="仿宋_GB2312"/>
          <w:sz w:val="28"/>
          <w:szCs w:val="28"/>
        </w:rPr>
        <w:t>在项目管理部分分别对投入管理、财务管理</w:t>
      </w:r>
      <w:r>
        <w:rPr>
          <w:rFonts w:hint="eastAsia" w:ascii="Times New Roman" w:hAnsi="仿宋_GB2312" w:eastAsia="仿宋_GB2312"/>
          <w:sz w:val="28"/>
          <w:szCs w:val="28"/>
          <w:lang w:eastAsia="zh-CN"/>
        </w:rPr>
        <w:t>、</w:t>
      </w:r>
      <w:r>
        <w:rPr>
          <w:rFonts w:hint="eastAsia" w:ascii="Times New Roman" w:hAnsi="仿宋_GB2312" w:eastAsia="仿宋_GB2312"/>
          <w:sz w:val="28"/>
          <w:szCs w:val="28"/>
        </w:rPr>
        <w:t>项目实施指标进行评价。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Times New Roman" w:hAnsi="仿宋_GB2312" w:eastAsia="仿宋_GB2312"/>
          <w:sz w:val="28"/>
          <w:szCs w:val="28"/>
        </w:rPr>
      </w:pPr>
      <w:r>
        <w:rPr>
          <w:rFonts w:hint="eastAsia" w:ascii="Times New Roman" w:hAnsi="仿宋_GB2312" w:eastAsia="仿宋_GB2312"/>
          <w:sz w:val="28"/>
          <w:szCs w:val="28"/>
        </w:rPr>
        <w:t>投入管理方面：预算编制合理</w:t>
      </w:r>
      <w:r>
        <w:rPr>
          <w:rFonts w:hint="eastAsia" w:ascii="Times New Roman" w:hAnsi="仿宋_GB2312" w:eastAsia="仿宋_GB2312"/>
          <w:sz w:val="28"/>
          <w:szCs w:val="28"/>
          <w:highlight w:val="none"/>
        </w:rPr>
        <w:t>，项目支出预算执行率控制较</w:t>
      </w:r>
      <w:r>
        <w:rPr>
          <w:rFonts w:hint="eastAsia" w:ascii="Times New Roman" w:hAnsi="仿宋_GB2312" w:eastAsia="仿宋_GB2312"/>
          <w:sz w:val="28"/>
          <w:szCs w:val="28"/>
          <w:highlight w:val="none"/>
          <w:lang w:val="en-US" w:eastAsia="zh-CN"/>
        </w:rPr>
        <w:t>差</w:t>
      </w:r>
      <w:r>
        <w:rPr>
          <w:rFonts w:hint="eastAsia" w:ascii="Times New Roman" w:hAnsi="仿宋_GB2312" w:eastAsia="仿宋_GB2312"/>
          <w:sz w:val="28"/>
          <w:szCs w:val="28"/>
          <w:highlight w:val="none"/>
        </w:rPr>
        <w:t>；</w:t>
      </w:r>
      <w:r>
        <w:rPr>
          <w:rFonts w:hint="eastAsia" w:ascii="Times New Roman" w:hAnsi="仿宋_GB2312" w:eastAsia="仿宋_GB2312"/>
          <w:sz w:val="28"/>
          <w:szCs w:val="28"/>
        </w:rPr>
        <w:t>预算调整均根据年中预算实际执行情况及时合规进行预算调整。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Times New Roman" w:hAnsi="仿宋_GB2312" w:eastAsia="仿宋_GB2312"/>
          <w:sz w:val="28"/>
          <w:szCs w:val="28"/>
        </w:rPr>
      </w:pPr>
      <w:r>
        <w:rPr>
          <w:rFonts w:hint="eastAsia" w:ascii="Times New Roman" w:hAnsi="仿宋_GB2312" w:eastAsia="仿宋_GB2312"/>
          <w:sz w:val="28"/>
          <w:szCs w:val="28"/>
        </w:rPr>
        <w:t>财务管理方面：财务管理制度健全，部门使用预算资金均符合相关财务管理制度的规定。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Times New Roman" w:hAnsi="仿宋_GB2312" w:eastAsia="仿宋_GB2312"/>
          <w:sz w:val="28"/>
          <w:szCs w:val="28"/>
        </w:rPr>
      </w:pPr>
      <w:r>
        <w:rPr>
          <w:rFonts w:hint="eastAsia" w:ascii="Times New Roman" w:hAnsi="仿宋_GB2312" w:eastAsia="仿宋_GB2312"/>
          <w:sz w:val="28"/>
          <w:szCs w:val="28"/>
        </w:rPr>
        <w:t>项目实施方面：项目管理制度健全，且按照项目管理制度有效执行，政府采购程序规范。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Times New Roman" w:hAnsi="仿宋_GB2312" w:eastAsia="仿宋_GB2312"/>
          <w:sz w:val="28"/>
          <w:szCs w:val="28"/>
        </w:rPr>
      </w:pPr>
      <w:r>
        <w:rPr>
          <w:rFonts w:hint="eastAsia" w:ascii="Times New Roman" w:hAnsi="仿宋_GB2312" w:eastAsia="仿宋_GB2312"/>
          <w:sz w:val="28"/>
          <w:szCs w:val="28"/>
        </w:rPr>
        <w:t>（3）项目绩效方面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Times New Roman" w:hAnsi="仿宋_GB2312" w:eastAsia="仿宋_GB2312"/>
          <w:sz w:val="28"/>
          <w:szCs w:val="28"/>
        </w:rPr>
      </w:pPr>
      <w:r>
        <w:rPr>
          <w:rFonts w:hint="eastAsia" w:ascii="Times New Roman" w:hAnsi="仿宋_GB2312" w:eastAsia="仿宋_GB2312"/>
          <w:sz w:val="28"/>
          <w:szCs w:val="28"/>
        </w:rPr>
        <w:t>在项目绩效部分分别对项目产出、项目效益指标进行评价。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Times New Roman" w:hAnsi="仿宋_GB2312" w:eastAsia="仿宋_GB2312"/>
          <w:sz w:val="28"/>
          <w:szCs w:val="28"/>
        </w:rPr>
      </w:pPr>
      <w:r>
        <w:rPr>
          <w:rFonts w:hint="eastAsia" w:ascii="Times New Roman" w:hAnsi="仿宋_GB2312" w:eastAsia="仿宋_GB2312"/>
          <w:sz w:val="28"/>
          <w:szCs w:val="28"/>
        </w:rPr>
        <w:t>项目产出方面：做好5000卷2019年干部人事档案、流动人员档案日常管理、维护、查阅、复印、机要工作</w:t>
      </w:r>
      <w:r>
        <w:rPr>
          <w:rFonts w:hint="eastAsia" w:ascii="Times New Roman" w:hAnsi="仿宋_GB2312" w:eastAsia="仿宋_GB2312"/>
          <w:sz w:val="28"/>
          <w:szCs w:val="28"/>
          <w:lang w:eastAsia="zh-CN"/>
        </w:rPr>
        <w:t>，</w:t>
      </w:r>
      <w:r>
        <w:rPr>
          <w:rFonts w:hint="eastAsia" w:ascii="Times New Roman" w:hAnsi="仿宋_GB2312" w:eastAsia="仿宋_GB2312"/>
          <w:sz w:val="28"/>
          <w:szCs w:val="28"/>
        </w:rPr>
        <w:t>完成</w:t>
      </w:r>
      <w:r>
        <w:rPr>
          <w:rFonts w:hint="eastAsia" w:ascii="Times New Roman" w:hAnsi="仿宋_GB2312" w:eastAsia="仿宋_GB2312"/>
          <w:sz w:val="28"/>
          <w:szCs w:val="28"/>
          <w:lang w:val="en-US" w:eastAsia="zh-CN"/>
        </w:rPr>
        <w:t>2023年档案室租金支付</w:t>
      </w:r>
      <w:r>
        <w:rPr>
          <w:rFonts w:hint="eastAsia" w:ascii="Times New Roman" w:hAnsi="仿宋_GB2312" w:eastAsia="仿宋_GB2312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Times New Roman" w:hAnsi="仿宋_GB2312" w:eastAsia="仿宋_GB2312"/>
          <w:sz w:val="28"/>
          <w:szCs w:val="28"/>
          <w:lang w:eastAsia="zh-CN"/>
        </w:rPr>
      </w:pPr>
      <w:r>
        <w:rPr>
          <w:rFonts w:hint="eastAsia" w:ascii="Times New Roman" w:hAnsi="仿宋_GB2312" w:eastAsia="仿宋_GB2312"/>
          <w:sz w:val="28"/>
          <w:szCs w:val="28"/>
        </w:rPr>
        <w:t>项目效益方面：</w:t>
      </w:r>
      <w:bookmarkEnd w:id="6"/>
      <w:r>
        <w:rPr>
          <w:rFonts w:hint="eastAsia" w:ascii="Times New Roman" w:hAnsi="仿宋_GB2312" w:eastAsia="仿宋_GB2312"/>
          <w:sz w:val="28"/>
          <w:szCs w:val="28"/>
        </w:rPr>
        <w:t>按照档案管理工作制度，规范管理，实现档案管理规范化、标准化</w:t>
      </w:r>
      <w:r>
        <w:rPr>
          <w:rFonts w:hint="eastAsia" w:ascii="Times New Roman" w:hAnsi="仿宋_GB2312" w:eastAsia="仿宋_GB2312"/>
          <w:sz w:val="28"/>
          <w:szCs w:val="28"/>
          <w:lang w:eastAsia="zh-CN"/>
        </w:rPr>
        <w:t>。</w:t>
      </w:r>
    </w:p>
    <w:bookmarkEnd w:id="7"/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Times New Roman" w:hAnsi="Times New Roman" w:eastAsia="黑体"/>
          <w:sz w:val="28"/>
          <w:szCs w:val="28"/>
        </w:rPr>
      </w:pPr>
      <w:bookmarkStart w:id="8" w:name="_Hlk100760282"/>
      <w:r>
        <w:rPr>
          <w:rFonts w:ascii="Times New Roman" w:hAnsi="黑体" w:eastAsia="黑体"/>
          <w:sz w:val="28"/>
          <w:szCs w:val="28"/>
        </w:rPr>
        <w:t>四、成本效益分析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20</w:t>
      </w:r>
      <w:r>
        <w:rPr>
          <w:rFonts w:hint="eastAsia" w:ascii="Times New Roman" w:hAnsi="Times New Roman" w:eastAsia="仿宋_GB2312"/>
          <w:sz w:val="28"/>
          <w:szCs w:val="28"/>
        </w:rPr>
        <w:t>2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2</w:t>
      </w:r>
      <w:r>
        <w:rPr>
          <w:rFonts w:ascii="Times New Roman" w:hAnsi="Times New Roman" w:eastAsia="仿宋_GB2312"/>
          <w:sz w:val="28"/>
          <w:szCs w:val="28"/>
        </w:rPr>
        <w:t>年该项所有资金实行专款专用。项目支出均有相关的授权审批，资金拨付严格审批程序，使用规范，会计核算结果真实、准确。此次绩效评价过程中未发现有截留、挤占或挪用项目资金的情况。</w:t>
      </w:r>
      <w:bookmarkEnd w:id="8"/>
      <w:r>
        <w:rPr>
          <w:rFonts w:hint="eastAsia" w:ascii="Times New Roman" w:hAnsi="Times New Roman" w:eastAsia="仿宋_GB2312"/>
          <w:sz w:val="28"/>
          <w:szCs w:val="28"/>
        </w:rPr>
        <w:t>完成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2023年</w:t>
      </w:r>
      <w:r>
        <w:rPr>
          <w:rFonts w:hint="eastAsia" w:ascii="Times New Roman" w:hAnsi="Times New Roman" w:eastAsia="仿宋_GB2312"/>
          <w:sz w:val="28"/>
          <w:szCs w:val="28"/>
        </w:rPr>
        <w:t>档案室租金，实际发生费用88,920.00元。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Times New Roman" w:hAnsi="Times New Roman" w:eastAsia="黑体"/>
          <w:sz w:val="28"/>
          <w:szCs w:val="28"/>
        </w:rPr>
      </w:pPr>
      <w:r>
        <w:rPr>
          <w:rFonts w:ascii="Times New Roman" w:hAnsi="黑体" w:eastAsia="黑体"/>
          <w:sz w:val="28"/>
          <w:szCs w:val="28"/>
        </w:rPr>
        <w:t>五、主要经验及做法、存在的问题和建议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/>
          <w:sz w:val="28"/>
          <w:szCs w:val="28"/>
        </w:rPr>
        <w:t>按照合同规定完成2023年度档案室租金支付</w:t>
      </w:r>
      <w:r>
        <w:rPr>
          <w:rFonts w:hint="eastAsia" w:ascii="Times New Roman" w:hAnsi="Times New Roman" w:eastAsia="仿宋_GB2312"/>
          <w:sz w:val="28"/>
          <w:szCs w:val="28"/>
          <w:lang w:eastAsia="zh-CN"/>
        </w:rPr>
        <w:t>，按照档案管理工作制度，规范管理，实现档案管理规范化、标准化。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Times New Roman" w:hAnsi="Times New Roman" w:eastAsia="仿宋_GB2312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Times New Roman" w:hAnsi="Times New Roman" w:eastAsia="仿宋_GB2312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ascii="Times New Roman" w:hAnsi="Times New Roman" w:eastAsia="方正小标宋_GBK"/>
          <w:sz w:val="28"/>
          <w:szCs w:val="28"/>
          <w:highlight w:val="none"/>
        </w:rPr>
      </w:pPr>
      <w:r>
        <w:rPr>
          <w:rFonts w:ascii="Times New Roman" w:hAnsi="Times New Roman" w:eastAsia="方正小标宋_GBK"/>
          <w:sz w:val="28"/>
          <w:szCs w:val="28"/>
          <w:highlight w:val="none"/>
        </w:rPr>
        <w:t>绩效评价报告正文后附以下佐证材料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ascii="Times New Roman" w:hAnsi="Times New Roman" w:eastAsia="方正小标宋_GBK"/>
          <w:sz w:val="28"/>
          <w:szCs w:val="28"/>
          <w:highlight w:val="none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 w:firstLine="560" w:firstLineChars="200"/>
        <w:jc w:val="left"/>
        <w:textAlignment w:val="auto"/>
        <w:rPr>
          <w:rFonts w:hint="default" w:ascii="Times New Roman" w:hAnsi="Times New Roman" w:eastAsia="仿宋_GB2312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/>
          <w:sz w:val="28"/>
          <w:szCs w:val="28"/>
          <w:highlight w:val="none"/>
          <w:lang w:val="en-US" w:eastAsia="zh-CN"/>
        </w:rPr>
        <w:t>1.项目支出绩效评价共性指标体系；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 w:firstLine="560" w:firstLineChars="200"/>
        <w:jc w:val="left"/>
        <w:textAlignment w:val="auto"/>
        <w:rPr>
          <w:rFonts w:hint="default" w:ascii="Times New Roman" w:hAnsi="Times New Roman" w:eastAsia="仿宋_GB2312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/>
          <w:sz w:val="28"/>
          <w:szCs w:val="28"/>
          <w:highlight w:val="none"/>
          <w:lang w:val="en-US" w:eastAsia="zh-CN"/>
        </w:rPr>
        <w:t>2.房屋租赁协议；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 w:firstLine="560" w:firstLineChars="200"/>
        <w:jc w:val="left"/>
        <w:textAlignment w:val="auto"/>
        <w:rPr>
          <w:rFonts w:hint="eastAsia" w:ascii="Times New Roman" w:hAnsi="Times New Roman" w:eastAsia="仿宋_GB2312"/>
          <w:szCs w:val="21"/>
          <w:highlight w:val="none"/>
          <w:lang w:eastAsia="zh-CN"/>
        </w:rPr>
      </w:pPr>
      <w:r>
        <w:rPr>
          <w:rFonts w:hint="eastAsia" w:ascii="Times New Roman" w:hAnsi="Times New Roman" w:eastAsia="仿宋_GB2312"/>
          <w:sz w:val="28"/>
          <w:szCs w:val="28"/>
          <w:highlight w:val="none"/>
          <w:lang w:val="en-US" w:eastAsia="zh-CN"/>
        </w:rPr>
        <w:t>3.</w:t>
      </w:r>
      <w:r>
        <w:rPr>
          <w:rFonts w:hint="eastAsia" w:ascii="Times New Roman" w:hAnsi="Times New Roman" w:eastAsia="仿宋_GB2312"/>
          <w:sz w:val="28"/>
          <w:szCs w:val="28"/>
          <w:highlight w:val="none"/>
        </w:rPr>
        <w:t>档案室租金</w:t>
      </w:r>
      <w:r>
        <w:rPr>
          <w:rFonts w:hint="eastAsia" w:ascii="Times New Roman" w:hAnsi="Times New Roman" w:eastAsia="仿宋_GB2312"/>
          <w:sz w:val="28"/>
          <w:szCs w:val="28"/>
          <w:highlight w:val="none"/>
          <w:lang w:val="en-US" w:eastAsia="zh-CN"/>
        </w:rPr>
        <w:t>-项目</w:t>
      </w:r>
      <w:r>
        <w:rPr>
          <w:rFonts w:hint="eastAsia" w:ascii="Times New Roman" w:hAnsi="Times New Roman" w:eastAsia="仿宋_GB2312"/>
          <w:sz w:val="28"/>
          <w:szCs w:val="28"/>
          <w:highlight w:val="none"/>
        </w:rPr>
        <w:t>申报书</w:t>
      </w:r>
      <w:r>
        <w:rPr>
          <w:rFonts w:hint="eastAsia" w:ascii="Times New Roman" w:hAnsi="Times New Roman" w:eastAsia="仿宋_GB2312"/>
          <w:sz w:val="28"/>
          <w:szCs w:val="28"/>
          <w:highlight w:val="none"/>
          <w:lang w:eastAsia="zh-CN"/>
        </w:rPr>
        <w:t>；</w:t>
      </w:r>
    </w:p>
    <w:p>
      <w:pPr>
        <w:spacing w:line="440" w:lineRule="exact"/>
        <w:ind w:left="141" w:hanging="140" w:hangingChars="67"/>
        <w:jc w:val="left"/>
        <w:rPr>
          <w:rFonts w:ascii="Times New Roman" w:hAnsi="Times New Roman" w:eastAsia="仿宋_GB2312"/>
          <w:color w:val="FF0000"/>
          <w:highlight w:val="none"/>
        </w:rPr>
      </w:pPr>
    </w:p>
    <w:p>
      <w:pPr>
        <w:spacing w:line="440" w:lineRule="exact"/>
        <w:jc w:val="both"/>
        <w:rPr>
          <w:rFonts w:ascii="Times New Roman" w:hAnsi="Times New Roman" w:eastAsia="方正小标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pict>
        <v:shape id="_x0000_s2049" o:spid="_x0000_s2049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r7wPrgEAAEsD&#10;AAAOAAAAAAAAAAEAIAAAAB4BAABkcnMvZTJvRG9jLnhtbFBLBQYAAAAABgAGAFkBAAA+BQAAAAA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5"/>
                </w:pPr>
                <w:r>
                  <w:rPr>
                    <w:rFonts w:hint="eastAsia"/>
                  </w:rPr>
                  <w:t>—</w:t>
                </w:r>
                <w:r>
                  <w:rPr>
                    <w:rFonts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/>
                    <w:sz w:val="28"/>
                    <w:szCs w:val="28"/>
                  </w:rPr>
                  <w:fldChar w:fldCharType="separate"/>
                </w:r>
                <w:r>
                  <w:rPr>
                    <w:sz w:val="28"/>
                    <w:szCs w:val="28"/>
                  </w:rPr>
                  <w:t>8</w:t>
                </w:r>
                <w:r>
                  <w:rPr>
                    <w:rFonts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/>
                  </w:rPr>
                  <w:t>—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pict>
        <v:shape id="_x0000_s2050" o:spid="_x0000_s2050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DOqXm5zwAAAAUBAAAPAAAA&#10;AAAAAAEAIAAAACIAAABkcnMvZG93bnJldi54bWxQSwECFAAUAAAACACHTuJAypKlWKwBAABLAwAA&#10;DgAAAAAAAAABACAAAAAeAQAAZHJzL2Uyb0RvYy54bWxQSwUGAAAAAAYABgBZAQAAPAUAAAAA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5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displayBackgroundShape w:val="1"/>
  <w:bordersDoNotSurroundHeader w:val="1"/>
  <w:bordersDoNotSurroundFooter w:val="1"/>
  <w:doNotTrackMoves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jU2MzJhZDllMzY3MzFiYjIzZTcxZjlhYjM0M2NmMzMifQ=="/>
  </w:docVars>
  <w:rsids>
    <w:rsidRoot w:val="0050687F"/>
    <w:rsid w:val="00002F32"/>
    <w:rsid w:val="000126AF"/>
    <w:rsid w:val="00020476"/>
    <w:rsid w:val="00031386"/>
    <w:rsid w:val="0003383F"/>
    <w:rsid w:val="0005029B"/>
    <w:rsid w:val="000540DE"/>
    <w:rsid w:val="0006360B"/>
    <w:rsid w:val="0007610E"/>
    <w:rsid w:val="000A3B75"/>
    <w:rsid w:val="000C7960"/>
    <w:rsid w:val="000F3860"/>
    <w:rsid w:val="000F47C2"/>
    <w:rsid w:val="000F56A9"/>
    <w:rsid w:val="00120D32"/>
    <w:rsid w:val="00126760"/>
    <w:rsid w:val="00131C0B"/>
    <w:rsid w:val="00155091"/>
    <w:rsid w:val="001E4C00"/>
    <w:rsid w:val="002439A7"/>
    <w:rsid w:val="00254D20"/>
    <w:rsid w:val="002844B0"/>
    <w:rsid w:val="002B64D6"/>
    <w:rsid w:val="002C4D37"/>
    <w:rsid w:val="002D6504"/>
    <w:rsid w:val="002E41AA"/>
    <w:rsid w:val="00303CAD"/>
    <w:rsid w:val="00303CB6"/>
    <w:rsid w:val="0032495D"/>
    <w:rsid w:val="00326126"/>
    <w:rsid w:val="00344E9B"/>
    <w:rsid w:val="00354C84"/>
    <w:rsid w:val="00370691"/>
    <w:rsid w:val="0037653B"/>
    <w:rsid w:val="00386252"/>
    <w:rsid w:val="00395684"/>
    <w:rsid w:val="003C1374"/>
    <w:rsid w:val="004074A6"/>
    <w:rsid w:val="00410B51"/>
    <w:rsid w:val="00416EF0"/>
    <w:rsid w:val="00426012"/>
    <w:rsid w:val="004430E5"/>
    <w:rsid w:val="00475B5E"/>
    <w:rsid w:val="0049442D"/>
    <w:rsid w:val="004F5F7D"/>
    <w:rsid w:val="00501E97"/>
    <w:rsid w:val="0050687F"/>
    <w:rsid w:val="00522343"/>
    <w:rsid w:val="00592DCF"/>
    <w:rsid w:val="005B017A"/>
    <w:rsid w:val="005B7223"/>
    <w:rsid w:val="005D0387"/>
    <w:rsid w:val="005D7CCC"/>
    <w:rsid w:val="005E3D2E"/>
    <w:rsid w:val="0060634B"/>
    <w:rsid w:val="006324EE"/>
    <w:rsid w:val="0067483F"/>
    <w:rsid w:val="00695B70"/>
    <w:rsid w:val="006A183D"/>
    <w:rsid w:val="006D731C"/>
    <w:rsid w:val="007241BF"/>
    <w:rsid w:val="00727CF4"/>
    <w:rsid w:val="00734947"/>
    <w:rsid w:val="007740E0"/>
    <w:rsid w:val="00791CC2"/>
    <w:rsid w:val="00794DBF"/>
    <w:rsid w:val="007D1654"/>
    <w:rsid w:val="007D6E4C"/>
    <w:rsid w:val="00821598"/>
    <w:rsid w:val="0086384F"/>
    <w:rsid w:val="0088388F"/>
    <w:rsid w:val="00886A60"/>
    <w:rsid w:val="00891828"/>
    <w:rsid w:val="009016B2"/>
    <w:rsid w:val="00916E61"/>
    <w:rsid w:val="009511E2"/>
    <w:rsid w:val="00970DB2"/>
    <w:rsid w:val="009738B1"/>
    <w:rsid w:val="009A6859"/>
    <w:rsid w:val="009B1CEC"/>
    <w:rsid w:val="009C2972"/>
    <w:rsid w:val="009E07A7"/>
    <w:rsid w:val="00A109A8"/>
    <w:rsid w:val="00A34F42"/>
    <w:rsid w:val="00A43E85"/>
    <w:rsid w:val="00A44535"/>
    <w:rsid w:val="00A70416"/>
    <w:rsid w:val="00A86E78"/>
    <w:rsid w:val="00A91F95"/>
    <w:rsid w:val="00AB1F7B"/>
    <w:rsid w:val="00AE698F"/>
    <w:rsid w:val="00AF3466"/>
    <w:rsid w:val="00AF6103"/>
    <w:rsid w:val="00B071D5"/>
    <w:rsid w:val="00B15EAB"/>
    <w:rsid w:val="00B21A20"/>
    <w:rsid w:val="00B328C8"/>
    <w:rsid w:val="00B90B7D"/>
    <w:rsid w:val="00B949AF"/>
    <w:rsid w:val="00B97C0C"/>
    <w:rsid w:val="00BC60B5"/>
    <w:rsid w:val="00C2329B"/>
    <w:rsid w:val="00C2479E"/>
    <w:rsid w:val="00C35024"/>
    <w:rsid w:val="00C47695"/>
    <w:rsid w:val="00C54CBD"/>
    <w:rsid w:val="00C67C36"/>
    <w:rsid w:val="00CA0F72"/>
    <w:rsid w:val="00CD557E"/>
    <w:rsid w:val="00D04078"/>
    <w:rsid w:val="00D16EC5"/>
    <w:rsid w:val="00D42EB2"/>
    <w:rsid w:val="00D46CE4"/>
    <w:rsid w:val="00D868E0"/>
    <w:rsid w:val="00D9547D"/>
    <w:rsid w:val="00DC4473"/>
    <w:rsid w:val="00DD591F"/>
    <w:rsid w:val="00DF23F6"/>
    <w:rsid w:val="00DF412A"/>
    <w:rsid w:val="00E124FB"/>
    <w:rsid w:val="00E277D6"/>
    <w:rsid w:val="00E3247F"/>
    <w:rsid w:val="00E51063"/>
    <w:rsid w:val="00E70CD3"/>
    <w:rsid w:val="00E82574"/>
    <w:rsid w:val="00E96E87"/>
    <w:rsid w:val="00E97889"/>
    <w:rsid w:val="00EA7516"/>
    <w:rsid w:val="00EE571B"/>
    <w:rsid w:val="00F00F91"/>
    <w:rsid w:val="00F135BC"/>
    <w:rsid w:val="00F31F4A"/>
    <w:rsid w:val="00F647E9"/>
    <w:rsid w:val="00FE3A8E"/>
    <w:rsid w:val="014063FE"/>
    <w:rsid w:val="014F4893"/>
    <w:rsid w:val="018B17E5"/>
    <w:rsid w:val="01AD1C99"/>
    <w:rsid w:val="01BD17FD"/>
    <w:rsid w:val="02532161"/>
    <w:rsid w:val="0326076D"/>
    <w:rsid w:val="036156A8"/>
    <w:rsid w:val="037B196F"/>
    <w:rsid w:val="039462AF"/>
    <w:rsid w:val="04DD3F64"/>
    <w:rsid w:val="05C62D57"/>
    <w:rsid w:val="06933C84"/>
    <w:rsid w:val="07750484"/>
    <w:rsid w:val="08191757"/>
    <w:rsid w:val="0A1A3435"/>
    <w:rsid w:val="0A725AB2"/>
    <w:rsid w:val="0BFF07E0"/>
    <w:rsid w:val="0C0F534B"/>
    <w:rsid w:val="0C4C20FB"/>
    <w:rsid w:val="0C9870EE"/>
    <w:rsid w:val="0CDB7DBC"/>
    <w:rsid w:val="0D4F3E5C"/>
    <w:rsid w:val="0D7D3C62"/>
    <w:rsid w:val="0E082052"/>
    <w:rsid w:val="0E6253E8"/>
    <w:rsid w:val="0E6B438E"/>
    <w:rsid w:val="0E7B2823"/>
    <w:rsid w:val="0E9266FE"/>
    <w:rsid w:val="0F21477E"/>
    <w:rsid w:val="0F7E1588"/>
    <w:rsid w:val="0FFA1E6E"/>
    <w:rsid w:val="10D63E3B"/>
    <w:rsid w:val="10DB57FB"/>
    <w:rsid w:val="112E6273"/>
    <w:rsid w:val="11D4470B"/>
    <w:rsid w:val="121B222A"/>
    <w:rsid w:val="127F1BE9"/>
    <w:rsid w:val="12F26E2C"/>
    <w:rsid w:val="140D23CA"/>
    <w:rsid w:val="146E4BD8"/>
    <w:rsid w:val="152534E9"/>
    <w:rsid w:val="16772AA1"/>
    <w:rsid w:val="1732013F"/>
    <w:rsid w:val="174E45B3"/>
    <w:rsid w:val="17DD62FD"/>
    <w:rsid w:val="185E1B3D"/>
    <w:rsid w:val="18622CA6"/>
    <w:rsid w:val="1AC83294"/>
    <w:rsid w:val="1ADF05DE"/>
    <w:rsid w:val="1B5D66EF"/>
    <w:rsid w:val="1BBD091F"/>
    <w:rsid w:val="1BDB2B53"/>
    <w:rsid w:val="1D0F385A"/>
    <w:rsid w:val="1DE33F41"/>
    <w:rsid w:val="1F494278"/>
    <w:rsid w:val="1FD955FC"/>
    <w:rsid w:val="21294B90"/>
    <w:rsid w:val="21350F58"/>
    <w:rsid w:val="213D4AA3"/>
    <w:rsid w:val="21EF163E"/>
    <w:rsid w:val="22001566"/>
    <w:rsid w:val="226C4038"/>
    <w:rsid w:val="22C95DFC"/>
    <w:rsid w:val="24DB5972"/>
    <w:rsid w:val="253756B1"/>
    <w:rsid w:val="25591DB1"/>
    <w:rsid w:val="25956469"/>
    <w:rsid w:val="25F5515A"/>
    <w:rsid w:val="26035B0A"/>
    <w:rsid w:val="26B60095"/>
    <w:rsid w:val="26C16DEA"/>
    <w:rsid w:val="27F1298E"/>
    <w:rsid w:val="28786E47"/>
    <w:rsid w:val="287A5F8F"/>
    <w:rsid w:val="29071D6E"/>
    <w:rsid w:val="293E4722"/>
    <w:rsid w:val="29F80D74"/>
    <w:rsid w:val="2A6428AE"/>
    <w:rsid w:val="2AFF1619"/>
    <w:rsid w:val="2B430715"/>
    <w:rsid w:val="2BCC070B"/>
    <w:rsid w:val="2C385D6B"/>
    <w:rsid w:val="2D1E3FBD"/>
    <w:rsid w:val="2D5B3AF4"/>
    <w:rsid w:val="2D6D7CCB"/>
    <w:rsid w:val="2E17492E"/>
    <w:rsid w:val="2E232138"/>
    <w:rsid w:val="2E4304C4"/>
    <w:rsid w:val="2E9E31B9"/>
    <w:rsid w:val="2FA916F6"/>
    <w:rsid w:val="2FFB15BE"/>
    <w:rsid w:val="3062519A"/>
    <w:rsid w:val="32476D3D"/>
    <w:rsid w:val="324A05DB"/>
    <w:rsid w:val="324F61E6"/>
    <w:rsid w:val="3267118D"/>
    <w:rsid w:val="32990C1B"/>
    <w:rsid w:val="32FE389F"/>
    <w:rsid w:val="344465B0"/>
    <w:rsid w:val="3470021D"/>
    <w:rsid w:val="349124F1"/>
    <w:rsid w:val="34A75871"/>
    <w:rsid w:val="350678BF"/>
    <w:rsid w:val="35074561"/>
    <w:rsid w:val="365A3471"/>
    <w:rsid w:val="36E56B24"/>
    <w:rsid w:val="37DB1FDA"/>
    <w:rsid w:val="387B07A6"/>
    <w:rsid w:val="39C72511"/>
    <w:rsid w:val="3ABE1B66"/>
    <w:rsid w:val="3AF3630A"/>
    <w:rsid w:val="3B2B6A0E"/>
    <w:rsid w:val="3B6C3370"/>
    <w:rsid w:val="3BAC5E63"/>
    <w:rsid w:val="3C4B2834"/>
    <w:rsid w:val="3C6D73A0"/>
    <w:rsid w:val="3C9943D8"/>
    <w:rsid w:val="3CD92C87"/>
    <w:rsid w:val="3D583BAC"/>
    <w:rsid w:val="3DA6700D"/>
    <w:rsid w:val="3EE87D8E"/>
    <w:rsid w:val="3EEF1050"/>
    <w:rsid w:val="40866C82"/>
    <w:rsid w:val="41B415CD"/>
    <w:rsid w:val="41C537DA"/>
    <w:rsid w:val="42424E2B"/>
    <w:rsid w:val="431E7097"/>
    <w:rsid w:val="434075BC"/>
    <w:rsid w:val="437F0BAF"/>
    <w:rsid w:val="43C125FE"/>
    <w:rsid w:val="44953938"/>
    <w:rsid w:val="44FA7C3F"/>
    <w:rsid w:val="45433394"/>
    <w:rsid w:val="45B466B4"/>
    <w:rsid w:val="45F14B9E"/>
    <w:rsid w:val="46690BD8"/>
    <w:rsid w:val="47637D1D"/>
    <w:rsid w:val="47B75973"/>
    <w:rsid w:val="47CE1DE5"/>
    <w:rsid w:val="481B1319"/>
    <w:rsid w:val="48FD385A"/>
    <w:rsid w:val="4A203CA4"/>
    <w:rsid w:val="4A397AB7"/>
    <w:rsid w:val="4AFD7946"/>
    <w:rsid w:val="4B3E63F2"/>
    <w:rsid w:val="4B5A6778"/>
    <w:rsid w:val="4B5E2100"/>
    <w:rsid w:val="4B7003E0"/>
    <w:rsid w:val="4C476845"/>
    <w:rsid w:val="4C87625C"/>
    <w:rsid w:val="4D1D096E"/>
    <w:rsid w:val="4D6D45E0"/>
    <w:rsid w:val="4D981DA3"/>
    <w:rsid w:val="4E816CDB"/>
    <w:rsid w:val="4EB40E5E"/>
    <w:rsid w:val="4F71072F"/>
    <w:rsid w:val="50F17952"/>
    <w:rsid w:val="50F419E6"/>
    <w:rsid w:val="518E3BE9"/>
    <w:rsid w:val="5246001F"/>
    <w:rsid w:val="5311687F"/>
    <w:rsid w:val="534D53DE"/>
    <w:rsid w:val="53B86CFB"/>
    <w:rsid w:val="55CC1183"/>
    <w:rsid w:val="55F0542C"/>
    <w:rsid w:val="56156687"/>
    <w:rsid w:val="564D6166"/>
    <w:rsid w:val="56F55B83"/>
    <w:rsid w:val="573A3ECB"/>
    <w:rsid w:val="58D36385"/>
    <w:rsid w:val="59006C6D"/>
    <w:rsid w:val="59570D64"/>
    <w:rsid w:val="59E8492B"/>
    <w:rsid w:val="5A6C083F"/>
    <w:rsid w:val="5B7025B1"/>
    <w:rsid w:val="5BA26C0E"/>
    <w:rsid w:val="5C5B0B6B"/>
    <w:rsid w:val="5CBF559E"/>
    <w:rsid w:val="5CD728E8"/>
    <w:rsid w:val="5D064F7B"/>
    <w:rsid w:val="5D0E5BDE"/>
    <w:rsid w:val="5DD60DF1"/>
    <w:rsid w:val="5E8C5954"/>
    <w:rsid w:val="5EDF5A84"/>
    <w:rsid w:val="5FE61094"/>
    <w:rsid w:val="601D2D07"/>
    <w:rsid w:val="602472A5"/>
    <w:rsid w:val="60BD0047"/>
    <w:rsid w:val="610417D1"/>
    <w:rsid w:val="610726FE"/>
    <w:rsid w:val="61404A90"/>
    <w:rsid w:val="616D55C9"/>
    <w:rsid w:val="639D335E"/>
    <w:rsid w:val="63AB4186"/>
    <w:rsid w:val="64216B3E"/>
    <w:rsid w:val="644A7E43"/>
    <w:rsid w:val="64BC23C3"/>
    <w:rsid w:val="64E34765"/>
    <w:rsid w:val="65B141D8"/>
    <w:rsid w:val="66A71FF4"/>
    <w:rsid w:val="66AA4BC9"/>
    <w:rsid w:val="680447AD"/>
    <w:rsid w:val="68A815DC"/>
    <w:rsid w:val="690A7BA1"/>
    <w:rsid w:val="69A55B1C"/>
    <w:rsid w:val="69F34701"/>
    <w:rsid w:val="6AC83342"/>
    <w:rsid w:val="6B0A032C"/>
    <w:rsid w:val="6B0F43FE"/>
    <w:rsid w:val="6B4F24A4"/>
    <w:rsid w:val="6BB34520"/>
    <w:rsid w:val="6C070B1E"/>
    <w:rsid w:val="6D8E7B46"/>
    <w:rsid w:val="6DF36E56"/>
    <w:rsid w:val="6E1B45FE"/>
    <w:rsid w:val="6FD113B2"/>
    <w:rsid w:val="71E331FF"/>
    <w:rsid w:val="725B146D"/>
    <w:rsid w:val="72F21DD2"/>
    <w:rsid w:val="72F83160"/>
    <w:rsid w:val="73740A39"/>
    <w:rsid w:val="739A4B2B"/>
    <w:rsid w:val="73B01345"/>
    <w:rsid w:val="74220495"/>
    <w:rsid w:val="74663CB2"/>
    <w:rsid w:val="756E14B8"/>
    <w:rsid w:val="75AB270C"/>
    <w:rsid w:val="75CA6EAC"/>
    <w:rsid w:val="761B33ED"/>
    <w:rsid w:val="762A661C"/>
    <w:rsid w:val="76C9109B"/>
    <w:rsid w:val="777D1373"/>
    <w:rsid w:val="78B83176"/>
    <w:rsid w:val="79020895"/>
    <w:rsid w:val="79823764"/>
    <w:rsid w:val="7B8A1FFF"/>
    <w:rsid w:val="7C02295A"/>
    <w:rsid w:val="7C5C650E"/>
    <w:rsid w:val="7C8221FE"/>
    <w:rsid w:val="7E553215"/>
    <w:rsid w:val="7F0F6E45"/>
    <w:rsid w:val="7FD371A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_x0000_s1026"/>
        <o:r id="V:Rule2" type="connector" idref="#自选图形 6"/>
        <o:r id="V:Rule3" type="connector" idref="#_x0000_s1029"/>
        <o:r id="V:Rule4" type="connector" idref="#自选图形 4"/>
        <o:r id="V:Rule5" type="connector" idref="#自选图形 3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9"/>
    <w:semiHidden/>
    <w:unhideWhenUsed/>
    <w:qFormat/>
    <w:uiPriority w:val="99"/>
    <w:rPr>
      <w:b/>
      <w:bCs/>
    </w:rPr>
  </w:style>
  <w:style w:type="character" w:styleId="10">
    <w:name w:val="Hyperlink"/>
    <w:semiHidden/>
    <w:unhideWhenUsed/>
    <w:qFormat/>
    <w:uiPriority w:val="99"/>
    <w:rPr>
      <w:color w:val="0000FF"/>
      <w:u w:val="single"/>
    </w:rPr>
  </w:style>
  <w:style w:type="character" w:styleId="11">
    <w:name w:val="annotation reference"/>
    <w:semiHidden/>
    <w:unhideWhenUsed/>
    <w:qFormat/>
    <w:uiPriority w:val="99"/>
    <w:rPr>
      <w:sz w:val="21"/>
      <w:szCs w:val="21"/>
    </w:rPr>
  </w:style>
  <w:style w:type="character" w:customStyle="1" w:styleId="12">
    <w:name w:val="标题 1 字符"/>
    <w:link w:val="2"/>
    <w:qFormat/>
    <w:locked/>
    <w:uiPriority w:val="99"/>
    <w:rPr>
      <w:rFonts w:ascii="Calibri" w:hAnsi="Calibri" w:eastAsia="宋体" w:cs="Times New Roman"/>
      <w:b/>
      <w:bCs/>
      <w:kern w:val="44"/>
      <w:sz w:val="44"/>
      <w:szCs w:val="44"/>
    </w:rPr>
  </w:style>
  <w:style w:type="paragraph" w:customStyle="1" w:styleId="13">
    <w:name w:val="TOC 标题1"/>
    <w:basedOn w:val="2"/>
    <w:next w:val="1"/>
    <w:qFormat/>
    <w:uiPriority w:val="99"/>
    <w:pPr>
      <w:widowControl/>
      <w:spacing w:before="480" w:after="0" w:line="276" w:lineRule="auto"/>
      <w:jc w:val="left"/>
      <w:outlineLvl w:val="9"/>
    </w:pPr>
    <w:rPr>
      <w:rFonts w:ascii="Cambria" w:hAnsi="Cambria" w:cs="Cambria"/>
      <w:color w:val="365F91"/>
      <w:kern w:val="0"/>
      <w:sz w:val="28"/>
      <w:szCs w:val="28"/>
    </w:rPr>
  </w:style>
  <w:style w:type="paragraph" w:customStyle="1" w:styleId="14">
    <w:name w:val="正文 A"/>
    <w:qFormat/>
    <w:uiPriority w:val="99"/>
    <w:pPr>
      <w:spacing w:after="200" w:line="276" w:lineRule="auto"/>
    </w:pPr>
    <w:rPr>
      <w:rFonts w:ascii="Calibri" w:hAnsi="Calibri" w:eastAsia="宋体" w:cs="Calibri"/>
      <w:color w:val="000000"/>
      <w:sz w:val="22"/>
      <w:szCs w:val="22"/>
      <w:u w:color="000000"/>
      <w:lang w:val="en-US" w:eastAsia="zh-CN" w:bidi="ar-SA"/>
    </w:rPr>
  </w:style>
  <w:style w:type="character" w:customStyle="1" w:styleId="15">
    <w:name w:val="页眉 字符"/>
    <w:link w:val="6"/>
    <w:semiHidden/>
    <w:qFormat/>
    <w:locked/>
    <w:uiPriority w:val="99"/>
    <w:rPr>
      <w:rFonts w:cs="Times New Roman"/>
      <w:sz w:val="18"/>
      <w:szCs w:val="18"/>
    </w:rPr>
  </w:style>
  <w:style w:type="character" w:customStyle="1" w:styleId="16">
    <w:name w:val="页脚 字符"/>
    <w:link w:val="5"/>
    <w:semiHidden/>
    <w:qFormat/>
    <w:locked/>
    <w:uiPriority w:val="99"/>
    <w:rPr>
      <w:rFonts w:cs="Times New Roman"/>
      <w:sz w:val="18"/>
      <w:szCs w:val="18"/>
    </w:rPr>
  </w:style>
  <w:style w:type="paragraph" w:styleId="1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8">
    <w:name w:val="批注文字 字符"/>
    <w:link w:val="3"/>
    <w:semiHidden/>
    <w:qFormat/>
    <w:uiPriority w:val="99"/>
    <w:rPr>
      <w:rFonts w:cs="Times New Roman"/>
      <w:kern w:val="2"/>
      <w:sz w:val="21"/>
      <w:szCs w:val="22"/>
    </w:rPr>
  </w:style>
  <w:style w:type="character" w:customStyle="1" w:styleId="19">
    <w:name w:val="批注主题 字符"/>
    <w:link w:val="7"/>
    <w:semiHidden/>
    <w:qFormat/>
    <w:uiPriority w:val="99"/>
    <w:rPr>
      <w:rFonts w:cs="Times New Roman"/>
      <w:b/>
      <w:bCs/>
      <w:kern w:val="2"/>
      <w:sz w:val="21"/>
      <w:szCs w:val="22"/>
    </w:rPr>
  </w:style>
  <w:style w:type="character" w:customStyle="1" w:styleId="20">
    <w:name w:val="批注框文本 字符"/>
    <w:link w:val="4"/>
    <w:semiHidden/>
    <w:qFormat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2049"/>
    <customShpInfo spid="_x0000_s2050"/>
    <customShpInfo spid="_x0000_s1026"/>
    <customShpInfo spid="_x0000_s1031"/>
    <customShpInfo spid="_x0000_s1030"/>
    <customShpInfo spid="_x0000_s1029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655</Words>
  <Characters>3734</Characters>
  <Lines>31</Lines>
  <Paragraphs>8</Paragraphs>
  <TotalTime>9</TotalTime>
  <ScaleCrop>false</ScaleCrop>
  <LinksUpToDate>false</LinksUpToDate>
  <CharactersWithSpaces>4381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2019-02-18T06:17:00Z</dcterms:created>
  <dc:creator>Administrator</dc:creator>
  <cp:lastModifiedBy>Administrator</cp:lastModifiedBy>
  <dcterms:modified xsi:type="dcterms:W3CDTF">2023-04-20T06:22:33Z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A8B6AC5A69A746058D398564FF2ED047_12</vt:lpwstr>
  </property>
</Properties>
</file>