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Times New Roman" w:hAnsi="Times New Roman" w:eastAsia="黑体"/>
          <w:bCs/>
          <w:sz w:val="52"/>
          <w:szCs w:val="52"/>
        </w:rPr>
      </w:pPr>
      <w:r>
        <w:rPr>
          <w:rFonts w:hint="eastAsia" w:ascii="Times New Roman" w:hAnsi="Times New Roman" w:eastAsia="黑体"/>
          <w:bCs/>
          <w:sz w:val="52"/>
          <w:szCs w:val="52"/>
        </w:rPr>
        <w:t>劳动保障平台工作专项经费</w:t>
      </w:r>
      <w:r>
        <w:rPr>
          <w:rFonts w:ascii="Times New Roman" w:hAnsi="Times New Roman" w:eastAsia="黑体"/>
          <w:bCs/>
          <w:sz w:val="52"/>
          <w:szCs w:val="52"/>
        </w:rPr>
        <w:t>项目</w:t>
      </w:r>
    </w:p>
    <w:p>
      <w:pPr>
        <w:jc w:val="center"/>
        <w:rPr>
          <w:rFonts w:ascii="Times New Roman" w:hAnsi="Times New Roman" w:eastAsia="黑体"/>
          <w:bCs/>
          <w:sz w:val="52"/>
          <w:szCs w:val="52"/>
        </w:rPr>
      </w:pPr>
      <w:r>
        <w:rPr>
          <w:rFonts w:ascii="Times New Roman" w:hAnsi="Times New Roman" w:eastAsia="黑体"/>
          <w:bCs/>
          <w:sz w:val="52"/>
          <w:szCs w:val="52"/>
        </w:rPr>
        <w:t>支出绩效自评报告</w:t>
      </w:r>
    </w:p>
    <w:p>
      <w:pPr>
        <w:jc w:val="center"/>
        <w:rPr>
          <w:rFonts w:ascii="Times New Roman" w:hAnsi="Times New Roman" w:eastAsia="黑体"/>
          <w:bCs/>
          <w:sz w:val="52"/>
          <w:szCs w:val="52"/>
        </w:rPr>
      </w:pPr>
      <w:r>
        <w:rPr>
          <w:rFonts w:ascii="Times New Roman" w:hAnsi="Times New Roman" w:eastAsia="黑体"/>
          <w:bCs/>
          <w:sz w:val="52"/>
          <w:szCs w:val="52"/>
        </w:rPr>
        <w:t>（202</w:t>
      </w:r>
      <w:r>
        <w:rPr>
          <w:rFonts w:hint="eastAsia" w:ascii="Times New Roman" w:hAnsi="Times New Roman" w:eastAsia="黑体"/>
          <w:bCs/>
          <w:sz w:val="52"/>
          <w:szCs w:val="52"/>
          <w:lang w:val="en-US" w:eastAsia="zh-CN"/>
        </w:rPr>
        <w:t>2</w:t>
      </w:r>
      <w:r>
        <w:rPr>
          <w:rFonts w:ascii="Times New Roman" w:hAnsi="Times New Roman" w:eastAsia="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4"/>
          <w:szCs w:val="24"/>
        </w:rPr>
      </w:pPr>
      <w:r>
        <w:rPr>
          <w:rFonts w:ascii="Times New Roman" w:hAnsi="Times New Roman" w:eastAsia="黑体"/>
          <w:b/>
          <w:bCs/>
          <w:sz w:val="28"/>
          <w:szCs w:val="28"/>
        </w:rPr>
        <w:pict>
          <v:shape id="_x0000_s1026" o:spid="_x0000_s1026" o:spt="32" type="#_x0000_t32" style="position:absolute;left:0pt;margin-left:186.75pt;margin-top:15.45pt;height:0pt;width:207.1pt;z-index:251659264;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部门名称（公章）：</w:t>
      </w:r>
      <w:r>
        <w:rPr>
          <w:rFonts w:ascii="Times New Roman" w:hAnsi="Times New Roman" w:eastAsia="黑体"/>
          <w:b/>
          <w:bCs/>
          <w:sz w:val="24"/>
          <w:szCs w:val="24"/>
        </w:rPr>
        <w:t>昆明市盘龙区人力资源和社会保障局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w:pict>
          <v:shape id="_x0000_s1027" o:spid="_x0000_s1027" o:spt="32" type="#_x0000_t32" style="position:absolute;left:0pt;margin-left:135pt;margin-top:17.45pt;height:0pt;width:258.85pt;z-index:251660288;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项目单</w:t>
      </w:r>
      <w:r>
        <w:rPr>
          <w:rFonts w:ascii="Times New Roman" w:hAnsi="Times New Roman" w:eastAsia="黑体"/>
          <w:b/>
          <w:bCs/>
          <w:sz w:val="28"/>
          <w:szCs w:val="28"/>
          <w:highlight w:val="none"/>
        </w:rPr>
        <w:t>位：</w:t>
      </w:r>
      <w:r>
        <w:rPr>
          <w:rFonts w:ascii="Times New Roman" w:hAnsi="Times New Roman" w:eastAsia="黑体"/>
          <w:b/>
          <w:bCs/>
          <w:sz w:val="24"/>
          <w:szCs w:val="24"/>
          <w:highlight w:val="none"/>
        </w:rPr>
        <w:t>区劳动保障监察大队</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w:pict>
          <v:shape id="_x0000_s1028" o:spid="_x0000_s1028" o:spt="32" type="#_x0000_t32" style="position:absolute;left:0pt;margin-left:135pt;margin-top:14.25pt;height:0pt;width:258.85pt;z-index:251661312;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主管部门：</w:t>
      </w:r>
    </w:p>
    <w:p>
      <w:pPr>
        <w:adjustRightInd w:val="0"/>
        <w:snapToGrid w:val="0"/>
        <w:spacing w:line="360" w:lineRule="auto"/>
        <w:ind w:left="1260" w:leftChars="600"/>
        <w:rPr>
          <w:rFonts w:ascii="Times New Roman" w:hAnsi="Times New Roman" w:eastAsia="黑体"/>
          <w:b/>
          <w:bCs/>
          <w:sz w:val="24"/>
          <w:szCs w:val="24"/>
        </w:rPr>
      </w:pPr>
      <w:r>
        <w:rPr>
          <w:rFonts w:ascii="Times New Roman" w:hAnsi="Times New Roman" w:eastAsia="黑体"/>
          <w:b/>
          <w:bCs/>
          <w:sz w:val="28"/>
          <w:szCs w:val="28"/>
        </w:rPr>
        <w:pict>
          <v:shape id="_x0000_s1029" o:spid="_x0000_s1029" o:spt="32" type="#_x0000_t32" style="position:absolute;left:0pt;margin-left:135pt;margin-top:16.75pt;height:0pt;width:261.25pt;z-index:251662336;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项目名称：</w:t>
      </w:r>
      <w:r>
        <w:rPr>
          <w:rFonts w:hint="eastAsia" w:ascii="Times New Roman" w:hAnsi="Times New Roman" w:eastAsia="黑体"/>
          <w:b/>
          <w:bCs/>
          <w:sz w:val="24"/>
          <w:szCs w:val="24"/>
        </w:rPr>
        <w:t>劳动保障平台工作专项经费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w:pict>
          <v:shape id="_x0000_s1030" o:spid="_x0000_s1030" o:spt="32" type="#_x0000_t32" style="position:absolute;left:0pt;margin-left:158.5pt;margin-top:16.75pt;height:0pt;width:237.75pt;z-index:251663360;mso-width-relative:page;mso-height-relative:page;" o:connectortype="straight" filled="f" coordsize="21600,21600">
            <v:path arrowok="t"/>
            <v:fill on="f" focussize="0,0"/>
            <v:stroke/>
            <v:imagedata o:title=""/>
            <o:lock v:ext="edit"/>
          </v:shape>
        </w:pict>
      </w:r>
      <w:r>
        <w:rPr>
          <w:rFonts w:ascii="Times New Roman" w:hAnsi="Times New Roman" w:eastAsia="黑体"/>
          <w:b/>
          <w:bCs/>
          <w:sz w:val="28"/>
          <w:szCs w:val="28"/>
        </w:rPr>
        <w:t>绩效自评日期：</w:t>
      </w:r>
      <w:r>
        <w:rPr>
          <w:rFonts w:ascii="Times New Roman" w:hAnsi="Times New Roman" w:eastAsia="黑体"/>
          <w:b/>
          <w:bCs/>
          <w:sz w:val="24"/>
          <w:szCs w:val="24"/>
        </w:rPr>
        <w:t>202</w:t>
      </w:r>
      <w:r>
        <w:rPr>
          <w:rFonts w:hint="eastAsia" w:ascii="Times New Roman" w:hAnsi="Times New Roman" w:eastAsia="黑体"/>
          <w:b/>
          <w:bCs/>
          <w:sz w:val="24"/>
          <w:szCs w:val="24"/>
          <w:lang w:val="en-US" w:eastAsia="zh-CN"/>
        </w:rPr>
        <w:t>3</w:t>
      </w:r>
      <w:r>
        <w:rPr>
          <w:rFonts w:ascii="Times New Roman" w:hAnsi="Times New Roman" w:eastAsia="黑体"/>
          <w:b/>
          <w:bCs/>
          <w:sz w:val="24"/>
          <w:szCs w:val="24"/>
        </w:rPr>
        <w:t>年</w:t>
      </w:r>
      <w:r>
        <w:rPr>
          <w:rFonts w:hint="eastAsia" w:ascii="Times New Roman" w:hAnsi="Times New Roman" w:eastAsia="黑体"/>
          <w:b/>
          <w:bCs/>
          <w:sz w:val="24"/>
          <w:szCs w:val="24"/>
          <w:lang w:val="en-US" w:eastAsia="zh-CN"/>
        </w:rPr>
        <w:t>4</w:t>
      </w:r>
      <w:r>
        <w:rPr>
          <w:rFonts w:ascii="Times New Roman" w:hAnsi="Times New Roman" w:eastAsia="黑体"/>
          <w:b/>
          <w:bCs/>
          <w:sz w:val="24"/>
          <w:szCs w:val="24"/>
        </w:rPr>
        <w:t>月</w:t>
      </w:r>
    </w:p>
    <w:p>
      <w:pPr>
        <w:spacing w:line="360" w:lineRule="auto"/>
        <w:ind w:left="1218" w:leftChars="58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lang w:val="en-US" w:eastAsia="zh-CN"/>
        </w:rPr>
        <w:t>3</w:t>
      </w:r>
      <w:r>
        <w:rPr>
          <w:rFonts w:ascii="Times New Roman" w:hAnsi="Times New Roman" w:eastAsia="黑体"/>
          <w:b/>
          <w:bCs/>
          <w:sz w:val="28"/>
          <w:szCs w:val="28"/>
        </w:rPr>
        <w:t>年</w:t>
      </w:r>
      <w:r>
        <w:rPr>
          <w:rFonts w:hint="eastAsia" w:ascii="Times New Roman" w:hAnsi="Times New Roman" w:eastAsia="黑体"/>
          <w:b/>
          <w:bCs/>
          <w:sz w:val="28"/>
          <w:szCs w:val="28"/>
          <w:lang w:val="en-US" w:eastAsia="zh-CN"/>
        </w:rPr>
        <w:t>4</w:t>
      </w:r>
      <w:r>
        <w:rPr>
          <w:rFonts w:ascii="Times New Roman" w:hAnsi="Times New Roman" w:eastAsia="黑体"/>
          <w:b/>
          <w:bCs/>
          <w:sz w:val="28"/>
          <w:szCs w:val="28"/>
        </w:rPr>
        <w:t>月</w:t>
      </w:r>
    </w:p>
    <w:p>
      <w:pPr>
        <w:pStyle w:val="15"/>
        <w:widowControl w:val="0"/>
        <w:spacing w:after="0" w:line="360" w:lineRule="auto"/>
        <w:jc w:val="both"/>
        <w:rPr>
          <w:rFonts w:ascii="Times New Roman" w:hAnsi="Times New Roman" w:cs="Times New Roman"/>
          <w:color w:val="auto"/>
          <w:kern w:val="2"/>
          <w:sz w:val="24"/>
          <w:szCs w:val="24"/>
          <w:lang w:val="zh-TW"/>
        </w:rPr>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docGrid w:type="lines" w:linePitch="312" w:charSpace="0"/>
        </w:sectPr>
      </w:pPr>
    </w:p>
    <w:p>
      <w:pPr>
        <w:spacing w:line="440" w:lineRule="exact"/>
        <w:ind w:firstLine="640" w:firstLineChars="200"/>
        <w:jc w:val="center"/>
        <w:rPr>
          <w:rFonts w:ascii="Times New Roman" w:hAnsi="Times New Roman" w:eastAsia="黑体"/>
          <w:sz w:val="32"/>
          <w:szCs w:val="32"/>
        </w:rPr>
      </w:pPr>
    </w:p>
    <w:p>
      <w:pPr>
        <w:pStyle w:val="15"/>
        <w:widowControl w:val="0"/>
        <w:spacing w:after="0" w:line="360" w:lineRule="auto"/>
        <w:ind w:left="420" w:leftChars="200"/>
        <w:jc w:val="both"/>
        <w:rPr>
          <w:rFonts w:ascii="Times New Roman" w:hAnsi="Times New Roman" w:eastAsia="黑体" w:cs="Times New Roman"/>
          <w:color w:val="auto"/>
          <w:kern w:val="2"/>
          <w:sz w:val="24"/>
          <w:szCs w:val="24"/>
          <w:lang w:val="zh-TW" w:eastAsia="zh-TW"/>
        </w:rPr>
      </w:pPr>
      <w:r>
        <w:rPr>
          <w:rFonts w:ascii="Times New Roman" w:hAnsi="Times New Roman" w:eastAsia="黑体" w:cs="Times New Roman"/>
          <w:color w:val="auto"/>
          <w:kern w:val="2"/>
          <w:sz w:val="24"/>
          <w:szCs w:val="24"/>
          <w:lang w:val="zh-TW" w:eastAsia="zh-TW"/>
        </w:rPr>
        <w:t>评价小组成员：</w:t>
      </w:r>
    </w:p>
    <w:tbl>
      <w:tblPr>
        <w:tblStyle w:val="10"/>
        <w:tblpPr w:leftFromText="180" w:rightFromText="180" w:vertAnchor="text" w:horzAnchor="page" w:tblpXSpec="center" w:tblpY="153"/>
        <w:tblW w:w="810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740"/>
        <w:gridCol w:w="150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620" w:type="dxa"/>
            <w:vAlign w:val="center"/>
          </w:tcPr>
          <w:p>
            <w:pPr>
              <w:pStyle w:val="15"/>
              <w:widowControl w:val="0"/>
              <w:spacing w:after="0" w:line="24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评价小组</w:t>
            </w:r>
          </w:p>
          <w:p>
            <w:pPr>
              <w:pStyle w:val="15"/>
              <w:widowControl w:val="0"/>
              <w:spacing w:after="0" w:line="24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机构职位</w:t>
            </w:r>
          </w:p>
        </w:tc>
        <w:tc>
          <w:tcPr>
            <w:tcW w:w="1620" w:type="dxa"/>
            <w:vAlign w:val="center"/>
          </w:tcPr>
          <w:p>
            <w:pPr>
              <w:pStyle w:val="15"/>
              <w:widowControl w:val="0"/>
              <w:spacing w:after="0" w:line="24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姓名</w:t>
            </w:r>
          </w:p>
        </w:tc>
        <w:tc>
          <w:tcPr>
            <w:tcW w:w="1740" w:type="dxa"/>
            <w:vAlign w:val="center"/>
          </w:tcPr>
          <w:p>
            <w:pPr>
              <w:pStyle w:val="15"/>
              <w:widowControl w:val="0"/>
              <w:spacing w:after="0" w:line="24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职务/职称</w:t>
            </w:r>
          </w:p>
        </w:tc>
        <w:tc>
          <w:tcPr>
            <w:tcW w:w="1501" w:type="dxa"/>
            <w:vAlign w:val="center"/>
          </w:tcPr>
          <w:p>
            <w:pPr>
              <w:pStyle w:val="15"/>
              <w:widowControl w:val="0"/>
              <w:spacing w:after="0" w:line="24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所属</w:t>
            </w:r>
          </w:p>
          <w:p>
            <w:pPr>
              <w:pStyle w:val="15"/>
              <w:widowControl w:val="0"/>
              <w:spacing w:after="0" w:line="24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单位/处室</w:t>
            </w:r>
          </w:p>
        </w:tc>
        <w:tc>
          <w:tcPr>
            <w:tcW w:w="1621" w:type="dxa"/>
            <w:vAlign w:val="center"/>
          </w:tcPr>
          <w:p>
            <w:pPr>
              <w:pStyle w:val="15"/>
              <w:widowControl w:val="0"/>
              <w:spacing w:after="0" w:line="24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1620" w:type="dxa"/>
            <w:vAlign w:val="center"/>
          </w:tcPr>
          <w:p>
            <w:pPr>
              <w:pStyle w:val="15"/>
              <w:widowControl w:val="0"/>
              <w:spacing w:after="0" w:line="24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组长</w:t>
            </w:r>
          </w:p>
        </w:tc>
        <w:tc>
          <w:tcPr>
            <w:tcW w:w="1620" w:type="dxa"/>
            <w:vAlign w:val="center"/>
          </w:tcPr>
          <w:p>
            <w:pPr>
              <w:pStyle w:val="15"/>
              <w:widowControl w:val="0"/>
              <w:spacing w:after="0" w:line="360" w:lineRule="auto"/>
              <w:jc w:val="center"/>
              <w:rPr>
                <w:rFonts w:hint="eastAsia" w:ascii="Times New Roman" w:hAnsi="Times New Roman" w:eastAsia="黑体" w:cs="Times New Roman"/>
                <w:color w:val="auto"/>
                <w:kern w:val="2"/>
                <w:sz w:val="24"/>
                <w:szCs w:val="24"/>
                <w:highlight w:val="none"/>
                <w:lang w:val="zh-TW" w:eastAsia="zh-CN"/>
              </w:rPr>
            </w:pPr>
            <w:r>
              <w:rPr>
                <w:rFonts w:hint="eastAsia" w:ascii="Times New Roman" w:hAnsi="Times New Roman" w:eastAsia="黑体" w:cs="Times New Roman"/>
                <w:color w:val="auto"/>
                <w:kern w:val="2"/>
                <w:sz w:val="24"/>
                <w:szCs w:val="24"/>
                <w:highlight w:val="none"/>
                <w:lang w:val="zh-TW" w:eastAsia="zh-CN"/>
              </w:rPr>
              <w:t>李平原</w:t>
            </w:r>
          </w:p>
        </w:tc>
        <w:tc>
          <w:tcPr>
            <w:tcW w:w="1740" w:type="dxa"/>
            <w:vAlign w:val="center"/>
          </w:tcPr>
          <w:p>
            <w:pPr>
              <w:pStyle w:val="15"/>
              <w:widowControl w:val="0"/>
              <w:spacing w:after="0" w:line="360" w:lineRule="auto"/>
              <w:jc w:val="center"/>
              <w:rPr>
                <w:rFonts w:ascii="Times New Roman" w:hAnsi="Times New Roman" w:eastAsia="黑体" w:cs="Times New Roman"/>
                <w:color w:val="auto"/>
                <w:kern w:val="2"/>
                <w:sz w:val="24"/>
                <w:szCs w:val="24"/>
                <w:highlight w:val="none"/>
                <w:lang w:val="zh-TW"/>
              </w:rPr>
            </w:pPr>
            <w:r>
              <w:rPr>
                <w:rFonts w:ascii="Times New Roman" w:hAnsi="Times New Roman" w:eastAsia="黑体" w:cs="Times New Roman"/>
                <w:color w:val="auto"/>
                <w:kern w:val="2"/>
                <w:sz w:val="24"/>
                <w:szCs w:val="24"/>
                <w:highlight w:val="none"/>
                <w:lang w:val="zh-TW"/>
              </w:rPr>
              <w:t>局长</w:t>
            </w:r>
          </w:p>
        </w:tc>
        <w:tc>
          <w:tcPr>
            <w:tcW w:w="1501" w:type="dxa"/>
          </w:tcPr>
          <w:p>
            <w:pPr>
              <w:pStyle w:val="15"/>
              <w:widowControl w:val="0"/>
              <w:spacing w:after="0" w:line="240" w:lineRule="auto"/>
              <w:jc w:val="both"/>
              <w:rPr>
                <w:rFonts w:ascii="Times New Roman" w:hAnsi="Times New Roman" w:eastAsia="黑体" w:cs="Times New Roman"/>
                <w:color w:val="auto"/>
                <w:kern w:val="2"/>
                <w:sz w:val="24"/>
                <w:szCs w:val="24"/>
                <w:lang w:val="zh-TW" w:eastAsia="zh-TW"/>
              </w:rPr>
            </w:pPr>
          </w:p>
        </w:tc>
        <w:tc>
          <w:tcPr>
            <w:tcW w:w="1621" w:type="dxa"/>
          </w:tcPr>
          <w:p>
            <w:pPr>
              <w:pStyle w:val="15"/>
              <w:widowControl w:val="0"/>
              <w:spacing w:after="0" w:line="240" w:lineRule="auto"/>
              <w:jc w:val="both"/>
              <w:rPr>
                <w:rFonts w:ascii="Times New Roman" w:hAnsi="Times New Roman" w:eastAsia="黑体" w:cs="Times New Roman"/>
                <w:color w:val="auto"/>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1620" w:type="dxa"/>
            <w:vAlign w:val="center"/>
          </w:tcPr>
          <w:p>
            <w:pPr>
              <w:pStyle w:val="15"/>
              <w:widowControl w:val="0"/>
              <w:spacing w:after="0" w:line="360" w:lineRule="auto"/>
              <w:ind w:firstLine="360" w:firstLineChars="150"/>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副组长</w:t>
            </w:r>
          </w:p>
        </w:tc>
        <w:tc>
          <w:tcPr>
            <w:tcW w:w="1620" w:type="dxa"/>
            <w:vAlign w:val="center"/>
          </w:tcPr>
          <w:p>
            <w:pPr>
              <w:pStyle w:val="15"/>
              <w:widowControl w:val="0"/>
              <w:spacing w:after="0" w:line="360" w:lineRule="auto"/>
              <w:jc w:val="center"/>
              <w:rPr>
                <w:rFonts w:ascii="Times New Roman" w:hAnsi="Times New Roman" w:eastAsia="黑体" w:cs="Times New Roman"/>
                <w:color w:val="auto"/>
                <w:kern w:val="2"/>
                <w:sz w:val="24"/>
                <w:szCs w:val="24"/>
                <w:highlight w:val="none"/>
                <w:lang w:val="zh-TW"/>
              </w:rPr>
            </w:pPr>
            <w:r>
              <w:rPr>
                <w:rFonts w:ascii="Times New Roman" w:hAnsi="Times New Roman" w:eastAsia="黑体" w:cs="Times New Roman"/>
                <w:color w:val="auto"/>
                <w:kern w:val="2"/>
                <w:sz w:val="24"/>
                <w:szCs w:val="24"/>
                <w:highlight w:val="none"/>
              </w:rPr>
              <w:t>惠捍卫</w:t>
            </w:r>
          </w:p>
        </w:tc>
        <w:tc>
          <w:tcPr>
            <w:tcW w:w="1740" w:type="dxa"/>
            <w:vAlign w:val="center"/>
          </w:tcPr>
          <w:p>
            <w:pPr>
              <w:pStyle w:val="15"/>
              <w:widowControl w:val="0"/>
              <w:spacing w:after="0" w:line="360" w:lineRule="auto"/>
              <w:jc w:val="center"/>
              <w:rPr>
                <w:rFonts w:ascii="Times New Roman" w:hAnsi="Times New Roman" w:eastAsia="黑体" w:cs="Times New Roman"/>
                <w:color w:val="auto"/>
                <w:kern w:val="2"/>
                <w:sz w:val="24"/>
                <w:szCs w:val="24"/>
                <w:highlight w:val="none"/>
                <w:lang w:val="zh-TW"/>
              </w:rPr>
            </w:pPr>
            <w:r>
              <w:rPr>
                <w:rFonts w:ascii="Times New Roman" w:hAnsi="Times New Roman" w:eastAsia="黑体" w:cs="Times New Roman"/>
                <w:color w:val="auto"/>
                <w:kern w:val="2"/>
                <w:sz w:val="24"/>
                <w:szCs w:val="24"/>
                <w:highlight w:val="none"/>
                <w:lang w:val="zh-TW"/>
              </w:rPr>
              <w:t>副局长</w:t>
            </w:r>
          </w:p>
        </w:tc>
        <w:tc>
          <w:tcPr>
            <w:tcW w:w="1501" w:type="dxa"/>
          </w:tcPr>
          <w:p>
            <w:pPr>
              <w:pStyle w:val="15"/>
              <w:widowControl w:val="0"/>
              <w:spacing w:after="0" w:line="360" w:lineRule="auto"/>
              <w:jc w:val="both"/>
              <w:rPr>
                <w:rFonts w:ascii="Times New Roman" w:hAnsi="Times New Roman" w:eastAsia="黑体" w:cs="Times New Roman"/>
                <w:color w:val="auto"/>
                <w:kern w:val="2"/>
                <w:sz w:val="24"/>
                <w:szCs w:val="24"/>
                <w:lang w:val="zh-TW" w:eastAsia="zh-TW"/>
              </w:rPr>
            </w:pPr>
          </w:p>
        </w:tc>
        <w:tc>
          <w:tcPr>
            <w:tcW w:w="1621" w:type="dxa"/>
          </w:tcPr>
          <w:p>
            <w:pPr>
              <w:pStyle w:val="15"/>
              <w:widowControl w:val="0"/>
              <w:spacing w:after="0" w:line="360" w:lineRule="auto"/>
              <w:jc w:val="both"/>
              <w:rPr>
                <w:rFonts w:ascii="Times New Roman" w:hAnsi="Times New Roman" w:eastAsia="黑体" w:cs="Times New Roman"/>
                <w:color w:val="auto"/>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1620" w:type="dxa"/>
            <w:vAlign w:val="center"/>
          </w:tcPr>
          <w:p>
            <w:pPr>
              <w:pStyle w:val="15"/>
              <w:widowControl w:val="0"/>
              <w:spacing w:after="0" w:line="360" w:lineRule="auto"/>
              <w:jc w:val="center"/>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成员</w:t>
            </w:r>
          </w:p>
        </w:tc>
        <w:tc>
          <w:tcPr>
            <w:tcW w:w="1620" w:type="dxa"/>
            <w:vAlign w:val="center"/>
          </w:tcPr>
          <w:p>
            <w:pPr>
              <w:pStyle w:val="15"/>
              <w:widowControl w:val="0"/>
              <w:spacing w:after="0" w:line="360" w:lineRule="auto"/>
              <w:jc w:val="center"/>
              <w:rPr>
                <w:rFonts w:hint="eastAsia" w:ascii="Times New Roman" w:hAnsi="Times New Roman" w:eastAsia="黑体" w:cs="Times New Roman"/>
                <w:color w:val="auto"/>
                <w:kern w:val="2"/>
                <w:sz w:val="24"/>
                <w:szCs w:val="24"/>
                <w:highlight w:val="none"/>
                <w:lang w:val="zh-TW" w:eastAsia="zh-CN"/>
              </w:rPr>
            </w:pPr>
            <w:r>
              <w:rPr>
                <w:rFonts w:hint="eastAsia" w:ascii="Times New Roman" w:hAnsi="Times New Roman" w:eastAsia="黑体" w:cs="Times New Roman"/>
                <w:color w:val="auto"/>
                <w:kern w:val="2"/>
                <w:sz w:val="24"/>
                <w:szCs w:val="24"/>
                <w:highlight w:val="none"/>
                <w:lang w:eastAsia="zh-CN"/>
              </w:rPr>
              <w:t>许孝勋</w:t>
            </w:r>
          </w:p>
        </w:tc>
        <w:tc>
          <w:tcPr>
            <w:tcW w:w="1740" w:type="dxa"/>
            <w:vAlign w:val="center"/>
          </w:tcPr>
          <w:p>
            <w:pPr>
              <w:pStyle w:val="15"/>
              <w:widowControl w:val="0"/>
              <w:spacing w:after="0" w:line="360" w:lineRule="auto"/>
              <w:jc w:val="both"/>
              <w:rPr>
                <w:rFonts w:ascii="Times New Roman" w:hAnsi="Times New Roman" w:eastAsia="黑体" w:cs="Times New Roman"/>
                <w:color w:val="auto"/>
                <w:kern w:val="2"/>
                <w:sz w:val="24"/>
                <w:szCs w:val="24"/>
                <w:highlight w:val="none"/>
              </w:rPr>
            </w:pPr>
            <w:r>
              <w:rPr>
                <w:rFonts w:ascii="Times New Roman" w:hAnsi="Times New Roman" w:eastAsia="黑体" w:cs="Times New Roman"/>
                <w:color w:val="auto"/>
                <w:kern w:val="2"/>
                <w:sz w:val="24"/>
                <w:szCs w:val="24"/>
                <w:highlight w:val="none"/>
              </w:rPr>
              <w:t>劳动保障监察大队队长</w:t>
            </w:r>
          </w:p>
        </w:tc>
        <w:tc>
          <w:tcPr>
            <w:tcW w:w="1501" w:type="dxa"/>
            <w:vAlign w:val="center"/>
          </w:tcPr>
          <w:p>
            <w:pPr>
              <w:pStyle w:val="15"/>
              <w:widowControl w:val="0"/>
              <w:spacing w:after="0" w:line="360" w:lineRule="auto"/>
              <w:jc w:val="center"/>
              <w:rPr>
                <w:rFonts w:ascii="Times New Roman" w:hAnsi="Times New Roman" w:eastAsia="黑体" w:cs="Times New Roman"/>
                <w:color w:val="auto"/>
                <w:kern w:val="2"/>
                <w:sz w:val="24"/>
                <w:szCs w:val="24"/>
                <w:lang w:val="zh-TW" w:eastAsia="zh-TW"/>
              </w:rPr>
            </w:pPr>
          </w:p>
        </w:tc>
        <w:tc>
          <w:tcPr>
            <w:tcW w:w="1621" w:type="dxa"/>
            <w:vAlign w:val="center"/>
          </w:tcPr>
          <w:p>
            <w:pPr>
              <w:pStyle w:val="15"/>
              <w:widowControl w:val="0"/>
              <w:spacing w:after="0" w:line="360" w:lineRule="auto"/>
              <w:jc w:val="center"/>
              <w:rPr>
                <w:rFonts w:ascii="Times New Roman" w:hAnsi="Times New Roman" w:eastAsia="黑体" w:cs="Times New Roman"/>
                <w:color w:val="auto"/>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1620" w:type="dxa"/>
            <w:vAlign w:val="center"/>
          </w:tcPr>
          <w:p>
            <w:pPr>
              <w:pStyle w:val="15"/>
              <w:widowControl w:val="0"/>
              <w:spacing w:after="0" w:line="360" w:lineRule="auto"/>
              <w:jc w:val="center"/>
              <w:rPr>
                <w:rFonts w:ascii="Times New Roman" w:hAnsi="Times New Roman" w:eastAsia="黑体" w:cs="Times New Roman"/>
                <w:color w:val="auto"/>
                <w:kern w:val="2"/>
                <w:sz w:val="24"/>
                <w:szCs w:val="24"/>
                <w:lang w:val="zh-TW"/>
              </w:rPr>
            </w:pPr>
          </w:p>
        </w:tc>
        <w:tc>
          <w:tcPr>
            <w:tcW w:w="1620" w:type="dxa"/>
            <w:vAlign w:val="center"/>
          </w:tcPr>
          <w:p>
            <w:pPr>
              <w:pStyle w:val="15"/>
              <w:widowControl w:val="0"/>
              <w:spacing w:after="0" w:line="360" w:lineRule="auto"/>
              <w:jc w:val="center"/>
              <w:rPr>
                <w:rFonts w:ascii="Times New Roman" w:hAnsi="Times New Roman" w:eastAsia="黑体" w:cs="Times New Roman"/>
                <w:color w:val="auto"/>
                <w:kern w:val="2"/>
                <w:sz w:val="24"/>
                <w:szCs w:val="24"/>
                <w:highlight w:val="none"/>
              </w:rPr>
            </w:pPr>
            <w:r>
              <w:rPr>
                <w:rFonts w:ascii="Times New Roman" w:hAnsi="Times New Roman" w:eastAsia="黑体" w:cs="Times New Roman"/>
                <w:color w:val="auto"/>
                <w:kern w:val="2"/>
                <w:sz w:val="24"/>
                <w:szCs w:val="24"/>
                <w:highlight w:val="none"/>
              </w:rPr>
              <w:t>杨涵</w:t>
            </w:r>
          </w:p>
        </w:tc>
        <w:tc>
          <w:tcPr>
            <w:tcW w:w="1740" w:type="dxa"/>
            <w:vAlign w:val="center"/>
          </w:tcPr>
          <w:p>
            <w:pPr>
              <w:pStyle w:val="15"/>
              <w:widowControl w:val="0"/>
              <w:spacing w:after="0" w:line="360" w:lineRule="auto"/>
              <w:jc w:val="center"/>
              <w:rPr>
                <w:rFonts w:ascii="Times New Roman" w:hAnsi="Times New Roman" w:eastAsia="黑体" w:cs="Times New Roman"/>
                <w:color w:val="auto"/>
                <w:kern w:val="2"/>
                <w:sz w:val="24"/>
                <w:szCs w:val="24"/>
                <w:highlight w:val="none"/>
                <w:lang w:val="zh-TW"/>
              </w:rPr>
            </w:pPr>
            <w:r>
              <w:rPr>
                <w:rFonts w:ascii="Times New Roman" w:hAnsi="Times New Roman" w:eastAsia="黑体" w:cs="Times New Roman"/>
                <w:color w:val="auto"/>
                <w:kern w:val="2"/>
                <w:sz w:val="24"/>
                <w:szCs w:val="24"/>
                <w:highlight w:val="none"/>
                <w:lang w:val="zh-TW"/>
              </w:rPr>
              <w:t>局行办财务</w:t>
            </w:r>
          </w:p>
        </w:tc>
        <w:tc>
          <w:tcPr>
            <w:tcW w:w="1501" w:type="dxa"/>
            <w:vAlign w:val="center"/>
          </w:tcPr>
          <w:p>
            <w:pPr>
              <w:pStyle w:val="15"/>
              <w:widowControl w:val="0"/>
              <w:spacing w:after="0" w:line="360" w:lineRule="auto"/>
              <w:jc w:val="center"/>
              <w:rPr>
                <w:rFonts w:ascii="Times New Roman" w:hAnsi="Times New Roman" w:eastAsia="黑体" w:cs="Times New Roman"/>
                <w:color w:val="auto"/>
                <w:kern w:val="2"/>
                <w:sz w:val="24"/>
                <w:szCs w:val="24"/>
                <w:lang w:val="zh-TW" w:eastAsia="zh-TW"/>
              </w:rPr>
            </w:pPr>
          </w:p>
        </w:tc>
        <w:tc>
          <w:tcPr>
            <w:tcW w:w="1621" w:type="dxa"/>
            <w:vAlign w:val="center"/>
          </w:tcPr>
          <w:p>
            <w:pPr>
              <w:pStyle w:val="15"/>
              <w:widowControl w:val="0"/>
              <w:spacing w:after="0" w:line="360" w:lineRule="auto"/>
              <w:jc w:val="center"/>
              <w:rPr>
                <w:rFonts w:ascii="Times New Roman" w:hAnsi="Times New Roman" w:eastAsia="黑体" w:cs="Times New Roman"/>
                <w:color w:val="auto"/>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8102" w:type="dxa"/>
            <w:gridSpan w:val="5"/>
          </w:tcPr>
          <w:p>
            <w:pPr>
              <w:pStyle w:val="15"/>
              <w:widowControl w:val="0"/>
              <w:spacing w:after="0" w:line="360" w:lineRule="auto"/>
              <w:jc w:val="both"/>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报告撰写人（签字）：</w:t>
            </w:r>
          </w:p>
          <w:p>
            <w:pPr>
              <w:pStyle w:val="15"/>
              <w:widowControl w:val="0"/>
              <w:spacing w:after="0" w:line="360" w:lineRule="auto"/>
              <w:jc w:val="both"/>
              <w:rPr>
                <w:rFonts w:ascii="Times New Roman" w:hAnsi="Times New Roman" w:eastAsia="黑体" w:cs="Times New Roman"/>
                <w:color w:val="auto"/>
                <w:kern w:val="2"/>
                <w:sz w:val="24"/>
                <w:szCs w:val="24"/>
                <w:lang w:val="zh-TW"/>
              </w:rPr>
            </w:pPr>
          </w:p>
          <w:p>
            <w:pPr>
              <w:pStyle w:val="15"/>
              <w:widowControl w:val="0"/>
              <w:wordWrap w:val="0"/>
              <w:spacing w:after="0" w:line="360" w:lineRule="auto"/>
              <w:ind w:right="480" w:firstLine="5760" w:firstLineChars="2400"/>
              <w:rPr>
                <w:rFonts w:ascii="Times New Roman" w:hAnsi="Times New Roman" w:eastAsia="黑体" w:cs="Times New Roman"/>
                <w:color w:val="auto"/>
                <w:kern w:val="2"/>
                <w:sz w:val="24"/>
                <w:szCs w:val="24"/>
                <w:lang w:val="zh-TW" w:eastAsia="zh-TW"/>
              </w:rPr>
            </w:pPr>
            <w:r>
              <w:rPr>
                <w:rFonts w:ascii="Times New Roman" w:hAnsi="Times New Roman" w:eastAsia="黑体" w:cs="Times New Roman"/>
                <w:color w:val="auto"/>
                <w:kern w:val="2"/>
                <w:sz w:val="24"/>
                <w:szCs w:val="24"/>
                <w:lang w:val="zh-TW"/>
              </w:rPr>
              <w:t>年</w:t>
            </w:r>
            <w:r>
              <w:rPr>
                <w:rFonts w:hint="eastAsia" w:ascii="Times New Roman" w:hAnsi="Times New Roman" w:eastAsia="黑体" w:cs="Times New Roman"/>
                <w:color w:val="auto"/>
                <w:kern w:val="2"/>
                <w:sz w:val="24"/>
                <w:szCs w:val="24"/>
                <w:lang w:val="en-US" w:eastAsia="zh-CN"/>
              </w:rPr>
              <w:t xml:space="preserve">   </w:t>
            </w:r>
            <w:r>
              <w:rPr>
                <w:rFonts w:ascii="Times New Roman" w:hAnsi="Times New Roman" w:eastAsia="黑体" w:cs="Times New Roman"/>
                <w:color w:val="auto"/>
                <w:kern w:val="2"/>
                <w:sz w:val="24"/>
                <w:szCs w:val="24"/>
                <w:lang w:val="zh-TW"/>
              </w:rPr>
              <w:t>月</w:t>
            </w:r>
            <w:r>
              <w:rPr>
                <w:rFonts w:hint="eastAsia" w:ascii="Times New Roman" w:hAnsi="Times New Roman" w:eastAsia="黑体" w:cs="Times New Roman"/>
                <w:color w:val="auto"/>
                <w:kern w:val="2"/>
                <w:sz w:val="24"/>
                <w:szCs w:val="24"/>
                <w:lang w:val="en-US" w:eastAsia="zh-CN"/>
              </w:rPr>
              <w:t xml:space="preserve">    </w:t>
            </w:r>
            <w:r>
              <w:rPr>
                <w:rFonts w:ascii="Times New Roman" w:hAnsi="Times New Roman" w:eastAsia="黑体" w:cs="Times New Roman"/>
                <w:color w:val="auto"/>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8102" w:type="dxa"/>
            <w:gridSpan w:val="5"/>
          </w:tcPr>
          <w:p>
            <w:pPr>
              <w:pStyle w:val="15"/>
              <w:widowControl w:val="0"/>
              <w:spacing w:after="0" w:line="360" w:lineRule="auto"/>
              <w:jc w:val="both"/>
              <w:rPr>
                <w:rFonts w:ascii="Times New Roman" w:hAnsi="Times New Roman" w:eastAsia="黑体" w:cs="Times New Roman"/>
                <w:color w:val="auto"/>
                <w:kern w:val="2"/>
                <w:sz w:val="24"/>
                <w:szCs w:val="24"/>
                <w:lang w:val="zh-TW"/>
              </w:rPr>
            </w:pPr>
            <w:r>
              <w:rPr>
                <w:rFonts w:ascii="Times New Roman" w:hAnsi="Times New Roman" w:eastAsia="黑体" w:cs="Times New Roman"/>
                <w:color w:val="auto"/>
                <w:kern w:val="2"/>
                <w:sz w:val="24"/>
                <w:szCs w:val="24"/>
                <w:lang w:val="zh-TW"/>
              </w:rPr>
              <w:t>评价工作负责人（签字）：</w:t>
            </w:r>
          </w:p>
          <w:p>
            <w:pPr>
              <w:pStyle w:val="15"/>
              <w:widowControl w:val="0"/>
              <w:spacing w:after="0" w:line="360" w:lineRule="auto"/>
              <w:jc w:val="both"/>
              <w:rPr>
                <w:rFonts w:ascii="Times New Roman" w:hAnsi="Times New Roman" w:eastAsia="黑体" w:cs="Times New Roman"/>
                <w:color w:val="auto"/>
                <w:kern w:val="2"/>
                <w:sz w:val="24"/>
                <w:szCs w:val="24"/>
                <w:lang w:val="zh-TW"/>
              </w:rPr>
            </w:pPr>
          </w:p>
          <w:p>
            <w:pPr>
              <w:pStyle w:val="15"/>
              <w:widowControl w:val="0"/>
              <w:spacing w:after="0" w:line="360" w:lineRule="auto"/>
              <w:jc w:val="both"/>
              <w:rPr>
                <w:rFonts w:ascii="Times New Roman" w:hAnsi="Times New Roman" w:eastAsia="黑体" w:cs="Times New Roman"/>
                <w:color w:val="auto"/>
                <w:kern w:val="2"/>
                <w:sz w:val="24"/>
                <w:szCs w:val="24"/>
                <w:lang w:val="zh-TW"/>
              </w:rPr>
            </w:pPr>
          </w:p>
          <w:p>
            <w:pPr>
              <w:pStyle w:val="15"/>
              <w:widowControl w:val="0"/>
              <w:wordWrap w:val="0"/>
              <w:spacing w:after="0" w:line="360" w:lineRule="auto"/>
              <w:ind w:right="480"/>
              <w:jc w:val="right"/>
              <w:rPr>
                <w:rFonts w:ascii="Times New Roman" w:hAnsi="Times New Roman" w:eastAsia="黑体" w:cs="Times New Roman"/>
                <w:color w:val="auto"/>
                <w:kern w:val="2"/>
                <w:sz w:val="24"/>
                <w:szCs w:val="24"/>
                <w:lang w:val="zh-TW" w:eastAsia="zh-TW"/>
              </w:rPr>
            </w:pPr>
            <w:r>
              <w:rPr>
                <w:rFonts w:ascii="Times New Roman" w:hAnsi="Times New Roman" w:eastAsia="黑体" w:cs="Times New Roman"/>
                <w:color w:val="auto"/>
                <w:kern w:val="2"/>
                <w:sz w:val="24"/>
                <w:szCs w:val="24"/>
                <w:lang w:val="zh-TW"/>
              </w:rPr>
              <w:t>年</w:t>
            </w:r>
            <w:r>
              <w:rPr>
                <w:rFonts w:hint="eastAsia" w:ascii="Times New Roman" w:hAnsi="Times New Roman" w:eastAsia="黑体" w:cs="Times New Roman"/>
                <w:color w:val="auto"/>
                <w:kern w:val="2"/>
                <w:sz w:val="24"/>
                <w:szCs w:val="24"/>
                <w:lang w:val="en-US" w:eastAsia="zh-CN"/>
              </w:rPr>
              <w:t xml:space="preserve">    </w:t>
            </w:r>
            <w:r>
              <w:rPr>
                <w:rFonts w:ascii="Times New Roman" w:hAnsi="Times New Roman" w:eastAsia="黑体" w:cs="Times New Roman"/>
                <w:color w:val="auto"/>
                <w:kern w:val="2"/>
                <w:sz w:val="24"/>
                <w:szCs w:val="24"/>
                <w:lang w:val="zh-TW"/>
              </w:rPr>
              <w:t>月</w:t>
            </w:r>
            <w:r>
              <w:rPr>
                <w:rFonts w:hint="eastAsia" w:ascii="Times New Roman" w:hAnsi="Times New Roman" w:eastAsia="黑体" w:cs="Times New Roman"/>
                <w:color w:val="auto"/>
                <w:kern w:val="2"/>
                <w:sz w:val="24"/>
                <w:szCs w:val="24"/>
                <w:lang w:val="en-US" w:eastAsia="zh-CN"/>
              </w:rPr>
              <w:t xml:space="preserve">    </w:t>
            </w:r>
            <w:r>
              <w:rPr>
                <w:rFonts w:ascii="Times New Roman" w:hAnsi="Times New Roman" w:eastAsia="黑体" w:cs="Times New Roman"/>
                <w:color w:val="auto"/>
                <w:kern w:val="2"/>
                <w:sz w:val="24"/>
                <w:szCs w:val="24"/>
                <w:lang w:val="zh-TW"/>
              </w:rPr>
              <w:t>日</w:t>
            </w:r>
          </w:p>
        </w:tc>
      </w:tr>
    </w:tbl>
    <w:p>
      <w:pPr>
        <w:pStyle w:val="15"/>
        <w:widowControl w:val="0"/>
        <w:spacing w:after="0" w:line="360" w:lineRule="auto"/>
        <w:jc w:val="both"/>
        <w:rPr>
          <w:rFonts w:ascii="Times New Roman" w:hAnsi="Times New Roman" w:cs="Times New Roman"/>
          <w:color w:val="auto"/>
          <w:kern w:val="2"/>
          <w:sz w:val="24"/>
          <w:szCs w:val="24"/>
          <w:lang w:val="zh-TW"/>
        </w:rPr>
      </w:pPr>
    </w:p>
    <w:p>
      <w:pPr>
        <w:pStyle w:val="15"/>
        <w:widowControl w:val="0"/>
        <w:spacing w:after="0" w:line="360" w:lineRule="auto"/>
        <w:jc w:val="both"/>
        <w:rPr>
          <w:rFonts w:ascii="Times New Roman" w:hAnsi="Times New Roman" w:cs="Times New Roman"/>
          <w:color w:val="auto"/>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rPr>
          <w:rFonts w:ascii="Times New Roman" w:hAnsi="Times New Roman" w:eastAsia="黑体"/>
          <w:sz w:val="32"/>
          <w:szCs w:val="32"/>
        </w:rPr>
      </w:pPr>
    </w:p>
    <w:p>
      <w:pPr>
        <w:spacing w:line="440" w:lineRule="exact"/>
        <w:ind w:firstLine="640" w:firstLineChars="200"/>
        <w:jc w:val="center"/>
        <w:rPr>
          <w:rFonts w:ascii="Times New Roman" w:hAnsi="Times New Roman" w:eastAsia="黑体"/>
          <w:sz w:val="32"/>
          <w:szCs w:val="32"/>
        </w:rPr>
      </w:pPr>
      <w:r>
        <w:rPr>
          <w:rFonts w:ascii="Times New Roman" w:hAnsi="Times New Roman" w:eastAsia="黑体"/>
          <w:sz w:val="32"/>
          <w:szCs w:val="32"/>
        </w:rPr>
        <w:t>目录</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摘要</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一、项目基本情况</w:t>
      </w:r>
      <w:r>
        <w:rPr>
          <w:rFonts w:ascii="Times New Roman" w:hAnsi="Times New Roman" w:eastAsia="黑体"/>
          <w:szCs w:val="32"/>
        </w:rPr>
        <w:tab/>
      </w:r>
    </w:p>
    <w:p>
      <w:pPr>
        <w:spacing w:line="440" w:lineRule="exact"/>
        <w:ind w:firstLine="420" w:firstLineChars="200"/>
        <w:jc w:val="left"/>
        <w:rPr>
          <w:rFonts w:hint="eastAsia" w:ascii="Times New Roman" w:hAnsi="Times New Roman" w:eastAsia="黑体"/>
          <w:szCs w:val="32"/>
        </w:rPr>
      </w:pPr>
      <w:r>
        <w:rPr>
          <w:rFonts w:hint="eastAsia" w:ascii="Times New Roman" w:hAnsi="Times New Roman" w:eastAsia="黑体"/>
          <w:szCs w:val="32"/>
        </w:rPr>
        <w:t>（一）项目立项背景</w:t>
      </w:r>
    </w:p>
    <w:p>
      <w:pPr>
        <w:spacing w:line="440" w:lineRule="exact"/>
        <w:ind w:firstLine="420" w:firstLineChars="200"/>
        <w:jc w:val="left"/>
        <w:rPr>
          <w:rFonts w:hint="eastAsia" w:ascii="Times New Roman" w:hAnsi="Times New Roman" w:eastAsia="黑体"/>
          <w:szCs w:val="32"/>
        </w:rPr>
      </w:pPr>
      <w:r>
        <w:rPr>
          <w:rFonts w:hint="eastAsia" w:ascii="Times New Roman" w:hAnsi="Times New Roman" w:eastAsia="黑体"/>
          <w:szCs w:val="32"/>
        </w:rPr>
        <w:t>（二）项目实施情况</w:t>
      </w:r>
    </w:p>
    <w:p>
      <w:pPr>
        <w:spacing w:line="440" w:lineRule="exact"/>
        <w:ind w:firstLine="420" w:firstLineChars="200"/>
        <w:jc w:val="left"/>
        <w:rPr>
          <w:rFonts w:hint="eastAsia" w:ascii="Times New Roman" w:hAnsi="Times New Roman" w:eastAsia="黑体"/>
          <w:szCs w:val="32"/>
        </w:rPr>
      </w:pPr>
      <w:r>
        <w:rPr>
          <w:rFonts w:hint="eastAsia" w:ascii="Times New Roman" w:hAnsi="Times New Roman" w:eastAsia="黑体"/>
          <w:szCs w:val="32"/>
        </w:rPr>
        <w:t>（三）资金来源及使用情况</w:t>
      </w:r>
    </w:p>
    <w:p>
      <w:pPr>
        <w:spacing w:line="440" w:lineRule="exact"/>
        <w:ind w:firstLine="420" w:firstLineChars="200"/>
        <w:jc w:val="left"/>
        <w:rPr>
          <w:rFonts w:hint="eastAsia" w:ascii="Times New Roman" w:hAnsi="Times New Roman" w:eastAsia="黑体"/>
          <w:szCs w:val="32"/>
        </w:rPr>
      </w:pPr>
      <w:r>
        <w:rPr>
          <w:rFonts w:hint="eastAsia" w:ascii="Times New Roman" w:hAnsi="Times New Roman" w:eastAsia="黑体"/>
          <w:szCs w:val="32"/>
        </w:rPr>
        <w:t>（四）组织及管理情况</w:t>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rPr>
        <w:t>（五）项目绩效目标</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二、绩效评价工作情况</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（一）评价的目的和依据</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（二）绩效评价工作方案制定过程</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（三）绩效评价原则、评价方法等</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（四）绩效评价实施过程</w:t>
      </w:r>
      <w:r>
        <w:rPr>
          <w:rFonts w:ascii="Times New Roman" w:hAnsi="Times New Roman" w:eastAsia="黑体"/>
          <w:szCs w:val="32"/>
        </w:rPr>
        <w:tab/>
      </w:r>
      <w:r>
        <w:rPr>
          <w:rFonts w:ascii="Times New Roman" w:hAnsi="Times New Roman" w:eastAsia="黑体"/>
          <w:szCs w:val="32"/>
        </w:rPr>
        <w:t xml:space="preserve"> </w:t>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三、评价结论及绩效分析</w:t>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一</w:t>
      </w:r>
      <w:r>
        <w:rPr>
          <w:rFonts w:hint="eastAsia" w:ascii="Times New Roman" w:hAnsi="Times New Roman" w:eastAsia="黑体"/>
          <w:szCs w:val="32"/>
          <w:lang w:eastAsia="zh-CN"/>
        </w:rPr>
        <w:t>）</w:t>
      </w:r>
      <w:r>
        <w:rPr>
          <w:rFonts w:ascii="Times New Roman" w:hAnsi="Times New Roman" w:eastAsia="黑体"/>
          <w:szCs w:val="32"/>
        </w:rPr>
        <w:t>评价结论</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lang w:eastAsia="zh-CN"/>
        </w:rPr>
        <w:t>（</w:t>
      </w:r>
      <w:r>
        <w:rPr>
          <w:rFonts w:hint="eastAsia" w:ascii="Times New Roman" w:hAnsi="Times New Roman" w:eastAsia="黑体"/>
          <w:szCs w:val="32"/>
          <w:lang w:val="en-US" w:eastAsia="zh-CN"/>
        </w:rPr>
        <w:t>二</w:t>
      </w:r>
      <w:r>
        <w:rPr>
          <w:rFonts w:hint="eastAsia" w:ascii="Times New Roman" w:hAnsi="Times New Roman" w:eastAsia="黑体"/>
          <w:szCs w:val="32"/>
          <w:lang w:eastAsia="zh-CN"/>
        </w:rPr>
        <w:t>）</w:t>
      </w:r>
      <w:r>
        <w:rPr>
          <w:rFonts w:ascii="Times New Roman" w:hAnsi="Times New Roman" w:eastAsia="黑体"/>
          <w:szCs w:val="32"/>
        </w:rPr>
        <w:t>绩效分析</w:t>
      </w:r>
      <w:r>
        <w:rPr>
          <w:rFonts w:ascii="Times New Roman" w:hAnsi="Times New Roman" w:eastAsia="黑体"/>
          <w:szCs w:val="32"/>
        </w:rPr>
        <w:tab/>
      </w:r>
    </w:p>
    <w:p>
      <w:pPr>
        <w:spacing w:line="440" w:lineRule="exact"/>
        <w:ind w:firstLine="420" w:firstLineChars="200"/>
        <w:jc w:val="left"/>
        <w:rPr>
          <w:rFonts w:hint="default" w:ascii="Times New Roman" w:hAnsi="Times New Roman" w:eastAsia="黑体"/>
          <w:szCs w:val="32"/>
          <w:lang w:val="en-US" w:eastAsia="zh-CN"/>
        </w:rPr>
      </w:pPr>
      <w:r>
        <w:rPr>
          <w:rFonts w:hint="eastAsia" w:ascii="Times New Roman" w:hAnsi="Times New Roman" w:eastAsia="黑体"/>
          <w:szCs w:val="32"/>
        </w:rPr>
        <w:t>四</w:t>
      </w:r>
      <w:r>
        <w:rPr>
          <w:rFonts w:ascii="Times New Roman" w:hAnsi="Times New Roman" w:eastAsia="黑体"/>
          <w:szCs w:val="32"/>
        </w:rPr>
        <w:t>、</w:t>
      </w:r>
      <w:r>
        <w:rPr>
          <w:rFonts w:hint="eastAsia" w:ascii="Times New Roman" w:hAnsi="Times New Roman" w:eastAsia="黑体"/>
          <w:szCs w:val="32"/>
          <w:lang w:val="en-US" w:eastAsia="zh-CN"/>
        </w:rPr>
        <w:t>成本效益分析</w:t>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lang w:val="en-US" w:eastAsia="zh-CN"/>
        </w:rPr>
        <w:t>五、</w:t>
      </w:r>
      <w:r>
        <w:rPr>
          <w:rFonts w:ascii="Times New Roman" w:hAnsi="Times New Roman" w:eastAsia="黑体"/>
          <w:szCs w:val="32"/>
        </w:rPr>
        <w:t>项目主要经验及做法、存在的问题和建议</w:t>
      </w:r>
    </w:p>
    <w:p>
      <w:pPr>
        <w:spacing w:line="440" w:lineRule="exact"/>
        <w:ind w:firstLine="420" w:firstLineChars="200"/>
        <w:jc w:val="left"/>
        <w:rPr>
          <w:rFonts w:ascii="Times New Roman" w:hAnsi="Times New Roman" w:eastAsia="黑体"/>
          <w:szCs w:val="32"/>
        </w:rPr>
      </w:pPr>
      <w:r>
        <w:rPr>
          <w:rFonts w:hint="eastAsia" w:ascii="Times New Roman" w:hAnsi="Times New Roman" w:eastAsia="黑体"/>
          <w:szCs w:val="32"/>
          <w:lang w:val="en-US" w:eastAsia="zh-CN"/>
        </w:rPr>
        <w:t>六</w:t>
      </w:r>
      <w:r>
        <w:rPr>
          <w:rFonts w:ascii="Times New Roman" w:hAnsi="Times New Roman" w:eastAsia="黑体"/>
          <w:szCs w:val="32"/>
        </w:rPr>
        <w:t>、附件</w:t>
      </w:r>
      <w:r>
        <w:rPr>
          <w:rFonts w:ascii="Times New Roman" w:hAnsi="Times New Roman" w:eastAsia="黑体"/>
          <w:szCs w:val="32"/>
        </w:rPr>
        <w:tab/>
      </w:r>
    </w:p>
    <w:p>
      <w:pPr>
        <w:spacing w:line="540" w:lineRule="exact"/>
        <w:rPr>
          <w:rFonts w:ascii="Times New Roman" w:hAnsi="Times New Roman" w:eastAsia="方正小标宋_GBK"/>
          <w:szCs w:val="32"/>
        </w:rPr>
        <w:sectPr>
          <w:pgSz w:w="11906" w:h="16838"/>
          <w:pgMar w:top="1440" w:right="1800" w:bottom="1440" w:left="1800" w:header="851" w:footer="992" w:gutter="0"/>
          <w:cols w:space="425" w:num="1"/>
          <w:docGrid w:type="lines" w:linePitch="312" w:charSpace="0"/>
        </w:sectPr>
      </w:pPr>
    </w:p>
    <w:p>
      <w:pPr>
        <w:pStyle w:val="2"/>
      </w:pPr>
    </w:p>
    <w:p>
      <w:pPr>
        <w:spacing w:line="440" w:lineRule="exact"/>
        <w:jc w:val="center"/>
        <w:rPr>
          <w:rFonts w:hint="eastAsia" w:ascii="Times New Roman" w:hAnsi="Times New Roman" w:eastAsia="方正小标宋_GBK"/>
          <w:sz w:val="36"/>
          <w:szCs w:val="36"/>
        </w:rPr>
      </w:pPr>
      <w:r>
        <w:rPr>
          <w:rFonts w:hint="eastAsia" w:ascii="Times New Roman" w:hAnsi="Times New Roman" w:eastAsia="方正小标宋_GBK"/>
          <w:sz w:val="36"/>
          <w:szCs w:val="36"/>
        </w:rPr>
        <w:t>劳动保障平台工作专项经费项目支出</w:t>
      </w:r>
    </w:p>
    <w:p>
      <w:pPr>
        <w:spacing w:line="440" w:lineRule="exact"/>
        <w:jc w:val="center"/>
        <w:rPr>
          <w:rFonts w:ascii="Times New Roman" w:hAnsi="Times New Roman" w:eastAsia="方正小标宋_GBK"/>
          <w:sz w:val="36"/>
          <w:szCs w:val="36"/>
        </w:rPr>
      </w:pPr>
      <w:r>
        <w:rPr>
          <w:rFonts w:hint="eastAsia" w:ascii="Times New Roman" w:hAnsi="Times New Roman" w:eastAsia="方正小标宋_GBK"/>
          <w:sz w:val="36"/>
          <w:szCs w:val="36"/>
        </w:rPr>
        <w:t>绩效自评报告</w:t>
      </w:r>
    </w:p>
    <w:p>
      <w:pPr>
        <w:spacing w:line="440" w:lineRule="exact"/>
        <w:jc w:val="center"/>
        <w:rPr>
          <w:rFonts w:ascii="Times New Roman" w:hAnsi="Times New Roman" w:eastAsia="方正小标宋_GBK"/>
          <w:sz w:val="36"/>
          <w:szCs w:val="36"/>
        </w:rPr>
      </w:pP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rPr>
      </w:pPr>
      <w:r>
        <w:rPr>
          <w:rFonts w:hint="eastAsia" w:ascii="方正小标宋_GBK" w:hAnsi="黑体" w:eastAsia="方正小标宋_GBK"/>
          <w:sz w:val="28"/>
          <w:szCs w:val="28"/>
        </w:rPr>
        <w:t>摘要</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一、项目概况</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仿宋_GB2312" w:hAnsi="黑体" w:eastAsia="仿宋_GB2312"/>
          <w:sz w:val="28"/>
          <w:szCs w:val="28"/>
        </w:rPr>
      </w:pPr>
      <w:r>
        <w:rPr>
          <w:rFonts w:hint="eastAsia" w:ascii="仿宋_GB2312" w:hAnsi="黑体" w:eastAsia="仿宋_GB2312"/>
          <w:sz w:val="28"/>
          <w:szCs w:val="28"/>
        </w:rPr>
        <w:t>项目依据《昆政发〔2007〕56号、昆编〔2008〕1号和昆劳社通〔2009〕105号》昆政发〔2007〕56号、昆编〔2008〕1号和昆劳社通〔2009〕105号》立项。</w:t>
      </w:r>
      <w:r>
        <w:rPr>
          <w:rFonts w:hint="eastAsia" w:ascii="仿宋_GB2312" w:hAnsi="黑体" w:eastAsia="仿宋_GB2312"/>
          <w:sz w:val="28"/>
          <w:szCs w:val="28"/>
          <w:lang w:val="en-US" w:eastAsia="zh-CN"/>
        </w:rPr>
        <w:t>主要为</w:t>
      </w:r>
      <w:r>
        <w:rPr>
          <w:rFonts w:hint="eastAsia" w:ascii="仿宋_GB2312" w:hAnsi="黑体" w:eastAsia="仿宋_GB2312"/>
          <w:sz w:val="28"/>
          <w:szCs w:val="28"/>
        </w:rPr>
        <w:t>完善劳动保障网络的建设，确保劳动平台业务工作的开展。负责建设、管理全区人力资源和社会保障信息网络，其中包括：网络费、初装费、设备维修费、软件维护费等相关工作经费。全区共有12个街道、103个社区。</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黑体" w:eastAsia="仿宋_GB2312"/>
          <w:sz w:val="28"/>
          <w:szCs w:val="28"/>
          <w:lang w:eastAsia="zh-CN"/>
        </w:rPr>
      </w:pPr>
      <w:r>
        <w:rPr>
          <w:rFonts w:hint="eastAsia" w:ascii="仿宋_GB2312" w:hAnsi="黑体" w:eastAsia="仿宋_GB2312"/>
          <w:sz w:val="28"/>
          <w:szCs w:val="28"/>
        </w:rPr>
        <w:t>劳动保障平台工作专项经费项目总预算136,800.00</w:t>
      </w:r>
      <w:r>
        <w:rPr>
          <w:rFonts w:hint="eastAsia" w:ascii="仿宋_GB2312" w:hAnsi="黑体" w:eastAsia="仿宋_GB2312"/>
          <w:sz w:val="28"/>
          <w:szCs w:val="28"/>
          <w:lang w:val="en-US" w:eastAsia="zh-CN"/>
        </w:rPr>
        <w:t>元。</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highlight w:val="none"/>
        </w:rPr>
      </w:pPr>
      <w:r>
        <w:rPr>
          <w:rFonts w:hint="eastAsia" w:ascii="黑体" w:hAnsi="黑体" w:eastAsia="黑体"/>
          <w:sz w:val="28"/>
          <w:szCs w:val="28"/>
          <w:highlight w:val="none"/>
        </w:rPr>
        <w:t>二、评价结论</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仿宋_GB2312" w:hAnsi="黑体" w:eastAsia="仿宋_GB2312"/>
          <w:sz w:val="28"/>
          <w:szCs w:val="28"/>
          <w:highlight w:val="none"/>
        </w:rPr>
      </w:pPr>
      <w:r>
        <w:rPr>
          <w:rFonts w:hint="eastAsia" w:ascii="仿宋_GB2312" w:hAnsi="黑体" w:eastAsia="仿宋_GB2312"/>
          <w:sz w:val="28"/>
          <w:szCs w:val="28"/>
          <w:highlight w:val="none"/>
        </w:rPr>
        <w:t>劳动保障平台工作专项经费项目预算金额136,800.00元，已使用127,870.00元，预算完成率93.47%，使用范围为邮电费。在工作经费使用过程中，严格按财经有关法律法规开支，切实加强财政资金的监督管理，严格按照预算内容和经费使用范围，自觉接受监督检查，确保工作经费专款专用。</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highlight w:val="none"/>
        </w:rPr>
      </w:pPr>
      <w:r>
        <w:rPr>
          <w:rFonts w:hint="eastAsia" w:ascii="仿宋_GB2312" w:hAnsi="黑体" w:eastAsia="仿宋_GB2312"/>
          <w:sz w:val="28"/>
          <w:szCs w:val="28"/>
          <w:highlight w:val="none"/>
        </w:rPr>
        <w:t>劳动保障平台工作专项经费项目绩效评价得分为9</w:t>
      </w:r>
      <w:r>
        <w:rPr>
          <w:rFonts w:hint="eastAsia" w:ascii="仿宋_GB2312" w:hAnsi="黑体" w:eastAsia="仿宋_GB2312"/>
          <w:sz w:val="28"/>
          <w:szCs w:val="28"/>
          <w:highlight w:val="none"/>
          <w:lang w:val="en-US" w:eastAsia="zh-CN"/>
        </w:rPr>
        <w:t>7</w:t>
      </w:r>
      <w:r>
        <w:rPr>
          <w:rFonts w:hint="eastAsia" w:ascii="仿宋_GB2312" w:hAnsi="黑体" w:eastAsia="仿宋_GB2312"/>
          <w:sz w:val="28"/>
          <w:szCs w:val="28"/>
          <w:highlight w:val="none"/>
        </w:rPr>
        <w:t>分，评价等级为“优”。</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highlight w:val="none"/>
        </w:rPr>
      </w:pPr>
      <w:r>
        <w:rPr>
          <w:rFonts w:hint="eastAsia" w:ascii="黑体" w:hAnsi="黑体" w:eastAsia="黑体"/>
          <w:sz w:val="28"/>
          <w:szCs w:val="28"/>
          <w:highlight w:val="none"/>
        </w:rPr>
        <w:t>三、经验、问题和建议</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黑体" w:eastAsia="仿宋_GB2312"/>
          <w:sz w:val="28"/>
          <w:szCs w:val="28"/>
          <w:highlight w:val="none"/>
        </w:rPr>
        <w:sectPr>
          <w:pgSz w:w="11906" w:h="16838"/>
          <w:pgMar w:top="1440" w:right="1800" w:bottom="1440" w:left="1800" w:header="851" w:footer="992" w:gutter="0"/>
          <w:cols w:space="425" w:num="1"/>
          <w:docGrid w:type="lines" w:linePitch="312" w:charSpace="0"/>
        </w:sectPr>
      </w:pPr>
      <w:r>
        <w:rPr>
          <w:rFonts w:hint="eastAsia" w:ascii="仿宋_GB2312" w:hAnsi="黑体" w:eastAsia="仿宋_GB2312"/>
          <w:sz w:val="28"/>
          <w:szCs w:val="28"/>
        </w:rPr>
        <w:t>劳动保障平台工作专项经费立足实际，追求实效。根据昆明市人力资源和社会保障局的工作要求，按时完成昆明市乡镇（街道）、社区社会保障平台建设工作综合情况统计工作，摸清机构、人员、办公场地、经费、办公设备和开展工作情况。加强对各街道办事处、社区（村委会）劳动保障平台专线专网的使用维护。2022年劳动保障平台工作专项经费预算完成率93.47%，今后将会继续改进。</w:t>
      </w:r>
    </w:p>
    <w:p>
      <w:pPr>
        <w:pStyle w:val="2"/>
      </w:pPr>
    </w:p>
    <w:p>
      <w:pPr>
        <w:spacing w:line="440" w:lineRule="exact"/>
        <w:jc w:val="center"/>
        <w:rPr>
          <w:rFonts w:ascii="Times New Roman" w:hAnsi="Times New Roman" w:eastAsia="方正小标宋_GBK"/>
          <w:sz w:val="36"/>
          <w:szCs w:val="36"/>
        </w:rPr>
      </w:pPr>
      <w:bookmarkStart w:id="0" w:name="_Hlk100752542"/>
      <w:r>
        <w:rPr>
          <w:rFonts w:ascii="Times New Roman" w:hAnsi="Times New Roman" w:eastAsia="方正小标宋_GBK"/>
          <w:sz w:val="36"/>
          <w:szCs w:val="36"/>
        </w:rPr>
        <w:t>盘龙区劳动保障监察</w:t>
      </w:r>
      <w:r>
        <w:rPr>
          <w:rFonts w:hint="eastAsia" w:ascii="Times New Roman" w:hAnsi="Times New Roman" w:eastAsia="方正小标宋_GBK"/>
          <w:sz w:val="36"/>
          <w:szCs w:val="36"/>
        </w:rPr>
        <w:t>大</w:t>
      </w:r>
      <w:r>
        <w:rPr>
          <w:rFonts w:ascii="Times New Roman" w:hAnsi="Times New Roman" w:eastAsia="方正小标宋_GBK"/>
          <w:sz w:val="36"/>
          <w:szCs w:val="36"/>
        </w:rPr>
        <w:t>队工作经费项目</w:t>
      </w:r>
      <w:bookmarkEnd w:id="0"/>
      <w:r>
        <w:rPr>
          <w:rFonts w:ascii="Times New Roman" w:hAnsi="Times New Roman" w:eastAsia="方正小标宋_GBK"/>
          <w:sz w:val="36"/>
          <w:szCs w:val="36"/>
        </w:rPr>
        <w:t>支出绩效</w:t>
      </w:r>
    </w:p>
    <w:p>
      <w:pPr>
        <w:spacing w:line="440" w:lineRule="exact"/>
        <w:jc w:val="center"/>
        <w:rPr>
          <w:rFonts w:ascii="Times New Roman" w:hAnsi="Times New Roman" w:eastAsia="方正小标宋_GBK"/>
          <w:sz w:val="36"/>
          <w:szCs w:val="36"/>
        </w:rPr>
      </w:pPr>
      <w:r>
        <w:rPr>
          <w:rFonts w:ascii="Times New Roman" w:hAnsi="Times New Roman" w:eastAsia="方正小标宋_GBK"/>
          <w:sz w:val="36"/>
          <w:szCs w:val="36"/>
        </w:rPr>
        <w:t>自评报告</w:t>
      </w:r>
    </w:p>
    <w:p>
      <w:pPr>
        <w:spacing w:line="440" w:lineRule="exact"/>
        <w:ind w:firstLine="560" w:firstLineChars="200"/>
        <w:jc w:val="left"/>
        <w:rPr>
          <w:rFonts w:ascii="Times New Roman" w:hAnsi="Times New Roman" w:eastAsia="黑体"/>
          <w:sz w:val="28"/>
          <w:szCs w:val="28"/>
        </w:rPr>
      </w:pP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ascii="Times New Roman" w:hAnsi="Times New Roman" w:eastAsia="黑体"/>
          <w:sz w:val="28"/>
          <w:szCs w:val="28"/>
        </w:rPr>
        <w:t>一、项目基本概况</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一</w:t>
      </w:r>
      <w:r>
        <w:rPr>
          <w:rFonts w:hint="eastAsia" w:ascii="楷体" w:hAnsi="楷体" w:eastAsia="楷体" w:cs="楷体"/>
          <w:sz w:val="28"/>
          <w:szCs w:val="28"/>
          <w:lang w:eastAsia="zh-CN"/>
        </w:rPr>
        <w:t>）</w:t>
      </w:r>
      <w:r>
        <w:rPr>
          <w:rFonts w:hint="eastAsia" w:ascii="楷体" w:hAnsi="楷体" w:eastAsia="楷体" w:cs="楷体"/>
          <w:sz w:val="28"/>
          <w:szCs w:val="28"/>
        </w:rPr>
        <w:t>项目立项背景</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仿宋_GB2312" w:hAnsi="楷体" w:eastAsia="仿宋_GB2312"/>
          <w:sz w:val="28"/>
          <w:szCs w:val="28"/>
        </w:rPr>
      </w:pPr>
      <w:bookmarkStart w:id="1" w:name="_Hlk100750894"/>
      <w:r>
        <w:rPr>
          <w:rFonts w:hint="eastAsia" w:ascii="仿宋_GB2312" w:hAnsi="楷体" w:eastAsia="仿宋_GB2312"/>
          <w:sz w:val="28"/>
          <w:szCs w:val="28"/>
        </w:rPr>
        <w:t>项目依据《昆政发〔2007〕56号、昆编〔2008〕1号和昆劳社通〔2009〕105号》昆政发〔2007〕56号、昆编〔2008〕1号和昆劳社通〔2009〕105号》立项。主要为完善劳动保障网络的建设，确保劳动平台业务工作的开展。负责建设、管理全区人力资源和社会保障信息网络，其中包括：网络费、初装费、设备维修费、软件维护费等相关工作经费。全区共有12个街道、103个社区。</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楷体" w:hAnsi="楷体" w:eastAsia="楷体" w:cs="楷体"/>
          <w:sz w:val="28"/>
          <w:szCs w:val="28"/>
        </w:rPr>
      </w:pP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二</w:t>
      </w:r>
      <w:r>
        <w:rPr>
          <w:rFonts w:hint="eastAsia" w:ascii="楷体" w:hAnsi="楷体" w:eastAsia="楷体" w:cs="楷体"/>
          <w:sz w:val="28"/>
          <w:szCs w:val="28"/>
          <w:lang w:eastAsia="zh-CN"/>
        </w:rPr>
        <w:t>）</w:t>
      </w:r>
      <w:r>
        <w:rPr>
          <w:rFonts w:hint="eastAsia" w:ascii="楷体" w:hAnsi="楷体" w:eastAsia="楷体" w:cs="楷体"/>
          <w:sz w:val="28"/>
          <w:szCs w:val="28"/>
        </w:rPr>
        <w:t>项目实施情况</w:t>
      </w:r>
      <w:r>
        <w:rPr>
          <w:rFonts w:hint="eastAsia" w:ascii="楷体" w:hAnsi="楷体" w:eastAsia="楷体" w:cs="楷体"/>
          <w:sz w:val="28"/>
          <w:szCs w:val="28"/>
        </w:rPr>
        <w:tab/>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仿宋_GB2312" w:hAnsi="楷体" w:eastAsia="仿宋_GB2312"/>
          <w:sz w:val="28"/>
          <w:szCs w:val="28"/>
        </w:rPr>
      </w:pPr>
      <w:r>
        <w:rPr>
          <w:rFonts w:hint="eastAsia" w:ascii="仿宋_GB2312" w:hAnsi="楷体" w:eastAsia="仿宋_GB2312"/>
          <w:sz w:val="28"/>
          <w:szCs w:val="28"/>
        </w:rPr>
        <w:t>劳动保障平台工作专项经费项目总预算136,800.00元</w:t>
      </w:r>
      <w:r>
        <w:rPr>
          <w:rFonts w:ascii="仿宋_GB2312" w:hAnsi="楷体" w:eastAsia="仿宋_GB2312"/>
          <w:sz w:val="28"/>
          <w:szCs w:val="28"/>
        </w:rPr>
        <w:t>，使用范围包括：</w:t>
      </w:r>
      <w:r>
        <w:rPr>
          <w:rFonts w:hint="eastAsia" w:ascii="仿宋_GB2312" w:hAnsi="楷体" w:eastAsia="仿宋_GB2312"/>
          <w:sz w:val="28"/>
          <w:szCs w:val="28"/>
        </w:rPr>
        <w:t>网络费、初装费、设备维修费、软件维护费等</w:t>
      </w:r>
      <w:r>
        <w:rPr>
          <w:rFonts w:hint="eastAsia" w:ascii="仿宋_GB2312" w:hAnsi="楷体" w:eastAsia="仿宋_GB2312"/>
          <w:sz w:val="28"/>
          <w:szCs w:val="28"/>
          <w:lang w:val="en-US" w:eastAsia="zh-CN"/>
        </w:rPr>
        <w:t>相关工作经费</w:t>
      </w:r>
      <w:r>
        <w:rPr>
          <w:rFonts w:ascii="仿宋_GB2312" w:hAnsi="楷体" w:eastAsia="仿宋_GB2312"/>
          <w:sz w:val="28"/>
          <w:szCs w:val="28"/>
        </w:rPr>
        <w:t>。在工作经费使用过程中，严格按财经有关法律法规开支，切实加强财政资金的监督管理，严格按照预算内容和经费使用范围，自觉接受监督检查，确保</w:t>
      </w:r>
      <w:r>
        <w:rPr>
          <w:rFonts w:hint="eastAsia" w:ascii="仿宋_GB2312" w:hAnsi="楷体" w:eastAsia="仿宋_GB2312"/>
          <w:sz w:val="28"/>
          <w:szCs w:val="28"/>
        </w:rPr>
        <w:t>工作</w:t>
      </w:r>
      <w:r>
        <w:rPr>
          <w:rFonts w:ascii="仿宋_GB2312" w:hAnsi="楷体" w:eastAsia="仿宋_GB2312"/>
          <w:sz w:val="28"/>
          <w:szCs w:val="28"/>
        </w:rPr>
        <w:t>经费专款专用。</w:t>
      </w:r>
    </w:p>
    <w:bookmarkEnd w:id="1"/>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楷体" w:hAnsi="楷体" w:eastAsia="楷体" w:cs="楷体"/>
          <w:sz w:val="28"/>
          <w:szCs w:val="28"/>
        </w:rPr>
      </w:pP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三</w:t>
      </w:r>
      <w:r>
        <w:rPr>
          <w:rFonts w:hint="eastAsia" w:ascii="楷体" w:hAnsi="楷体" w:eastAsia="楷体" w:cs="楷体"/>
          <w:sz w:val="28"/>
          <w:szCs w:val="28"/>
          <w:lang w:eastAsia="zh-CN"/>
        </w:rPr>
        <w:t>）</w:t>
      </w:r>
      <w:r>
        <w:rPr>
          <w:rFonts w:hint="eastAsia" w:ascii="楷体" w:hAnsi="楷体" w:eastAsia="楷体" w:cs="楷体"/>
          <w:sz w:val="28"/>
          <w:szCs w:val="28"/>
        </w:rPr>
        <w:t>资金来源及使用情况</w:t>
      </w:r>
      <w:r>
        <w:rPr>
          <w:rFonts w:hint="eastAsia" w:ascii="楷体" w:hAnsi="楷体" w:eastAsia="楷体" w:cs="楷体"/>
          <w:sz w:val="28"/>
          <w:szCs w:val="28"/>
        </w:rPr>
        <w:tab/>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仿宋_GB2312" w:hAnsi="楷体" w:eastAsia="仿宋_GB2312"/>
          <w:sz w:val="28"/>
          <w:szCs w:val="28"/>
        </w:rPr>
      </w:pPr>
      <w:r>
        <w:rPr>
          <w:rFonts w:ascii="仿宋_GB2312" w:hAnsi="楷体" w:eastAsia="仿宋_GB2312"/>
          <w:sz w:val="28"/>
          <w:szCs w:val="28"/>
        </w:rPr>
        <w:t>经费纳入</w:t>
      </w:r>
      <w:r>
        <w:rPr>
          <w:rFonts w:hint="eastAsia" w:ascii="仿宋_GB2312" w:hAnsi="楷体" w:eastAsia="仿宋_GB2312"/>
          <w:sz w:val="28"/>
          <w:szCs w:val="28"/>
        </w:rPr>
        <w:t>202</w:t>
      </w:r>
      <w:r>
        <w:rPr>
          <w:rFonts w:hint="eastAsia" w:ascii="仿宋_GB2312" w:hAnsi="楷体" w:eastAsia="仿宋_GB2312"/>
          <w:sz w:val="28"/>
          <w:szCs w:val="28"/>
          <w:lang w:val="en-US" w:eastAsia="zh-CN"/>
        </w:rPr>
        <w:t>2</w:t>
      </w:r>
      <w:r>
        <w:rPr>
          <w:rFonts w:ascii="仿宋_GB2312" w:hAnsi="楷体" w:eastAsia="仿宋_GB2312"/>
          <w:sz w:val="28"/>
          <w:szCs w:val="28"/>
        </w:rPr>
        <w:t>年预算，由区财政局统一下达预算指标，工作经费指标</w:t>
      </w:r>
      <w:r>
        <w:rPr>
          <w:rFonts w:hint="eastAsia" w:ascii="仿宋_GB2312" w:hAnsi="楷体" w:eastAsia="仿宋_GB2312"/>
          <w:sz w:val="28"/>
          <w:szCs w:val="28"/>
        </w:rPr>
        <w:t>136,800.00元</w:t>
      </w:r>
      <w:r>
        <w:rPr>
          <w:rFonts w:ascii="仿宋_GB2312" w:hAnsi="楷体" w:eastAsia="仿宋_GB2312"/>
          <w:sz w:val="28"/>
          <w:szCs w:val="28"/>
        </w:rPr>
        <w:t>，已使用</w:t>
      </w:r>
      <w:r>
        <w:rPr>
          <w:rFonts w:hint="eastAsia" w:ascii="仿宋_GB2312" w:hAnsi="楷体" w:eastAsia="仿宋_GB2312"/>
          <w:sz w:val="28"/>
          <w:szCs w:val="28"/>
        </w:rPr>
        <w:t>127,870.00</w:t>
      </w:r>
      <w:r>
        <w:rPr>
          <w:rFonts w:ascii="仿宋_GB2312" w:hAnsi="楷体" w:eastAsia="仿宋_GB2312"/>
          <w:sz w:val="28"/>
          <w:szCs w:val="28"/>
        </w:rPr>
        <w:t>元</w:t>
      </w:r>
      <w:r>
        <w:rPr>
          <w:rFonts w:hint="eastAsia" w:ascii="仿宋_GB2312" w:hAnsi="楷体" w:eastAsia="仿宋_GB2312"/>
          <w:sz w:val="28"/>
          <w:szCs w:val="28"/>
        </w:rPr>
        <w:t>，预算完成率</w:t>
      </w:r>
      <w:r>
        <w:rPr>
          <w:rFonts w:hint="eastAsia" w:ascii="仿宋_GB2312" w:hAnsi="楷体" w:eastAsia="仿宋_GB2312"/>
          <w:sz w:val="28"/>
          <w:szCs w:val="28"/>
          <w:lang w:val="en-US" w:eastAsia="zh-CN"/>
        </w:rPr>
        <w:t>93.47</w:t>
      </w:r>
      <w:r>
        <w:rPr>
          <w:rFonts w:ascii="仿宋_GB2312" w:hAnsi="楷体" w:eastAsia="仿宋_GB2312"/>
          <w:sz w:val="28"/>
          <w:szCs w:val="28"/>
        </w:rPr>
        <w:t>%</w:t>
      </w:r>
      <w:r>
        <w:rPr>
          <w:rFonts w:hint="eastAsia" w:ascii="仿宋_GB2312" w:hAnsi="楷体" w:eastAsia="仿宋_GB2312"/>
          <w:sz w:val="28"/>
          <w:szCs w:val="28"/>
        </w:rPr>
        <w:t>。</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楷体" w:hAnsi="楷体" w:eastAsia="楷体" w:cs="楷体"/>
          <w:sz w:val="28"/>
          <w:szCs w:val="28"/>
        </w:rPr>
      </w:pP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四</w:t>
      </w:r>
      <w:r>
        <w:rPr>
          <w:rFonts w:hint="eastAsia" w:ascii="楷体" w:hAnsi="楷体" w:eastAsia="楷体" w:cs="楷体"/>
          <w:sz w:val="28"/>
          <w:szCs w:val="28"/>
          <w:lang w:eastAsia="zh-CN"/>
        </w:rPr>
        <w:t>）</w:t>
      </w:r>
      <w:r>
        <w:rPr>
          <w:rFonts w:hint="eastAsia" w:ascii="楷体" w:hAnsi="楷体" w:eastAsia="楷体" w:cs="楷体"/>
          <w:sz w:val="28"/>
          <w:szCs w:val="28"/>
        </w:rPr>
        <w:t>组织及管理情况</w:t>
      </w:r>
      <w:r>
        <w:rPr>
          <w:rFonts w:hint="eastAsia" w:ascii="楷体" w:hAnsi="楷体" w:eastAsia="楷体" w:cs="楷体"/>
          <w:sz w:val="28"/>
          <w:szCs w:val="28"/>
        </w:rPr>
        <w:tab/>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仿宋_GB2312" w:hAnsi="楷体" w:eastAsia="仿宋_GB2312"/>
          <w:sz w:val="28"/>
          <w:szCs w:val="28"/>
        </w:rPr>
      </w:pPr>
      <w:r>
        <w:rPr>
          <w:rFonts w:hint="eastAsia" w:ascii="仿宋_GB2312" w:hAnsi="楷体" w:eastAsia="仿宋_GB2312"/>
          <w:sz w:val="28"/>
          <w:szCs w:val="28"/>
        </w:rPr>
        <w:t>区劳动保障监察大队</w:t>
      </w:r>
      <w:r>
        <w:rPr>
          <w:rFonts w:ascii="仿宋_GB2312" w:hAnsi="楷体" w:eastAsia="仿宋_GB2312"/>
          <w:sz w:val="28"/>
          <w:szCs w:val="28"/>
        </w:rPr>
        <w:t>设监察一科、二科</w:t>
      </w:r>
      <w:r>
        <w:rPr>
          <w:rFonts w:hint="eastAsia" w:ascii="仿宋_GB2312" w:hAnsi="楷体" w:eastAsia="仿宋_GB2312"/>
          <w:sz w:val="28"/>
          <w:szCs w:val="28"/>
        </w:rPr>
        <w:t>、</w:t>
      </w:r>
      <w:r>
        <w:rPr>
          <w:rFonts w:ascii="仿宋_GB2312" w:hAnsi="楷体" w:eastAsia="仿宋_GB2312"/>
          <w:sz w:val="28"/>
          <w:szCs w:val="28"/>
        </w:rPr>
        <w:t>综合</w:t>
      </w:r>
      <w:r>
        <w:rPr>
          <w:rFonts w:hint="eastAsia" w:ascii="仿宋_GB2312" w:hAnsi="楷体" w:eastAsia="仿宋_GB2312"/>
          <w:sz w:val="28"/>
          <w:szCs w:val="28"/>
        </w:rPr>
        <w:t>办公室</w:t>
      </w:r>
      <w:r>
        <w:rPr>
          <w:rFonts w:ascii="仿宋_GB2312" w:hAnsi="楷体" w:eastAsia="仿宋_GB2312"/>
          <w:sz w:val="28"/>
          <w:szCs w:val="28"/>
        </w:rPr>
        <w:t>等职能科室，</w:t>
      </w:r>
      <w:r>
        <w:rPr>
          <w:rFonts w:hint="eastAsia" w:ascii="仿宋_GB2312" w:hAnsi="楷体" w:eastAsia="仿宋_GB2312"/>
          <w:sz w:val="28"/>
          <w:szCs w:val="28"/>
        </w:rPr>
        <w:t>建立</w:t>
      </w:r>
      <w:r>
        <w:rPr>
          <w:rFonts w:ascii="仿宋_GB2312" w:hAnsi="楷体" w:eastAsia="仿宋_GB2312"/>
          <w:sz w:val="28"/>
          <w:szCs w:val="28"/>
        </w:rPr>
        <w:t>劳动者维权服务大厅</w:t>
      </w:r>
      <w:r>
        <w:rPr>
          <w:rFonts w:hint="eastAsia" w:ascii="仿宋_GB2312" w:hAnsi="楷体" w:eastAsia="仿宋_GB2312"/>
          <w:sz w:val="28"/>
          <w:szCs w:val="28"/>
        </w:rPr>
        <w:t>，设置</w:t>
      </w:r>
      <w:r>
        <w:rPr>
          <w:rFonts w:ascii="仿宋_GB2312" w:hAnsi="楷体" w:eastAsia="仿宋_GB2312"/>
          <w:sz w:val="28"/>
          <w:szCs w:val="28"/>
        </w:rPr>
        <w:t>投诉举报窗口、维权接待室、律师接访室，并配备电脑、打印机、监控、电话</w:t>
      </w:r>
      <w:r>
        <w:rPr>
          <w:rFonts w:hint="eastAsia" w:ascii="仿宋_GB2312" w:hAnsi="楷体" w:eastAsia="仿宋_GB2312"/>
          <w:sz w:val="28"/>
          <w:szCs w:val="28"/>
        </w:rPr>
        <w:t>、执法记录仪</w:t>
      </w:r>
      <w:r>
        <w:rPr>
          <w:rFonts w:ascii="仿宋_GB2312" w:hAnsi="楷体" w:eastAsia="仿宋_GB2312"/>
          <w:sz w:val="28"/>
          <w:szCs w:val="28"/>
        </w:rPr>
        <w:t>等办公设备。在</w:t>
      </w:r>
      <w:r>
        <w:rPr>
          <w:rFonts w:hint="eastAsia" w:ascii="仿宋_GB2312" w:hAnsi="楷体" w:eastAsia="仿宋_GB2312"/>
          <w:sz w:val="28"/>
          <w:szCs w:val="28"/>
        </w:rPr>
        <w:t>窗口及</w:t>
      </w:r>
      <w:r>
        <w:rPr>
          <w:rFonts w:ascii="仿宋_GB2312" w:hAnsi="楷体" w:eastAsia="仿宋_GB2312"/>
          <w:sz w:val="28"/>
          <w:szCs w:val="28"/>
        </w:rPr>
        <w:t>办公醒目区域，悬挂劳动监察服务指南</w:t>
      </w:r>
      <w:r>
        <w:rPr>
          <w:rFonts w:hint="eastAsia" w:ascii="仿宋_GB2312" w:hAnsi="楷体" w:eastAsia="仿宋_GB2312"/>
          <w:sz w:val="28"/>
          <w:szCs w:val="28"/>
        </w:rPr>
        <w:t>、劳动保障监察举报投诉服务指南、劳动保障监察机构举报投诉接待处理流程图、劳动者欠薪维权温馨提示及劳动监察投诉受理材料和投诉举报申请书样式模板等指示牌，</w:t>
      </w:r>
      <w:r>
        <w:rPr>
          <w:rFonts w:ascii="仿宋_GB2312" w:hAnsi="楷体" w:eastAsia="仿宋_GB2312"/>
          <w:sz w:val="28"/>
          <w:szCs w:val="28"/>
        </w:rPr>
        <w:t>设置</w:t>
      </w:r>
      <w:r>
        <w:rPr>
          <w:rFonts w:hint="eastAsia" w:ascii="仿宋_GB2312" w:hAnsi="楷体" w:eastAsia="仿宋_GB2312"/>
          <w:sz w:val="28"/>
          <w:szCs w:val="28"/>
        </w:rPr>
        <w:t>饮水机、</w:t>
      </w:r>
      <w:r>
        <w:rPr>
          <w:rFonts w:ascii="仿宋_GB2312" w:hAnsi="楷体" w:eastAsia="仿宋_GB2312"/>
          <w:sz w:val="28"/>
          <w:szCs w:val="28"/>
        </w:rPr>
        <w:t>休息桌椅，为办事群众提供最全面最便利的条件。科室职责分明，配合有力，切实提高了劳动监察效率。为增强劳动监察的严肃性和公信力，全体劳动监察员办理了工作证，配有工作服，在执行公务时做到统一着装，严格按照《劳动劳动保障监察条例》，依法依规办理案件，在法定</w:t>
      </w:r>
      <w:r>
        <w:rPr>
          <w:rFonts w:hint="eastAsia" w:ascii="仿宋_GB2312" w:hAnsi="楷体" w:eastAsia="仿宋_GB2312"/>
          <w:sz w:val="28"/>
          <w:szCs w:val="28"/>
        </w:rPr>
        <w:t>权限</w:t>
      </w:r>
      <w:r>
        <w:rPr>
          <w:rFonts w:ascii="仿宋_GB2312" w:hAnsi="楷体" w:eastAsia="仿宋_GB2312"/>
          <w:sz w:val="28"/>
          <w:szCs w:val="28"/>
        </w:rPr>
        <w:t>内行使权力。</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楷体" w:hAnsi="楷体" w:eastAsia="楷体" w:cs="楷体"/>
          <w:sz w:val="28"/>
          <w:szCs w:val="28"/>
        </w:rPr>
      </w:pP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五</w:t>
      </w:r>
      <w:r>
        <w:rPr>
          <w:rFonts w:hint="eastAsia" w:ascii="楷体" w:hAnsi="楷体" w:eastAsia="楷体" w:cs="楷体"/>
          <w:sz w:val="28"/>
          <w:szCs w:val="28"/>
          <w:lang w:eastAsia="zh-CN"/>
        </w:rPr>
        <w:t>）</w:t>
      </w:r>
      <w:r>
        <w:rPr>
          <w:rFonts w:hint="eastAsia" w:ascii="楷体" w:hAnsi="楷体" w:eastAsia="楷体" w:cs="楷体"/>
          <w:sz w:val="28"/>
          <w:szCs w:val="28"/>
          <w:lang w:val="en-US" w:eastAsia="zh-CN"/>
        </w:rPr>
        <w:t>项目</w:t>
      </w:r>
      <w:r>
        <w:rPr>
          <w:rFonts w:hint="eastAsia" w:ascii="楷体" w:hAnsi="楷体" w:eastAsia="楷体" w:cs="楷体"/>
          <w:sz w:val="28"/>
          <w:szCs w:val="28"/>
        </w:rPr>
        <w:t>绩效目标</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仿宋_GB2312" w:hAnsi="楷体" w:eastAsia="仿宋_GB2312"/>
          <w:sz w:val="28"/>
          <w:szCs w:val="28"/>
        </w:rPr>
      </w:pPr>
      <w:r>
        <w:rPr>
          <w:rFonts w:hint="eastAsia" w:ascii="仿宋_GB2312" w:hAnsi="楷体" w:eastAsia="仿宋_GB2312"/>
          <w:sz w:val="28"/>
          <w:szCs w:val="28"/>
          <w:lang w:val="en-US" w:eastAsia="zh-CN"/>
        </w:rPr>
        <w:t>1.</w:t>
      </w:r>
      <w:r>
        <w:rPr>
          <w:rFonts w:hint="eastAsia" w:ascii="仿宋_GB2312" w:hAnsi="楷体" w:eastAsia="仿宋_GB2312"/>
          <w:sz w:val="28"/>
          <w:szCs w:val="28"/>
        </w:rPr>
        <w:t>总目标。负责建设、管理全区人力资源和社会保障信息网络，其中包括：网络费、初装费、设备维修费、软件维护费等相关工作经费。全区共有12个街道、103个社区。</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hint="eastAsia" w:ascii="仿宋_GB2312" w:hAnsi="楷体" w:eastAsia="仿宋_GB2312"/>
          <w:sz w:val="28"/>
          <w:szCs w:val="28"/>
          <w:lang w:val="en-US" w:eastAsia="zh-CN"/>
        </w:rPr>
        <w:t>2.</w:t>
      </w:r>
      <w:r>
        <w:rPr>
          <w:rFonts w:hint="eastAsia" w:ascii="仿宋_GB2312" w:hAnsi="楷体" w:eastAsia="仿宋_GB2312"/>
          <w:sz w:val="28"/>
          <w:szCs w:val="28"/>
        </w:rPr>
        <w:t>年度目标。完善劳动保障网络的建设，确保劳动平台业务工作的开展。劳动保障平台工作经费,网络通讯费：每条线路95元/每月*120台*12个月=136800元。</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ascii="Times New Roman" w:hAnsi="Times New Roman" w:eastAsia="黑体"/>
          <w:sz w:val="28"/>
          <w:szCs w:val="28"/>
        </w:rPr>
        <w:t>二、项目绩效评价工作情况</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hint="eastAsia" w:ascii="Times New Roman" w:hAnsi="Times New Roman" w:eastAsia="黑体"/>
          <w:sz w:val="28"/>
          <w:szCs w:val="28"/>
          <w:lang w:eastAsia="zh-CN"/>
        </w:rPr>
        <w:t>（</w:t>
      </w:r>
      <w:r>
        <w:rPr>
          <w:rFonts w:hint="eastAsia" w:ascii="Times New Roman" w:hAnsi="Times New Roman" w:eastAsia="黑体"/>
          <w:sz w:val="28"/>
          <w:szCs w:val="28"/>
          <w:lang w:val="en-US" w:eastAsia="zh-CN"/>
        </w:rPr>
        <w:t>一</w:t>
      </w:r>
      <w:r>
        <w:rPr>
          <w:rFonts w:hint="eastAsia" w:ascii="Times New Roman" w:hAnsi="Times New Roman" w:eastAsia="黑体"/>
          <w:sz w:val="28"/>
          <w:szCs w:val="28"/>
          <w:lang w:eastAsia="zh-CN"/>
        </w:rPr>
        <w:t>）</w:t>
      </w:r>
      <w:r>
        <w:rPr>
          <w:rFonts w:ascii="Times New Roman" w:hAnsi="Times New Roman" w:eastAsia="黑体"/>
          <w:sz w:val="28"/>
          <w:szCs w:val="28"/>
        </w:rPr>
        <w:t>绩效评价目的</w:t>
      </w:r>
      <w:r>
        <w:rPr>
          <w:rFonts w:ascii="Times New Roman" w:hAnsi="Times New Roman" w:eastAsia="黑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ascii="仿宋_GB2312" w:hAnsi="楷体" w:eastAsia="仿宋_GB2312"/>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bookmarkStart w:id="2" w:name="_Hlk100754381"/>
      <w:r>
        <w:rPr>
          <w:rFonts w:hint="eastAsia" w:ascii="Times New Roman" w:hAnsi="Times New Roman" w:eastAsia="黑体"/>
          <w:sz w:val="28"/>
          <w:szCs w:val="28"/>
          <w:lang w:eastAsia="zh-CN"/>
        </w:rPr>
        <w:t>（</w:t>
      </w:r>
      <w:r>
        <w:rPr>
          <w:rFonts w:hint="eastAsia" w:ascii="Times New Roman" w:hAnsi="Times New Roman" w:eastAsia="黑体"/>
          <w:sz w:val="28"/>
          <w:szCs w:val="28"/>
          <w:lang w:val="en-US" w:eastAsia="zh-CN"/>
        </w:rPr>
        <w:t>二</w:t>
      </w:r>
      <w:r>
        <w:rPr>
          <w:rFonts w:hint="eastAsia" w:ascii="Times New Roman" w:hAnsi="Times New Roman" w:eastAsia="黑体"/>
          <w:sz w:val="28"/>
          <w:szCs w:val="28"/>
          <w:lang w:eastAsia="zh-CN"/>
        </w:rPr>
        <w:t>）</w:t>
      </w:r>
      <w:r>
        <w:rPr>
          <w:rFonts w:ascii="Times New Roman" w:hAnsi="Times New Roman" w:eastAsia="黑体"/>
          <w:sz w:val="28"/>
          <w:szCs w:val="28"/>
        </w:rPr>
        <w:t>绩效评价工作方案制定过程</w:t>
      </w:r>
      <w:r>
        <w:rPr>
          <w:rFonts w:ascii="Times New Roman" w:hAnsi="Times New Roman" w:eastAsia="黑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从贯彻文件、摸清概况、制定流程等三个方面做好前期准备工作，厘清绩效自评工作总体思路，扎实打好自评基础工作。一是研学文件，组织自评组人员认真学习相关政策文件，包括绩效自评工作通知、相关资金管理办法等，吃透文件精神，做到心中有数，手中有尺。二是理清项目情况，与相关业务部门沟通联系，确定部门职责及目标完成情况。三是制定流程，明确具体评价内容、评价方法、工作步骤、人员分工等，提前准备资料清单和问卷调查访谈记录，科学安排，确保高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确保评价结果真实、准确、客观。除细致深入的对各类数据资料进行比对核实、将取得的测算依据与指标值逐项核对外，还对发现的问题进行分析研判，剖析问题原因及财政支出可能存在的风险点，提出进一步完善政策建议，更好地发挥政策效用</w:t>
      </w:r>
      <w:bookmarkEnd w:id="2"/>
      <w:r>
        <w:rPr>
          <w:rFonts w:hint="eastAsia" w:ascii="仿宋_GB2312" w:hAnsi="楷体" w:eastAsia="仿宋_GB2312"/>
          <w:sz w:val="28"/>
          <w:szCs w:val="28"/>
        </w:rPr>
        <w:t>。</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hint="eastAsia" w:ascii="Times New Roman" w:hAnsi="Times New Roman" w:eastAsia="黑体"/>
          <w:sz w:val="28"/>
          <w:szCs w:val="28"/>
        </w:rPr>
        <w:t>（</w:t>
      </w:r>
      <w:bookmarkStart w:id="3" w:name="_Hlk100754422"/>
      <w:r>
        <w:rPr>
          <w:rFonts w:hint="eastAsia" w:ascii="Times New Roman" w:hAnsi="Times New Roman" w:eastAsia="黑体"/>
          <w:sz w:val="28"/>
          <w:szCs w:val="28"/>
        </w:rPr>
        <w:t>三）</w:t>
      </w:r>
      <w:r>
        <w:rPr>
          <w:rFonts w:ascii="Times New Roman" w:hAnsi="Times New Roman" w:eastAsia="黑体"/>
          <w:sz w:val="28"/>
          <w:szCs w:val="28"/>
        </w:rPr>
        <w:t>绩效评价原则</w:t>
      </w:r>
      <w:r>
        <w:rPr>
          <w:rFonts w:hint="eastAsia" w:ascii="Times New Roman" w:hAnsi="Times New Roman" w:eastAsia="黑体"/>
          <w:sz w:val="28"/>
          <w:szCs w:val="28"/>
        </w:rPr>
        <w:t>、</w:t>
      </w:r>
      <w:r>
        <w:rPr>
          <w:rFonts w:ascii="Times New Roman" w:hAnsi="Times New Roman" w:eastAsia="黑体"/>
          <w:sz w:val="28"/>
          <w:szCs w:val="28"/>
        </w:rPr>
        <w:t>评价方法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根据《项目支出绩效评价管理办法》（财预〔2020〕10号）、《云南省省级财政支出预算绩效评价操作规程（试行）》（云财评审〔2016〕39号）、《昆明市盘龙区财政局关于开展2022年度区级预算支出绩效自评工作的通知》（盘财绩〔2023〕14号），本次评价指标体系参照“项目支出绩效评价共性指标体系框架”制定，遵循相关性原则、重要性原则、可比性原则、经济性原则和系统性原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本次绩效评价采用定量与定性相结合的评价方法，对收集的相关基础资料、各种技术系统取得的经济数据，在归集、整理、分析的基础上，运用资料审阅、分析比较法、公众问卷调查法等，系统、科学地反映项目综合绩效情况。具体评价方式如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（1）审阅资料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对制度、操作规程等资料进行认真审阅，核实相关工作是否按要求完成，评价完成的质量和效果，为评价提供依据；查阅部门整体及项目预算和决算、财务和统计报表、预算执行情况和分析报告等相关文件，分析研究资金管理、资金下达等文件，必要时，请相关人员做出说明，并对需要进一步调查的问题做好记录；检查资金拨付、兑付情况，查看资金收支凭证，关注项目资金是否专款专用、是否存在违规现象等。</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（2）分析比较法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依据资金拨付文件和凭证等，评价资金下拨及兑付情况；依据统计报表、决算报表等资料，对照资金实际完成内容，评价是否严格按照计划进行；依据相关政策文件，评价部门整体绩效管理是否按照相关管理办法执行；通过详细列举分析影响绩效目标实现的内外因素，将绩效目标与实施结果对比分析，评价绩效目标实现程度；将预期效益与实施效果对比分析，结合开展问卷调查和实地访谈，评价项目预期效益实现程度。</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hint="eastAsia" w:ascii="Times New Roman" w:hAnsi="Times New Roman" w:eastAsia="黑体"/>
          <w:sz w:val="28"/>
          <w:szCs w:val="28"/>
          <w:lang w:eastAsia="zh-CN"/>
        </w:rPr>
        <w:t>（</w:t>
      </w:r>
      <w:r>
        <w:rPr>
          <w:rFonts w:hint="eastAsia" w:ascii="Times New Roman" w:hAnsi="Times New Roman" w:eastAsia="黑体"/>
          <w:sz w:val="28"/>
          <w:szCs w:val="28"/>
          <w:lang w:val="en-US" w:eastAsia="zh-CN"/>
        </w:rPr>
        <w:t>四</w:t>
      </w:r>
      <w:r>
        <w:rPr>
          <w:rFonts w:hint="eastAsia" w:ascii="Times New Roman" w:hAnsi="Times New Roman" w:eastAsia="黑体"/>
          <w:sz w:val="28"/>
          <w:szCs w:val="28"/>
          <w:lang w:eastAsia="zh-CN"/>
        </w:rPr>
        <w:t>）</w:t>
      </w:r>
      <w:r>
        <w:rPr>
          <w:rFonts w:ascii="Times New Roman" w:hAnsi="Times New Roman" w:eastAsia="黑体"/>
          <w:sz w:val="28"/>
          <w:szCs w:val="28"/>
        </w:rPr>
        <w:t>绩效评价实施过程</w:t>
      </w:r>
      <w:r>
        <w:rPr>
          <w:rFonts w:ascii="Times New Roman" w:hAnsi="Times New Roman" w:eastAsia="黑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根据绩效评价工作方案对软件维护、设备维修质量，开展专项检查、日常巡查的工作情况，</w:t>
      </w:r>
      <w:r>
        <w:rPr>
          <w:rFonts w:ascii="仿宋_GB2312" w:hAnsi="楷体" w:eastAsia="仿宋_GB2312"/>
          <w:sz w:val="28"/>
          <w:szCs w:val="28"/>
        </w:rPr>
        <w:t>群体性突发事件的应急处置</w:t>
      </w:r>
      <w:r>
        <w:rPr>
          <w:rFonts w:hint="eastAsia" w:ascii="仿宋_GB2312" w:hAnsi="楷体" w:eastAsia="仿宋_GB2312"/>
          <w:sz w:val="28"/>
          <w:szCs w:val="28"/>
        </w:rPr>
        <w:t>情况等方面进行全方位的绩效评价，运用科学、合理的绩效评价指标、评价标准和评价方法，对财政支出进行客观、公正的评价。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评价过程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（1）前期准备阶段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为进一步提高项目绩效管理质量，根据盘龙区财政局下发的《昆明市盘龙区财政局关于开展2022年度区级预算支出绩效自评工作的通知》（盘财绩〔2023〕14号）明确了本次评价对象就流程。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（2）组织实</w:t>
      </w:r>
      <w:bookmarkStart w:id="9" w:name="_GoBack"/>
      <w:bookmarkEnd w:id="9"/>
      <w:r>
        <w:rPr>
          <w:rFonts w:hint="eastAsia" w:ascii="仿宋_GB2312" w:hAnsi="楷体" w:eastAsia="仿宋_GB2312"/>
          <w:sz w:val="28"/>
          <w:szCs w:val="28"/>
        </w:rPr>
        <w:t>施阶段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实施评价：根据项目自评的要求，项目成立了部门预算绩效评价工作小组，由负责人，小组成员配合完成，及时布置绩效评价工作，严密分工，明确要求。根据项目预期绩效目标设定的情况，审查有关对应的业务资料；根据项目预算安排情况，审查有关对应的收支财务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（3）报告撰写提交阶段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根据业务资料、财务资料，对履职效益和质量做出评判，最后相关工作成果由项目负责人汇总、形成评价结论并撰写自评报告，审核上报。</w:t>
      </w:r>
      <w:bookmarkEnd w:id="3"/>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Times New Roman" w:eastAsia="黑体"/>
          <w:sz w:val="28"/>
          <w:szCs w:val="28"/>
        </w:rPr>
        <w:t>三、绩效分析及评价结论</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hint="eastAsia" w:ascii="Times New Roman" w:hAnsi="Times New Roman" w:eastAsia="黑体"/>
          <w:sz w:val="28"/>
          <w:szCs w:val="28"/>
          <w:lang w:eastAsia="zh-CN"/>
        </w:rPr>
        <w:t>（</w:t>
      </w:r>
      <w:r>
        <w:rPr>
          <w:rFonts w:hint="eastAsia" w:ascii="Times New Roman" w:hAnsi="Times New Roman" w:eastAsia="黑体"/>
          <w:sz w:val="28"/>
          <w:szCs w:val="28"/>
          <w:lang w:val="en-US" w:eastAsia="zh-CN"/>
        </w:rPr>
        <w:t>一</w:t>
      </w:r>
      <w:r>
        <w:rPr>
          <w:rFonts w:hint="eastAsia" w:ascii="Times New Roman" w:hAnsi="Times New Roman" w:eastAsia="黑体"/>
          <w:sz w:val="28"/>
          <w:szCs w:val="28"/>
          <w:lang w:eastAsia="zh-CN"/>
        </w:rPr>
        <w:t>）</w:t>
      </w:r>
      <w:r>
        <w:rPr>
          <w:rFonts w:ascii="Times New Roman" w:hAnsi="Times New Roman" w:eastAsia="黑体"/>
          <w:sz w:val="28"/>
          <w:szCs w:val="28"/>
        </w:rPr>
        <w:t>评价结论</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 w:hAnsi="仿宋" w:eastAsia="仿宋"/>
          <w:sz w:val="28"/>
          <w:szCs w:val="28"/>
        </w:rPr>
      </w:pPr>
      <w:r>
        <w:rPr>
          <w:rFonts w:ascii="仿宋" w:hAnsi="仿宋" w:eastAsia="仿宋"/>
          <w:sz w:val="28"/>
          <w:szCs w:val="28"/>
        </w:rPr>
        <w:t>1.评价结果</w:t>
      </w:r>
    </w:p>
    <w:p>
      <w:pPr>
        <w:keepNext w:val="0"/>
        <w:keepLines w:val="0"/>
        <w:pageBreakBefore w:val="0"/>
        <w:widowControl w:val="0"/>
        <w:kinsoku/>
        <w:wordWrap/>
        <w:overflowPunct/>
        <w:autoSpaceDE/>
        <w:autoSpaceDN/>
        <w:bidi w:val="0"/>
        <w:adjustRightInd/>
        <w:snapToGrid/>
        <w:spacing w:line="440" w:lineRule="exact"/>
        <w:ind w:firstLine="560" w:firstLineChars="200"/>
        <w:textAlignment w:val="auto"/>
        <w:rPr>
          <w:rFonts w:ascii="仿宋" w:hAnsi="仿宋" w:eastAsia="仿宋"/>
          <w:szCs w:val="32"/>
        </w:rPr>
      </w:pPr>
      <w:bookmarkStart w:id="4" w:name="_Hlk100822058"/>
      <w:bookmarkStart w:id="5" w:name="_Hlk100754803"/>
      <w:bookmarkStart w:id="6" w:name="_Hlk514320632"/>
      <w:r>
        <w:rPr>
          <w:rFonts w:hint="eastAsia" w:ascii="仿宋" w:hAnsi="仿宋" w:eastAsia="仿宋"/>
          <w:sz w:val="28"/>
          <w:szCs w:val="28"/>
        </w:rPr>
        <w:t>盘龙区劳动保障监察大队工作经费项目绩效评价得分</w:t>
      </w:r>
      <w:r>
        <w:rPr>
          <w:rFonts w:hint="eastAsia" w:ascii="仿宋" w:hAnsi="仿宋" w:eastAsia="仿宋"/>
          <w:sz w:val="28"/>
          <w:szCs w:val="28"/>
          <w:highlight w:val="none"/>
        </w:rPr>
        <w:t>为</w:t>
      </w:r>
      <w:r>
        <w:rPr>
          <w:rFonts w:ascii="仿宋" w:hAnsi="仿宋" w:eastAsia="仿宋"/>
          <w:sz w:val="28"/>
          <w:szCs w:val="28"/>
          <w:highlight w:val="none"/>
        </w:rPr>
        <w:t>9</w:t>
      </w:r>
      <w:r>
        <w:rPr>
          <w:rFonts w:hint="eastAsia" w:ascii="仿宋" w:hAnsi="仿宋" w:eastAsia="仿宋"/>
          <w:sz w:val="28"/>
          <w:szCs w:val="28"/>
          <w:highlight w:val="none"/>
          <w:lang w:val="en-US" w:eastAsia="zh-CN"/>
        </w:rPr>
        <w:t>7</w:t>
      </w:r>
      <w:r>
        <w:rPr>
          <w:rFonts w:hint="eastAsia" w:ascii="仿宋" w:hAnsi="仿宋" w:eastAsia="仿宋"/>
          <w:sz w:val="28"/>
          <w:szCs w:val="28"/>
          <w:highlight w:val="none"/>
        </w:rPr>
        <w:t>分</w:t>
      </w:r>
      <w:r>
        <w:rPr>
          <w:rFonts w:hint="eastAsia" w:ascii="仿宋" w:hAnsi="仿宋" w:eastAsia="仿宋"/>
          <w:sz w:val="28"/>
          <w:szCs w:val="28"/>
        </w:rPr>
        <w:t>，评价等级为“优”。</w:t>
      </w:r>
      <w:bookmarkEnd w:id="4"/>
      <w:r>
        <w:rPr>
          <w:rFonts w:hint="eastAsia" w:ascii="仿宋" w:hAnsi="仿宋" w:eastAsia="仿宋"/>
          <w:sz w:val="28"/>
          <w:szCs w:val="28"/>
        </w:rPr>
        <w:t>一级指标具体得分情况详见下表：</w:t>
      </w:r>
    </w:p>
    <w:bookmarkEnd w:id="5"/>
    <w:tbl>
      <w:tblPr>
        <w:tblStyle w:val="10"/>
        <w:tblW w:w="8222" w:type="dxa"/>
        <w:tblInd w:w="0" w:type="dxa"/>
        <w:tblLayout w:type="fixed"/>
        <w:tblCellMar>
          <w:top w:w="0" w:type="dxa"/>
          <w:left w:w="108" w:type="dxa"/>
          <w:bottom w:w="0" w:type="dxa"/>
          <w:right w:w="108" w:type="dxa"/>
        </w:tblCellMar>
      </w:tblPr>
      <w:tblGrid>
        <w:gridCol w:w="2127"/>
        <w:gridCol w:w="2126"/>
        <w:gridCol w:w="2126"/>
        <w:gridCol w:w="1843"/>
      </w:tblGrid>
      <w:tr>
        <w:tblPrEx>
          <w:tblLayout w:type="fixed"/>
          <w:tblCellMar>
            <w:top w:w="0" w:type="dxa"/>
            <w:left w:w="108" w:type="dxa"/>
            <w:bottom w:w="0" w:type="dxa"/>
            <w:right w:w="108" w:type="dxa"/>
          </w:tblCellMar>
        </w:tblPrEx>
        <w:trPr>
          <w:trHeight w:val="640" w:hRule="atLeast"/>
        </w:trPr>
        <w:tc>
          <w:tcPr>
            <w:tcW w:w="8222" w:type="dxa"/>
            <w:gridSpan w:val="4"/>
            <w:tcBorders>
              <w:top w:val="nil"/>
              <w:left w:val="nil"/>
              <w:bottom w:val="nil"/>
              <w:right w:val="nil"/>
            </w:tcBorders>
            <w:shd w:val="clear" w:color="auto" w:fill="auto"/>
            <w:noWrap/>
            <w:vAlign w:val="center"/>
          </w:tcPr>
          <w:p>
            <w:pPr>
              <w:jc w:val="center"/>
              <w:rPr>
                <w:rFonts w:ascii="仿宋" w:hAnsi="仿宋" w:eastAsia="仿宋"/>
                <w:szCs w:val="32"/>
              </w:rPr>
            </w:pPr>
            <w:bookmarkStart w:id="7" w:name="_Hlk100754938"/>
            <w:r>
              <w:rPr>
                <w:rFonts w:hint="eastAsia" w:ascii="仿宋" w:hAnsi="仿宋" w:eastAsia="仿宋"/>
                <w:szCs w:val="32"/>
              </w:rPr>
              <w:t>绩效评价得分情况表</w:t>
            </w:r>
          </w:p>
        </w:tc>
      </w:tr>
      <w:tr>
        <w:tblPrEx>
          <w:tblLayout w:type="fixed"/>
          <w:tblCellMar>
            <w:top w:w="0" w:type="dxa"/>
            <w:left w:w="108" w:type="dxa"/>
            <w:bottom w:w="0" w:type="dxa"/>
            <w:right w:w="108" w:type="dxa"/>
          </w:tblCellMar>
        </w:tblPrEx>
        <w:trPr>
          <w:trHeight w:val="28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一级指标</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指标分值</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评价得分</w:t>
            </w: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得分率</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项目决策</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18</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90.00%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项目管理</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hint="default" w:ascii="仿宋" w:hAnsi="仿宋" w:eastAsia="仿宋"/>
                <w:szCs w:val="32"/>
                <w:lang w:val="en-US" w:eastAsia="zh-CN"/>
              </w:rPr>
            </w:pPr>
            <w:r>
              <w:rPr>
                <w:rFonts w:hint="eastAsia" w:ascii="仿宋" w:hAnsi="仿宋" w:eastAsia="仿宋"/>
                <w:szCs w:val="32"/>
                <w:lang w:val="en-US" w:eastAsia="zh-CN"/>
              </w:rPr>
              <w:t>19</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hint="eastAsia" w:ascii="仿宋" w:hAnsi="仿宋" w:eastAsia="仿宋"/>
                <w:szCs w:val="32"/>
                <w:lang w:val="en-US" w:eastAsia="zh-CN"/>
              </w:rPr>
              <w:t>95</w:t>
            </w:r>
            <w:r>
              <w:rPr>
                <w:rFonts w:ascii="仿宋" w:hAnsi="仿宋" w:eastAsia="仿宋"/>
                <w:szCs w:val="32"/>
              </w:rPr>
              <w:t>.00%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项目绩效</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合 计</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w:t>
            </w:r>
          </w:p>
        </w:tc>
        <w:tc>
          <w:tcPr>
            <w:tcW w:w="2126" w:type="dxa"/>
            <w:tcBorders>
              <w:top w:val="nil"/>
              <w:left w:val="nil"/>
              <w:bottom w:val="single" w:color="auto" w:sz="4" w:space="0"/>
              <w:right w:val="single" w:color="auto" w:sz="4" w:space="0"/>
            </w:tcBorders>
            <w:shd w:val="clear" w:color="auto" w:fill="auto"/>
          </w:tcPr>
          <w:p>
            <w:pPr>
              <w:jc w:val="center"/>
              <w:rPr>
                <w:rFonts w:hint="eastAsia" w:ascii="仿宋" w:hAnsi="仿宋" w:eastAsia="仿宋"/>
                <w:szCs w:val="32"/>
                <w:lang w:val="en-US" w:eastAsia="zh-CN"/>
              </w:rPr>
            </w:pPr>
            <w:r>
              <w:rPr>
                <w:rFonts w:ascii="仿宋" w:hAnsi="仿宋" w:eastAsia="仿宋"/>
                <w:szCs w:val="32"/>
              </w:rPr>
              <w:t>9</w:t>
            </w:r>
            <w:r>
              <w:rPr>
                <w:rFonts w:hint="eastAsia" w:ascii="仿宋" w:hAnsi="仿宋" w:eastAsia="仿宋"/>
                <w:szCs w:val="32"/>
                <w:lang w:val="en-US" w:eastAsia="zh-CN"/>
              </w:rPr>
              <w:t>7</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w:t>
            </w:r>
            <w:r>
              <w:rPr>
                <w:rFonts w:hint="eastAsia" w:ascii="仿宋" w:hAnsi="仿宋" w:eastAsia="仿宋"/>
                <w:szCs w:val="32"/>
                <w:lang w:val="en-US" w:eastAsia="zh-CN"/>
              </w:rPr>
              <w:t>7</w:t>
            </w:r>
            <w:r>
              <w:rPr>
                <w:rFonts w:ascii="仿宋" w:hAnsi="仿宋" w:eastAsia="仿宋"/>
                <w:szCs w:val="32"/>
              </w:rPr>
              <w:t>.00%</w:t>
            </w:r>
          </w:p>
        </w:tc>
      </w:tr>
      <w:bookmarkEnd w:id="6"/>
      <w:bookmarkEnd w:id="7"/>
    </w:tbl>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 w:hAnsi="仿宋" w:eastAsia="仿宋"/>
          <w:sz w:val="28"/>
          <w:szCs w:val="28"/>
        </w:rPr>
      </w:pPr>
      <w:r>
        <w:rPr>
          <w:rFonts w:ascii="仿宋" w:hAnsi="仿宋" w:eastAsia="仿宋"/>
          <w:sz w:val="28"/>
          <w:szCs w:val="28"/>
        </w:rPr>
        <w:t>2.主要绩效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仿宋" w:hAnsi="仿宋" w:eastAsia="仿宋"/>
          <w:sz w:val="28"/>
          <w:szCs w:val="28"/>
          <w:lang w:val="en-US" w:eastAsia="zh-CN"/>
        </w:rPr>
      </w:pPr>
      <w:r>
        <w:rPr>
          <w:rFonts w:hint="eastAsia" w:ascii="仿宋" w:hAnsi="仿宋" w:eastAsia="仿宋"/>
          <w:sz w:val="28"/>
          <w:szCs w:val="28"/>
        </w:rPr>
        <w:t>根据昆明市人力资源和社会保障局的工作要求，上下半年均按时完成昆明市乡镇（街道）、社区社会保障平台建设工作综合情况统计工作，摸清机构、人员、办公场地、经费、办公设备和开展工作情况。加强对各街道办事处、社区（村委会）劳动保障平台专线专网的使用维护，核对劳动保障专网专线使用情况的缴费，办理拆机、移机、装机、故障报修维护20余件，为全区12个街道、100个社区共112条专线支付使用费127</w:t>
      </w:r>
      <w:r>
        <w:rPr>
          <w:rFonts w:hint="eastAsia" w:ascii="仿宋" w:hAnsi="仿宋" w:eastAsia="仿宋"/>
          <w:sz w:val="28"/>
          <w:szCs w:val="28"/>
          <w:lang w:val="en-US" w:eastAsia="zh-CN"/>
        </w:rPr>
        <w:t>,</w:t>
      </w:r>
      <w:r>
        <w:rPr>
          <w:rFonts w:hint="eastAsia" w:ascii="仿宋" w:hAnsi="仿宋" w:eastAsia="仿宋"/>
          <w:sz w:val="28"/>
          <w:szCs w:val="28"/>
        </w:rPr>
        <w:t>870</w:t>
      </w:r>
      <w:r>
        <w:rPr>
          <w:rFonts w:hint="eastAsia" w:ascii="仿宋" w:hAnsi="仿宋" w:eastAsia="仿宋"/>
          <w:sz w:val="28"/>
          <w:szCs w:val="28"/>
          <w:lang w:val="en-US" w:eastAsia="zh-CN"/>
        </w:rPr>
        <w:t>.00</w:t>
      </w:r>
      <w:r>
        <w:rPr>
          <w:rFonts w:hint="eastAsia" w:ascii="仿宋" w:hAnsi="仿宋" w:eastAsia="仿宋"/>
          <w:sz w:val="28"/>
          <w:szCs w:val="28"/>
        </w:rPr>
        <w:t>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hint="eastAsia" w:ascii="Times New Roman" w:hAnsi="Times New Roman" w:eastAsia="黑体"/>
          <w:sz w:val="28"/>
          <w:szCs w:val="28"/>
          <w:lang w:eastAsia="zh-CN"/>
        </w:rPr>
        <w:t>（</w:t>
      </w:r>
      <w:r>
        <w:rPr>
          <w:rFonts w:hint="eastAsia" w:ascii="Times New Roman" w:hAnsi="Times New Roman" w:eastAsia="黑体"/>
          <w:sz w:val="28"/>
          <w:szCs w:val="28"/>
          <w:lang w:val="en-US" w:eastAsia="zh-CN"/>
        </w:rPr>
        <w:t>二</w:t>
      </w:r>
      <w:r>
        <w:rPr>
          <w:rFonts w:hint="eastAsia" w:ascii="Times New Roman" w:hAnsi="Times New Roman" w:eastAsia="黑体"/>
          <w:sz w:val="28"/>
          <w:szCs w:val="28"/>
          <w:lang w:eastAsia="zh-CN"/>
        </w:rPr>
        <w:t>）</w:t>
      </w:r>
      <w:r>
        <w:rPr>
          <w:rFonts w:hint="eastAsia" w:ascii="Times New Roman" w:hAnsi="Times New Roman" w:eastAsia="黑体"/>
          <w:sz w:val="28"/>
          <w:szCs w:val="28"/>
        </w:rPr>
        <w:t>具体</w:t>
      </w:r>
      <w:r>
        <w:rPr>
          <w:rFonts w:ascii="Times New Roman" w:hAnsi="Times New Roman" w:eastAsia="黑体"/>
          <w:sz w:val="28"/>
          <w:szCs w:val="28"/>
        </w:rPr>
        <w:t>绩效分析</w:t>
      </w:r>
      <w:r>
        <w:rPr>
          <w:rFonts w:ascii="Times New Roman" w:hAnsi="Times New Roman" w:eastAsia="黑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 w:hAnsi="仿宋" w:eastAsia="仿宋"/>
          <w:sz w:val="28"/>
          <w:szCs w:val="28"/>
        </w:rPr>
      </w:pPr>
      <w:r>
        <w:rPr>
          <w:rFonts w:hint="eastAsia" w:ascii="仿宋" w:hAnsi="仿宋" w:eastAsia="仿宋"/>
          <w:sz w:val="28"/>
          <w:szCs w:val="28"/>
          <w:lang w:val="en-US" w:eastAsia="zh-CN"/>
        </w:rPr>
        <w:t>劳动保障</w:t>
      </w:r>
      <w:r>
        <w:rPr>
          <w:rFonts w:hint="eastAsia" w:ascii="仿宋" w:hAnsi="仿宋" w:eastAsia="仿宋"/>
          <w:sz w:val="28"/>
          <w:szCs w:val="28"/>
        </w:rPr>
        <w:t>平台信息建设费绩效目标完成99%，大力加强基层信息平台建设，切实保障基层就业和社会保障平台的日常维护管理和安全运行。目前全区12个街道、100个社区共开通112条专线，因社区调整，新开通专线1条，拆机1条。通过持续不断的建设，各基层服务网点基本实现了社保业务全覆盖，相关业务市民不出社区即可办理，切实做到了“群众少跑腿、数据多跑路”，各基层平台年办理各类业务近60万人次。</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黑体" w:hAnsi="黑体" w:eastAsia="黑体"/>
          <w:sz w:val="28"/>
          <w:szCs w:val="28"/>
        </w:rPr>
      </w:pPr>
      <w:r>
        <w:rPr>
          <w:rFonts w:hint="eastAsia" w:ascii="黑体" w:hAnsi="黑体" w:eastAsia="黑体"/>
          <w:sz w:val="28"/>
          <w:szCs w:val="28"/>
        </w:rPr>
        <w:t>四、成本效益分析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hint="eastAsia" w:ascii="仿宋_GB2312" w:hAnsi="楷体" w:eastAsia="仿宋_GB2312"/>
          <w:sz w:val="28"/>
          <w:szCs w:val="28"/>
        </w:rPr>
        <w:t>劳动保障平台工作专项经费</w:t>
      </w:r>
      <w:r>
        <w:rPr>
          <w:rFonts w:hint="eastAsia" w:ascii="仿宋_GB2312" w:hAnsi="楷体" w:eastAsia="仿宋_GB2312"/>
          <w:sz w:val="28"/>
          <w:szCs w:val="28"/>
          <w:lang w:val="en-US" w:eastAsia="zh-CN"/>
        </w:rPr>
        <w:t>项目预算金额</w:t>
      </w:r>
      <w:r>
        <w:rPr>
          <w:rFonts w:hint="eastAsia" w:ascii="仿宋_GB2312" w:hAnsi="楷体" w:eastAsia="仿宋_GB2312"/>
          <w:sz w:val="28"/>
          <w:szCs w:val="28"/>
        </w:rPr>
        <w:t>136,800.00元</w:t>
      </w:r>
      <w:r>
        <w:rPr>
          <w:rFonts w:ascii="仿宋_GB2312" w:hAnsi="楷体" w:eastAsia="仿宋_GB2312"/>
          <w:sz w:val="28"/>
          <w:szCs w:val="28"/>
        </w:rPr>
        <w:t>，已使用</w:t>
      </w:r>
      <w:r>
        <w:rPr>
          <w:rFonts w:hint="eastAsia" w:ascii="仿宋_GB2312" w:hAnsi="楷体" w:eastAsia="仿宋_GB2312"/>
          <w:sz w:val="28"/>
          <w:szCs w:val="28"/>
        </w:rPr>
        <w:t>127,870.00</w:t>
      </w:r>
      <w:r>
        <w:rPr>
          <w:rFonts w:ascii="仿宋_GB2312" w:hAnsi="楷体" w:eastAsia="仿宋_GB2312"/>
          <w:sz w:val="28"/>
          <w:szCs w:val="28"/>
        </w:rPr>
        <w:t>元</w:t>
      </w:r>
      <w:r>
        <w:rPr>
          <w:rFonts w:hint="eastAsia" w:ascii="仿宋_GB2312" w:hAnsi="楷体" w:eastAsia="仿宋_GB2312"/>
          <w:sz w:val="28"/>
          <w:szCs w:val="28"/>
        </w:rPr>
        <w:t>，预算完成率</w:t>
      </w:r>
      <w:r>
        <w:rPr>
          <w:rFonts w:hint="eastAsia" w:ascii="仿宋_GB2312" w:hAnsi="楷体" w:eastAsia="仿宋_GB2312"/>
          <w:sz w:val="28"/>
          <w:szCs w:val="28"/>
          <w:lang w:val="en-US" w:eastAsia="zh-CN"/>
        </w:rPr>
        <w:t>93.47</w:t>
      </w:r>
      <w:r>
        <w:rPr>
          <w:rFonts w:ascii="仿宋_GB2312" w:hAnsi="楷体" w:eastAsia="仿宋_GB2312"/>
          <w:sz w:val="28"/>
          <w:szCs w:val="28"/>
        </w:rPr>
        <w:t>%</w:t>
      </w:r>
      <w:r>
        <w:rPr>
          <w:rFonts w:hint="eastAsia" w:ascii="仿宋_GB2312" w:hAnsi="楷体" w:eastAsia="仿宋_GB2312"/>
          <w:sz w:val="28"/>
          <w:szCs w:val="28"/>
          <w:lang w:eastAsia="zh-CN"/>
        </w:rPr>
        <w:t>，</w:t>
      </w:r>
      <w:r>
        <w:rPr>
          <w:rFonts w:hint="eastAsia" w:ascii="仿宋_GB2312" w:hAnsi="楷体" w:eastAsia="仿宋_GB2312"/>
          <w:sz w:val="28"/>
          <w:szCs w:val="28"/>
          <w:lang w:val="en-US" w:eastAsia="zh-CN"/>
        </w:rPr>
        <w:t>使用范围为邮电费</w:t>
      </w:r>
      <w:r>
        <w:rPr>
          <w:rFonts w:hint="eastAsia" w:ascii="仿宋" w:hAnsi="仿宋" w:eastAsia="仿宋"/>
          <w:sz w:val="28"/>
          <w:szCs w:val="28"/>
        </w:rPr>
        <w:t>。在工作经费使用过程中，严格按财经有关法律法规开支，切实加强财政资金的监督管理，严格按照预算内容和经费使用范围，自觉接受监督检查，确保工作经费专款专用。</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hint="eastAsia" w:ascii="Times New Roman" w:hAnsi="Times New Roman" w:eastAsia="黑体"/>
          <w:sz w:val="28"/>
          <w:szCs w:val="28"/>
        </w:rPr>
        <w:t>五</w:t>
      </w:r>
      <w:r>
        <w:rPr>
          <w:rFonts w:ascii="Times New Roman" w:hAnsi="Times New Roman" w:eastAsia="黑体"/>
          <w:sz w:val="28"/>
          <w:szCs w:val="28"/>
        </w:rPr>
        <w:t>、经验总结及存在问题、建议</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default" w:ascii="仿宋" w:hAnsi="仿宋" w:eastAsia="仿宋"/>
          <w:sz w:val="28"/>
          <w:szCs w:val="28"/>
          <w:lang w:val="en-US" w:eastAsia="zh-CN"/>
        </w:rPr>
      </w:pPr>
      <w:bookmarkStart w:id="8" w:name="_Hlk100751033"/>
      <w:r>
        <w:rPr>
          <w:rFonts w:hint="eastAsia" w:ascii="仿宋" w:hAnsi="仿宋" w:eastAsia="仿宋"/>
          <w:sz w:val="28"/>
          <w:szCs w:val="28"/>
        </w:rPr>
        <w:t>劳动保障平台工作专项经费立足实际，追求实效。根据昆明市人力资源和社会保障局的工作要求，按时完成昆明市乡镇（街道）、社区社会保障平台建设工作综合情况统计工作，摸清机构、人员、办公场地、经费、办公设备和开展工作情况。加强对各街道办事处、社区（村委会）劳动保障平台专线专网的使用维护。</w:t>
      </w:r>
      <w:r>
        <w:rPr>
          <w:rFonts w:hint="eastAsia" w:ascii="仿宋" w:hAnsi="仿宋" w:eastAsia="仿宋"/>
          <w:sz w:val="28"/>
          <w:szCs w:val="28"/>
          <w:lang w:val="en-US" w:eastAsia="zh-CN"/>
        </w:rPr>
        <w:t>2022年劳动保障平台工作专项经费预算完成率93.47%，今后将会继续改进。</w:t>
      </w:r>
    </w:p>
    <w:bookmarkEnd w:id="8"/>
    <w:p>
      <w:pPr>
        <w:keepNext w:val="0"/>
        <w:keepLines w:val="0"/>
        <w:pageBreakBefore w:val="0"/>
        <w:widowControl w:val="0"/>
        <w:kinsoku/>
        <w:wordWrap/>
        <w:overflowPunct/>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rPr>
      </w:pPr>
    </w:p>
    <w:p>
      <w:pPr>
        <w:keepNext w:val="0"/>
        <w:keepLines w:val="0"/>
        <w:pageBreakBefore w:val="0"/>
        <w:widowControl w:val="0"/>
        <w:kinsoku/>
        <w:wordWrap/>
        <w:overflowPunct/>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rPr>
      </w:pPr>
    </w:p>
    <w:p>
      <w:pPr>
        <w:keepNext w:val="0"/>
        <w:keepLines w:val="0"/>
        <w:pageBreakBefore w:val="0"/>
        <w:widowControl w:val="0"/>
        <w:kinsoku/>
        <w:wordWrap/>
        <w:overflowPunct/>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rPr>
      </w:pPr>
      <w:r>
        <w:rPr>
          <w:rFonts w:hint="eastAsia" w:ascii="Times New Roman" w:hAnsi="Times New Roman" w:eastAsia="方正小标宋_GBK"/>
          <w:sz w:val="28"/>
          <w:szCs w:val="28"/>
        </w:rPr>
        <w:t>绩效评价报告正文后附以下佐证材料</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方正小标宋_GBK"/>
          <w:sz w:val="28"/>
          <w:szCs w:val="28"/>
        </w:rPr>
      </w:pP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仿宋" w:hAnsi="仿宋" w:eastAsia="仿宋"/>
          <w:sz w:val="28"/>
          <w:szCs w:val="28"/>
        </w:rPr>
      </w:pPr>
      <w:r>
        <w:rPr>
          <w:rFonts w:hint="eastAsia" w:ascii="仿宋" w:hAnsi="仿宋" w:eastAsia="仿宋"/>
          <w:sz w:val="28"/>
          <w:szCs w:val="28"/>
          <w:lang w:val="en-US" w:eastAsia="zh-CN"/>
        </w:rPr>
        <w:t>1.</w:t>
      </w:r>
      <w:r>
        <w:rPr>
          <w:rFonts w:hint="eastAsia" w:ascii="仿宋" w:hAnsi="仿宋" w:eastAsia="仿宋"/>
          <w:sz w:val="28"/>
          <w:szCs w:val="28"/>
        </w:rPr>
        <w:t>项目支出绩效评价共性指标体系框架；</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2.劳动保障平台工作专项经费-项目申报书；</w:t>
      </w:r>
    </w:p>
    <w:p>
      <w:pPr>
        <w:keepNext w:val="0"/>
        <w:keepLines w:val="0"/>
        <w:pageBreakBefore w:val="0"/>
        <w:widowControl w:val="0"/>
        <w:kinsoku/>
        <w:wordWrap/>
        <w:overflowPunct/>
        <w:autoSpaceDE/>
        <w:autoSpaceDN/>
        <w:bidi w:val="0"/>
        <w:adjustRightInd/>
        <w:snapToGrid/>
        <w:spacing w:line="440" w:lineRule="exact"/>
        <w:ind w:firstLine="420" w:firstLineChars="200"/>
        <w:jc w:val="center"/>
        <w:textAlignment w:val="auto"/>
        <w:rPr>
          <w:rFonts w:ascii="Times New Roman" w:hAnsi="Times New Roman" w:eastAsia="方正小标宋_GBK"/>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92947"/>
    </w:sdtPr>
    <w:sdtContent>
      <w:p>
        <w:pPr>
          <w:pStyle w:val="7"/>
          <w:jc w:val="right"/>
        </w:pPr>
        <w:r>
          <w:rPr>
            <w:rFonts w:hint="eastAsia"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7</w:t>
        </w:r>
        <w:r>
          <w:rPr>
            <w:rFonts w:ascii="Times New Roman" w:hAnsi="Times New Roman"/>
            <w:sz w:val="28"/>
            <w:szCs w:val="28"/>
          </w:rPr>
          <w:fldChar w:fldCharType="end"/>
        </w:r>
        <w:r>
          <w:rPr>
            <w:rFonts w:hint="eastAsia" w:ascii="Times New Roman" w:hAnsi="Times New Roman"/>
            <w:sz w:val="28"/>
            <w:szCs w:val="28"/>
          </w:rPr>
          <w:t>—</w:t>
        </w: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92953"/>
    </w:sdtPr>
    <w:sdtContent>
      <w:p>
        <w:pPr>
          <w:pStyle w:val="7"/>
        </w:pPr>
        <w:r>
          <w:rPr>
            <w:rFonts w:hint="eastAsia"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8</w:t>
        </w:r>
        <w:r>
          <w:rPr>
            <w:rFonts w:ascii="Times New Roman" w:hAnsi="Times New Roman"/>
            <w:sz w:val="28"/>
            <w:szCs w:val="28"/>
          </w:rPr>
          <w:fldChar w:fldCharType="end"/>
        </w:r>
        <w:r>
          <w:rPr>
            <w:rFonts w:hint="eastAsia" w:ascii="Times New Roman" w:hAnsi="Times New Roman"/>
            <w:sz w:val="28"/>
            <w:szCs w:val="28"/>
          </w:rPr>
          <w:t>—</w:t>
        </w:r>
      </w:p>
    </w:sdtContent>
  </w:sdt>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jU2MzJhZDllMzY3MzFiYjIzZTcxZjlhYjM0M2NmMzMifQ=="/>
  </w:docVars>
  <w:rsids>
    <w:rsidRoot w:val="00172A27"/>
    <w:rsid w:val="000344E1"/>
    <w:rsid w:val="00055B0B"/>
    <w:rsid w:val="0005679A"/>
    <w:rsid w:val="00095BD0"/>
    <w:rsid w:val="000C3D9E"/>
    <w:rsid w:val="000C6551"/>
    <w:rsid w:val="000D3C74"/>
    <w:rsid w:val="00102788"/>
    <w:rsid w:val="00112075"/>
    <w:rsid w:val="00172A27"/>
    <w:rsid w:val="001B5FC9"/>
    <w:rsid w:val="00225B9B"/>
    <w:rsid w:val="00233BC3"/>
    <w:rsid w:val="00293D6C"/>
    <w:rsid w:val="002C4D37"/>
    <w:rsid w:val="002C5CDB"/>
    <w:rsid w:val="002F05AD"/>
    <w:rsid w:val="00331D6E"/>
    <w:rsid w:val="003541BB"/>
    <w:rsid w:val="00362280"/>
    <w:rsid w:val="00395684"/>
    <w:rsid w:val="00396E66"/>
    <w:rsid w:val="003D764F"/>
    <w:rsid w:val="003F5F89"/>
    <w:rsid w:val="00417CD9"/>
    <w:rsid w:val="00476C39"/>
    <w:rsid w:val="00490F39"/>
    <w:rsid w:val="0050687F"/>
    <w:rsid w:val="00525490"/>
    <w:rsid w:val="00543F5A"/>
    <w:rsid w:val="005A6251"/>
    <w:rsid w:val="005B3666"/>
    <w:rsid w:val="005E00F7"/>
    <w:rsid w:val="006032DF"/>
    <w:rsid w:val="0063127B"/>
    <w:rsid w:val="00663829"/>
    <w:rsid w:val="0067483F"/>
    <w:rsid w:val="0069721D"/>
    <w:rsid w:val="006A31C0"/>
    <w:rsid w:val="00740260"/>
    <w:rsid w:val="007774EF"/>
    <w:rsid w:val="007803B9"/>
    <w:rsid w:val="007E726B"/>
    <w:rsid w:val="00833063"/>
    <w:rsid w:val="008673AC"/>
    <w:rsid w:val="008933E7"/>
    <w:rsid w:val="008A7736"/>
    <w:rsid w:val="008F41F0"/>
    <w:rsid w:val="008F69C7"/>
    <w:rsid w:val="009127CA"/>
    <w:rsid w:val="00953A02"/>
    <w:rsid w:val="00992E15"/>
    <w:rsid w:val="009D2282"/>
    <w:rsid w:val="009D5416"/>
    <w:rsid w:val="009D60EC"/>
    <w:rsid w:val="00A43972"/>
    <w:rsid w:val="00A7219A"/>
    <w:rsid w:val="00A849D7"/>
    <w:rsid w:val="00AA78D8"/>
    <w:rsid w:val="00B11687"/>
    <w:rsid w:val="00B11A50"/>
    <w:rsid w:val="00B531AD"/>
    <w:rsid w:val="00B85C80"/>
    <w:rsid w:val="00BE27CE"/>
    <w:rsid w:val="00C76662"/>
    <w:rsid w:val="00CA7225"/>
    <w:rsid w:val="00CD2A65"/>
    <w:rsid w:val="00CF101C"/>
    <w:rsid w:val="00CF2F15"/>
    <w:rsid w:val="00D00D26"/>
    <w:rsid w:val="00D32A2F"/>
    <w:rsid w:val="00DA2FE5"/>
    <w:rsid w:val="00DA4217"/>
    <w:rsid w:val="00DF57B1"/>
    <w:rsid w:val="00E47A09"/>
    <w:rsid w:val="00E725B2"/>
    <w:rsid w:val="00EA4FFB"/>
    <w:rsid w:val="00FA439F"/>
    <w:rsid w:val="00FA6443"/>
    <w:rsid w:val="02917CF7"/>
    <w:rsid w:val="031A67DB"/>
    <w:rsid w:val="039E42A2"/>
    <w:rsid w:val="03A21826"/>
    <w:rsid w:val="040E1616"/>
    <w:rsid w:val="06532E6F"/>
    <w:rsid w:val="07C772C4"/>
    <w:rsid w:val="0A314B36"/>
    <w:rsid w:val="0B1727FB"/>
    <w:rsid w:val="0BD42732"/>
    <w:rsid w:val="0BE4744A"/>
    <w:rsid w:val="0CA7729E"/>
    <w:rsid w:val="0D0A7DBF"/>
    <w:rsid w:val="0D304021"/>
    <w:rsid w:val="0DFA55D1"/>
    <w:rsid w:val="0DFC545B"/>
    <w:rsid w:val="0E8C524D"/>
    <w:rsid w:val="0FC71A98"/>
    <w:rsid w:val="1085487A"/>
    <w:rsid w:val="118965FA"/>
    <w:rsid w:val="13742943"/>
    <w:rsid w:val="13B627BC"/>
    <w:rsid w:val="13DF12CA"/>
    <w:rsid w:val="141D4B80"/>
    <w:rsid w:val="15142D62"/>
    <w:rsid w:val="15261508"/>
    <w:rsid w:val="180723C1"/>
    <w:rsid w:val="1A1A4FF7"/>
    <w:rsid w:val="1AA23C89"/>
    <w:rsid w:val="1B361828"/>
    <w:rsid w:val="1B520DB0"/>
    <w:rsid w:val="1CEC7BE7"/>
    <w:rsid w:val="1D8D2573"/>
    <w:rsid w:val="1DE367E7"/>
    <w:rsid w:val="1DFE0D56"/>
    <w:rsid w:val="1EA919AB"/>
    <w:rsid w:val="1F372797"/>
    <w:rsid w:val="1FD30330"/>
    <w:rsid w:val="20245D00"/>
    <w:rsid w:val="21561561"/>
    <w:rsid w:val="24A72197"/>
    <w:rsid w:val="297B7FA2"/>
    <w:rsid w:val="2A942886"/>
    <w:rsid w:val="2AF51744"/>
    <w:rsid w:val="2C3D3125"/>
    <w:rsid w:val="2CD6639D"/>
    <w:rsid w:val="2E5C3FC8"/>
    <w:rsid w:val="2EA54153"/>
    <w:rsid w:val="2FF921CA"/>
    <w:rsid w:val="3043014F"/>
    <w:rsid w:val="32346EEE"/>
    <w:rsid w:val="32B4386B"/>
    <w:rsid w:val="32B82C64"/>
    <w:rsid w:val="33092DE9"/>
    <w:rsid w:val="34496B22"/>
    <w:rsid w:val="35851988"/>
    <w:rsid w:val="360F1D19"/>
    <w:rsid w:val="36444343"/>
    <w:rsid w:val="367138E0"/>
    <w:rsid w:val="36E55D90"/>
    <w:rsid w:val="37C01537"/>
    <w:rsid w:val="39381E27"/>
    <w:rsid w:val="3AC206F7"/>
    <w:rsid w:val="3B434EE8"/>
    <w:rsid w:val="3B786B7C"/>
    <w:rsid w:val="3CE9172D"/>
    <w:rsid w:val="3CED1638"/>
    <w:rsid w:val="3D8B691D"/>
    <w:rsid w:val="3FC108F5"/>
    <w:rsid w:val="3FF104C5"/>
    <w:rsid w:val="43804545"/>
    <w:rsid w:val="43E80A28"/>
    <w:rsid w:val="43F2133F"/>
    <w:rsid w:val="443707D7"/>
    <w:rsid w:val="443A39AE"/>
    <w:rsid w:val="447777A3"/>
    <w:rsid w:val="44B411B0"/>
    <w:rsid w:val="45341744"/>
    <w:rsid w:val="457C0654"/>
    <w:rsid w:val="4588349D"/>
    <w:rsid w:val="46A548FA"/>
    <w:rsid w:val="46AA2F9F"/>
    <w:rsid w:val="474F16CC"/>
    <w:rsid w:val="486F4970"/>
    <w:rsid w:val="492D463F"/>
    <w:rsid w:val="49477851"/>
    <w:rsid w:val="498B70B7"/>
    <w:rsid w:val="4BC44CCD"/>
    <w:rsid w:val="4C061F8B"/>
    <w:rsid w:val="4CD707A7"/>
    <w:rsid w:val="4CFF3C7D"/>
    <w:rsid w:val="4D2C0BB1"/>
    <w:rsid w:val="4E2B5584"/>
    <w:rsid w:val="4F146586"/>
    <w:rsid w:val="4FEB18C1"/>
    <w:rsid w:val="50103A72"/>
    <w:rsid w:val="523D4E1D"/>
    <w:rsid w:val="52824371"/>
    <w:rsid w:val="552C722C"/>
    <w:rsid w:val="55421135"/>
    <w:rsid w:val="582F5799"/>
    <w:rsid w:val="5A172A08"/>
    <w:rsid w:val="5AB81CD6"/>
    <w:rsid w:val="5B924F40"/>
    <w:rsid w:val="5C3C5FEB"/>
    <w:rsid w:val="5C78171D"/>
    <w:rsid w:val="5D497256"/>
    <w:rsid w:val="5D9277DC"/>
    <w:rsid w:val="5E27687B"/>
    <w:rsid w:val="5F3D0E43"/>
    <w:rsid w:val="5F511EF6"/>
    <w:rsid w:val="5F5E502C"/>
    <w:rsid w:val="5FD3079C"/>
    <w:rsid w:val="60066C30"/>
    <w:rsid w:val="60873533"/>
    <w:rsid w:val="61C76596"/>
    <w:rsid w:val="61CB22EF"/>
    <w:rsid w:val="61F06B3D"/>
    <w:rsid w:val="61F730E4"/>
    <w:rsid w:val="626A3B5D"/>
    <w:rsid w:val="647D152C"/>
    <w:rsid w:val="65452F08"/>
    <w:rsid w:val="658253BB"/>
    <w:rsid w:val="685C1EF3"/>
    <w:rsid w:val="68D777CC"/>
    <w:rsid w:val="69B3154C"/>
    <w:rsid w:val="6BDD159D"/>
    <w:rsid w:val="6BF84629"/>
    <w:rsid w:val="6C1D2E43"/>
    <w:rsid w:val="6C5C0714"/>
    <w:rsid w:val="6CAA65F9"/>
    <w:rsid w:val="6D744145"/>
    <w:rsid w:val="6DBE2EDF"/>
    <w:rsid w:val="6FF9271D"/>
    <w:rsid w:val="706E4681"/>
    <w:rsid w:val="710D7975"/>
    <w:rsid w:val="722F0678"/>
    <w:rsid w:val="724E4FA2"/>
    <w:rsid w:val="72C830E4"/>
    <w:rsid w:val="7357094A"/>
    <w:rsid w:val="75623FF9"/>
    <w:rsid w:val="76062932"/>
    <w:rsid w:val="7722255A"/>
    <w:rsid w:val="772909A3"/>
    <w:rsid w:val="77AD5425"/>
    <w:rsid w:val="77CA2933"/>
    <w:rsid w:val="780319CC"/>
    <w:rsid w:val="780D3A94"/>
    <w:rsid w:val="781866E4"/>
    <w:rsid w:val="79872B48"/>
    <w:rsid w:val="7A4F7AE2"/>
    <w:rsid w:val="7B54518E"/>
    <w:rsid w:val="7BC10333"/>
    <w:rsid w:val="7C541407"/>
    <w:rsid w:val="7D825AA2"/>
    <w:rsid w:val="7EE32353"/>
    <w:rsid w:val="7F4F0AE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rules v:ext="edit">
        <o:r id="V:Rule1" type="connector" idref="#_x0000_s1026"/>
        <o:r id="V:Rule2" type="connector" idref="#_x0000_s1027"/>
        <o:r id="V:Rule3" type="connector" idref="#_x0000_s1028"/>
        <o:r id="V:Rule4" type="connector" idref="#_x0000_s1029"/>
        <o:r id="V:Rule5" type="connector" idref="#_x0000_s1030"/>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16"/>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uiPriority w:val="1"/>
  </w:style>
  <w:style w:type="table" w:default="1" w:styleId="10">
    <w:name w:val="Normal Table"/>
    <w:semiHidden/>
    <w:unhideWhenUsed/>
    <w:uiPriority w:val="99"/>
    <w:tblPr>
      <w:tblLayout w:type="fixed"/>
      <w:tblCellMar>
        <w:top w:w="0" w:type="dxa"/>
        <w:left w:w="108" w:type="dxa"/>
        <w:bottom w:w="0" w:type="dxa"/>
        <w:right w:w="108" w:type="dxa"/>
      </w:tblCellMar>
    </w:tblPr>
  </w:style>
  <w:style w:type="paragraph" w:customStyle="1" w:styleId="2">
    <w:name w:val="Heading2"/>
    <w:basedOn w:val="3"/>
    <w:next w:val="3"/>
    <w:qFormat/>
    <w:uiPriority w:val="0"/>
    <w:pPr>
      <w:keepNext/>
      <w:keepLines/>
      <w:spacing w:line="413" w:lineRule="auto"/>
    </w:pPr>
    <w:rPr>
      <w:rFonts w:ascii="Arial" w:hAnsi="Arial" w:eastAsia="仿宋_GB2312"/>
      <w:b/>
    </w:rPr>
  </w:style>
  <w:style w:type="paragraph" w:customStyle="1" w:styleId="3">
    <w:name w:val="BodyText"/>
    <w:basedOn w:val="1"/>
    <w:qFormat/>
    <w:uiPriority w:val="0"/>
    <w:pPr>
      <w:spacing w:after="120" w:line="312" w:lineRule="atLeast"/>
    </w:pPr>
    <w:rPr>
      <w:rFonts w:ascii="宋体" w:hAnsi="宋体"/>
      <w:kern w:val="0"/>
      <w:szCs w:val="20"/>
    </w:rPr>
  </w:style>
  <w:style w:type="paragraph" w:styleId="5">
    <w:name w:val="annotation text"/>
    <w:basedOn w:val="1"/>
    <w:link w:val="21"/>
    <w:semiHidden/>
    <w:unhideWhenUsed/>
    <w:qFormat/>
    <w:uiPriority w:val="99"/>
    <w:pPr>
      <w:jc w:val="left"/>
    </w:pPr>
  </w:style>
  <w:style w:type="paragraph" w:styleId="6">
    <w:name w:val="Balloon Text"/>
    <w:basedOn w:val="1"/>
    <w:link w:val="20"/>
    <w:semiHidden/>
    <w:unhideWhenUsed/>
    <w:qFormat/>
    <w:uiPriority w:val="99"/>
    <w:rPr>
      <w:sz w:val="18"/>
      <w:szCs w:val="18"/>
    </w:rPr>
  </w:style>
  <w:style w:type="paragraph" w:styleId="7">
    <w:name w:val="footer"/>
    <w:basedOn w:val="1"/>
    <w:link w:val="19"/>
    <w:unhideWhenUsed/>
    <w:qFormat/>
    <w:uiPriority w:val="99"/>
    <w:pPr>
      <w:tabs>
        <w:tab w:val="center" w:pos="4153"/>
        <w:tab w:val="right" w:pos="8306"/>
      </w:tabs>
      <w:snapToGrid w:val="0"/>
      <w:jc w:val="left"/>
    </w:pPr>
    <w:rPr>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5"/>
    <w:next w:val="5"/>
    <w:link w:val="22"/>
    <w:semiHidden/>
    <w:unhideWhenUsed/>
    <w:qFormat/>
    <w:uiPriority w:val="99"/>
    <w:rPr>
      <w:b/>
      <w:bCs/>
    </w:rPr>
  </w:style>
  <w:style w:type="character" w:styleId="12">
    <w:name w:val="Emphasis"/>
    <w:basedOn w:val="11"/>
    <w:qFormat/>
    <w:uiPriority w:val="20"/>
    <w:rPr>
      <w:i/>
    </w:rPr>
  </w:style>
  <w:style w:type="character" w:styleId="13">
    <w:name w:val="annotation reference"/>
    <w:basedOn w:val="11"/>
    <w:semiHidden/>
    <w:unhideWhenUsed/>
    <w:qFormat/>
    <w:uiPriority w:val="99"/>
    <w:rPr>
      <w:sz w:val="21"/>
      <w:szCs w:val="21"/>
    </w:rPr>
  </w:style>
  <w:style w:type="paragraph" w:customStyle="1" w:styleId="14">
    <w:name w:val="TOC 标题1"/>
    <w:basedOn w:val="4"/>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5">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6">
    <w:name w:val="标题 1 字符"/>
    <w:basedOn w:val="11"/>
    <w:link w:val="4"/>
    <w:qFormat/>
    <w:uiPriority w:val="9"/>
    <w:rPr>
      <w:rFonts w:ascii="Calibri" w:hAnsi="Calibri" w:eastAsia="宋体" w:cs="Times New Roman"/>
      <w:b/>
      <w:bCs/>
      <w:kern w:val="44"/>
      <w:sz w:val="44"/>
      <w:szCs w:val="44"/>
    </w:rPr>
  </w:style>
  <w:style w:type="paragraph" w:styleId="17">
    <w:name w:val="List Paragraph"/>
    <w:basedOn w:val="1"/>
    <w:qFormat/>
    <w:uiPriority w:val="34"/>
    <w:pPr>
      <w:ind w:firstLine="420" w:firstLineChars="200"/>
    </w:pPr>
  </w:style>
  <w:style w:type="character" w:customStyle="1" w:styleId="18">
    <w:name w:val="页眉 字符"/>
    <w:basedOn w:val="11"/>
    <w:link w:val="8"/>
    <w:qFormat/>
    <w:uiPriority w:val="99"/>
    <w:rPr>
      <w:rFonts w:ascii="Calibri" w:hAnsi="Calibri" w:eastAsia="宋体" w:cs="Times New Roman"/>
      <w:sz w:val="18"/>
      <w:szCs w:val="18"/>
    </w:rPr>
  </w:style>
  <w:style w:type="character" w:customStyle="1" w:styleId="19">
    <w:name w:val="页脚 字符"/>
    <w:basedOn w:val="11"/>
    <w:link w:val="7"/>
    <w:qFormat/>
    <w:uiPriority w:val="99"/>
    <w:rPr>
      <w:rFonts w:ascii="Calibri" w:hAnsi="Calibri" w:eastAsia="宋体" w:cs="Times New Roman"/>
      <w:sz w:val="18"/>
      <w:szCs w:val="18"/>
    </w:rPr>
  </w:style>
  <w:style w:type="character" w:customStyle="1" w:styleId="20">
    <w:name w:val="批注框文本 字符"/>
    <w:basedOn w:val="11"/>
    <w:link w:val="6"/>
    <w:semiHidden/>
    <w:qFormat/>
    <w:uiPriority w:val="99"/>
    <w:rPr>
      <w:rFonts w:ascii="Calibri" w:hAnsi="Calibri"/>
      <w:kern w:val="2"/>
      <w:sz w:val="18"/>
      <w:szCs w:val="18"/>
    </w:rPr>
  </w:style>
  <w:style w:type="character" w:customStyle="1" w:styleId="21">
    <w:name w:val="批注文字 字符"/>
    <w:basedOn w:val="11"/>
    <w:link w:val="5"/>
    <w:semiHidden/>
    <w:qFormat/>
    <w:uiPriority w:val="99"/>
    <w:rPr>
      <w:rFonts w:ascii="Calibri" w:hAnsi="Calibri"/>
      <w:kern w:val="2"/>
      <w:sz w:val="21"/>
      <w:szCs w:val="22"/>
    </w:rPr>
  </w:style>
  <w:style w:type="character" w:customStyle="1" w:styleId="22">
    <w:name w:val="批注主题 字符"/>
    <w:basedOn w:val="21"/>
    <w:link w:val="9"/>
    <w:semiHidden/>
    <w:qFormat/>
    <w:uiPriority w:val="99"/>
    <w:rPr>
      <w:rFonts w:ascii="Calibri" w:hAnsi="Calibr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27"/>
    <customShpInfo spid="_x0000_s1028"/>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1963409-27C5-4057-8D9F-033BEDB7E6B3}">
  <ds:schemaRefs/>
</ds:datastoreItem>
</file>

<file path=docProps/app.xml><?xml version="1.0" encoding="utf-8"?>
<Properties xmlns="http://schemas.openxmlformats.org/officeDocument/2006/extended-properties" xmlns:vt="http://schemas.openxmlformats.org/officeDocument/2006/docPropsVTypes">
  <Template>Normal</Template>
  <Pages>10</Pages>
  <Words>1007</Words>
  <Characters>5744</Characters>
  <Lines>47</Lines>
  <Paragraphs>13</Paragraphs>
  <TotalTime>9</TotalTime>
  <ScaleCrop>false</ScaleCrop>
  <LinksUpToDate>false</LinksUpToDate>
  <CharactersWithSpaces>6738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2019-02-18T06:17:00Z</dcterms:created>
  <dc:creator>Administrator</dc:creator>
  <cp:lastModifiedBy>Administrator</cp:lastModifiedBy>
  <cp:lastPrinted>2021-05-17T07:06:00Z</cp:lastPrinted>
  <dcterms:modified xsi:type="dcterms:W3CDTF">2023-04-20T06:25:59Z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DF7347F2D521432D914DA1CA43451540</vt:lpwstr>
  </property>
</Properties>
</file>