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CFFFF"/>
  <w:body>
    <w:p>
      <w:pPr>
        <w:spacing w:before="120" w:after="120" w:line="480" w:lineRule="auto"/>
        <w:jc w:val="center"/>
        <w:rPr>
          <w:rFonts w:ascii="Times New Roman" w:hAnsi="Times New Roman" w:eastAsia="黑体"/>
          <w:b/>
          <w:bCs/>
          <w:sz w:val="52"/>
          <w:szCs w:val="52"/>
        </w:rPr>
      </w:pPr>
    </w:p>
    <w:p>
      <w:pPr>
        <w:jc w:val="center"/>
        <w:rPr>
          <w:rFonts w:hint="eastAsia" w:ascii="Times New Roman" w:hAnsi="黑体" w:eastAsia="黑体"/>
          <w:bCs/>
          <w:sz w:val="52"/>
          <w:szCs w:val="52"/>
        </w:rPr>
      </w:pPr>
      <w:r>
        <w:rPr>
          <w:rFonts w:hint="eastAsia" w:ascii="Times New Roman" w:hAnsi="黑体" w:eastAsia="黑体"/>
          <w:bCs/>
          <w:sz w:val="52"/>
          <w:szCs w:val="52"/>
        </w:rPr>
        <w:t>社会保险基金安全评估工作专项</w:t>
      </w:r>
    </w:p>
    <w:p>
      <w:pPr>
        <w:jc w:val="center"/>
        <w:rPr>
          <w:rFonts w:hint="default" w:ascii="Times New Roman" w:hAnsi="Times New Roman" w:eastAsia="黑体"/>
          <w:bCs/>
          <w:sz w:val="52"/>
          <w:szCs w:val="52"/>
          <w:lang w:val="en-US" w:eastAsia="zh-CN"/>
        </w:rPr>
      </w:pPr>
      <w:r>
        <w:rPr>
          <w:rFonts w:hint="eastAsia" w:ascii="Times New Roman" w:hAnsi="黑体" w:eastAsia="黑体"/>
          <w:bCs/>
          <w:sz w:val="52"/>
          <w:szCs w:val="52"/>
        </w:rPr>
        <w:t>经费</w:t>
      </w:r>
      <w:r>
        <w:rPr>
          <w:rFonts w:hint="eastAsia" w:ascii="Times New Roman" w:hAnsi="黑体" w:eastAsia="黑体"/>
          <w:bCs/>
          <w:sz w:val="52"/>
          <w:szCs w:val="52"/>
          <w:lang w:val="en-US" w:eastAsia="zh-CN"/>
        </w:rPr>
        <w:t>绩效自评报告</w:t>
      </w:r>
    </w:p>
    <w:p>
      <w:pPr>
        <w:jc w:val="center"/>
        <w:rPr>
          <w:rFonts w:ascii="Times New Roman" w:hAnsi="Times New Roman" w:eastAsia="黑体"/>
          <w:bCs/>
          <w:sz w:val="52"/>
          <w:szCs w:val="52"/>
        </w:rPr>
      </w:pPr>
      <w:r>
        <w:rPr>
          <w:rFonts w:ascii="Times New Roman" w:hAnsi="黑体" w:eastAsia="黑体"/>
          <w:bCs/>
          <w:sz w:val="52"/>
          <w:szCs w:val="52"/>
        </w:rPr>
        <w:t>（</w:t>
      </w:r>
      <w:r>
        <w:rPr>
          <w:rFonts w:ascii="Times New Roman" w:hAnsi="Times New Roman" w:eastAsia="黑体"/>
          <w:bCs/>
          <w:sz w:val="52"/>
          <w:szCs w:val="52"/>
        </w:rPr>
        <w:t>20</w:t>
      </w:r>
      <w:r>
        <w:rPr>
          <w:rFonts w:hint="eastAsia" w:ascii="Times New Roman" w:hAnsi="Times New Roman" w:eastAsia="黑体"/>
          <w:bCs/>
          <w:sz w:val="52"/>
          <w:szCs w:val="52"/>
        </w:rPr>
        <w:t>2</w:t>
      </w:r>
      <w:r>
        <w:rPr>
          <w:rFonts w:hint="eastAsia" w:ascii="Times New Roman" w:hAnsi="Times New Roman" w:eastAsia="黑体"/>
          <w:bCs/>
          <w:sz w:val="52"/>
          <w:szCs w:val="52"/>
          <w:lang w:val="en-US" w:eastAsia="zh-CN"/>
        </w:rPr>
        <w:t>2</w:t>
      </w:r>
      <w:r>
        <w:rPr>
          <w:rFonts w:ascii="Times New Roman" w:hAnsi="黑体" w:eastAsia="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自选图形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2"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XqXKDXAAAACQEAAA8A&#10;AAAAAAAAAQAgAAAAIgAAAGRycy9kb3ducmV2LnhtbFBLAQIUABQAAAAIAIdO4kAPOGTs3wEAAKMD&#10;AAAOAAAAAAAAAAEAIAAAACYBAABkcnMvZTJvRG9jLnhtbFBLBQYAAAAABgAGAFkBAAB3BQAAAAA=&#10;">
                <v:fill on="f" focussize="0,0"/>
                <v:stroke color="#000000" joinstyle="round"/>
                <v:imagedata o:title=""/>
                <o:lock v:ext="edit" aspectratio="f"/>
              </v:shape>
            </w:pict>
          </mc:Fallback>
        </mc:AlternateContent>
      </w:r>
      <w:r>
        <w:rPr>
          <w:rFonts w:ascii="Times New Roman" w:hAnsi="Times New Roman" w:eastAsia="黑体"/>
          <w:b/>
          <w:bCs/>
          <w:sz w:val="28"/>
          <w:szCs w:val="28"/>
        </w:rPr>
        <w:t>部门名称（公章）：盘龙区人力资源和社会保障局</w:t>
      </w:r>
    </w:p>
    <w:p>
      <w:pPr>
        <w:adjustRightInd w:val="0"/>
        <w:snapToGrid w:val="0"/>
        <w:spacing w:line="360" w:lineRule="auto"/>
        <w:ind w:left="1260" w:leftChars="600"/>
        <w:rPr>
          <w:rFonts w:ascii="Times New Roman" w:hAnsi="Times New Roman" w:eastAsia="黑体"/>
          <w:b/>
          <w:bCs/>
          <w:sz w:val="28"/>
          <w:szCs w:val="28"/>
          <w:highlight w:val="non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3152775" cy="0"/>
                <wp:effectExtent l="0" t="0" r="0" b="0"/>
                <wp:wrapNone/>
                <wp:docPr id="2" name="自选图形 3"/>
                <wp:cNvGraphicFramePr/>
                <a:graphic xmlns:a="http://schemas.openxmlformats.org/drawingml/2006/main">
                  <a:graphicData uri="http://schemas.microsoft.com/office/word/2010/wordprocessingShape">
                    <wps:wsp>
                      <wps:cNvCnPr/>
                      <wps:spPr>
                        <a:xfrm>
                          <a:off x="0" y="0"/>
                          <a:ext cx="31527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35pt;margin-top:17.45pt;height:0pt;width:248.25pt;z-index:251660288;mso-width-relative:page;mso-height-relative:page;" filled="f" stroked="t" coordsize="21600,21600" o:gfxdata="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Z+9hU2AAAAAkBAAAP&#10;AAAAAAAAAAEAIAAAACIAAABkcnMvZG93bnJldi54bWxQSwECFAAUAAAACACHTuJAlpPyU98BAACj&#10;AwAADgAAAAAAAAABACAAAAAnAQAAZHJzL2Uyb0RvYy54bWxQSwUGAAAAAAYABgBZAQAAeAUAAAAA&#10;">
                <v:fill on="f" focussize="0,0"/>
                <v:stroke color="#000000" joinstyle="round"/>
                <v:imagedata o:title=""/>
                <o:lock v:ext="edit" aspectratio="f"/>
              </v:shape>
            </w:pict>
          </mc:Fallback>
        </mc:AlternateContent>
      </w:r>
      <w:r>
        <w:rPr>
          <w:rFonts w:ascii="Times New Roman" w:hAnsi="Times New Roman" w:eastAsia="黑体"/>
          <w:b/>
          <w:bCs/>
          <w:sz w:val="28"/>
          <w:szCs w:val="28"/>
        </w:rPr>
        <w:t>项目单位：</w:t>
      </w:r>
      <w:r>
        <w:rPr>
          <w:rFonts w:hint="eastAsia" w:ascii="Times New Roman" w:hAnsi="Times New Roman" w:eastAsia="黑体"/>
          <w:b/>
          <w:bCs/>
          <w:sz w:val="28"/>
          <w:szCs w:val="28"/>
          <w:highlight w:val="none"/>
        </w:rPr>
        <w:t>社会保险基金监督科</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3152775" cy="0"/>
                <wp:effectExtent l="0" t="0" r="0" b="0"/>
                <wp:wrapNone/>
                <wp:docPr id="3" name="自选图形 4"/>
                <wp:cNvGraphicFramePr/>
                <a:graphic xmlns:a="http://schemas.openxmlformats.org/drawingml/2006/main">
                  <a:graphicData uri="http://schemas.microsoft.com/office/word/2010/wordprocessingShape">
                    <wps:wsp>
                      <wps:cNvCnPr/>
                      <wps:spPr>
                        <a:xfrm>
                          <a:off x="0" y="0"/>
                          <a:ext cx="31527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4" o:spid="_x0000_s1026" o:spt="32" type="#_x0000_t32" style="position:absolute;left:0pt;margin-left:135pt;margin-top:14.25pt;height:0pt;width:248.25pt;z-index:251661312;mso-width-relative:page;mso-height-relative:page;" filled="f" stroked="t" coordsize="21600,21600" o:gfxdata="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RunCP1wAAAAkBAAAP&#10;AAAAAAAAAAEAIAAAACIAAABkcnMvZG93bnJldi54bWxQSwECFAAUAAAACACHTuJA23WLceABAACj&#10;AwAADgAAAAAAAAABACAAAAAmAQAAZHJzL2Uyb0RvYy54bWxQSwUGAAAAAAYABgBZAQAAeAUAAAAA&#10;">
                <v:fill on="f" focussize="0,0"/>
                <v:stroke color="#000000" joinstyle="round"/>
                <v:imagedata o:title=""/>
                <o:lock v:ext="edit" aspectratio="f"/>
              </v:shape>
            </w:pict>
          </mc:Fallback>
        </mc:AlternateContent>
      </w:r>
      <w:r>
        <w:rPr>
          <w:rFonts w:ascii="Times New Roman" w:hAnsi="Times New Roman" w:eastAsia="黑体"/>
          <w:b/>
          <w:bCs/>
          <w:sz w:val="28"/>
          <w:szCs w:val="28"/>
        </w:rPr>
        <w:t>主管部门：</w:t>
      </w:r>
    </w:p>
    <w:p>
      <w:pPr>
        <w:adjustRightInd w:val="0"/>
        <w:snapToGrid w:val="0"/>
        <w:spacing w:line="360" w:lineRule="auto"/>
        <w:ind w:left="2730" w:leftChars="600" w:hanging="1470" w:hangingChars="700"/>
        <w:rPr>
          <w:rFonts w:ascii="Times New Roman" w:hAnsi="Times New Roman" w:eastAsia="黑体"/>
          <w:b/>
          <w:bCs/>
          <w:sz w:val="28"/>
          <w:szCs w:val="28"/>
        </w:rPr>
      </w:pPr>
      <w:r>
        <w:rPr>
          <w:rFonts w:ascii="Times New Roman" w:hAnsi="Times New Roman"/>
        </w:rPr>
        <mc:AlternateContent>
          <mc:Choice Requires="wps">
            <w:drawing>
              <wp:anchor distT="0" distB="0" distL="114300" distR="114300" simplePos="0" relativeHeight="251662336" behindDoc="0" locked="0" layoutInCell="1" allowOverlap="1">
                <wp:simplePos x="0" y="0"/>
                <wp:positionH relativeFrom="column">
                  <wp:posOffset>1691005</wp:posOffset>
                </wp:positionH>
                <wp:positionV relativeFrom="paragraph">
                  <wp:posOffset>208915</wp:posOffset>
                </wp:positionV>
                <wp:extent cx="3176270" cy="10160"/>
                <wp:effectExtent l="0" t="4445" r="11430" b="10795"/>
                <wp:wrapNone/>
                <wp:docPr id="4" name="自选图形 5"/>
                <wp:cNvGraphicFramePr/>
                <a:graphic xmlns:a="http://schemas.openxmlformats.org/drawingml/2006/main">
                  <a:graphicData uri="http://schemas.microsoft.com/office/word/2010/wordprocessingShape">
                    <wps:wsp>
                      <wps:cNvCnPr/>
                      <wps:spPr>
                        <a:xfrm>
                          <a:off x="0" y="0"/>
                          <a:ext cx="3176270" cy="1016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5" o:spid="_x0000_s1026" o:spt="32" type="#_x0000_t32" style="position:absolute;left:0pt;margin-left:133.15pt;margin-top:16.45pt;height:0.8pt;width:250.1pt;z-index:251662336;mso-width-relative:page;mso-height-relative:page;" filled="f" stroked="t" coordsize="21600,21600" o:gfxdata="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G79H7YAAAA&#10;CQEAAA8AAAAAAAAAAQAgAAAAIgAAAGRycy9kb3ducmV2LnhtbFBLAQIUABQAAAAIAIdO4kD5aPCm&#10;5AEAAKcDAAAOAAAAAAAAAAEAIAAAACcBAABkcnMvZTJvRG9jLnhtbFBLBQYAAAAABgAGAFkBAAB9&#10;BQAAAAA=&#10;">
                <v:fill on="f" focussize="0,0"/>
                <v:stroke color="#000000" joinstyle="round"/>
                <v:imagedata o:title=""/>
                <o:lock v:ext="edit" aspectratio="f"/>
              </v:shape>
            </w:pict>
          </mc:Fallback>
        </mc:AlternateContent>
      </w:r>
      <w:r>
        <w:rPr>
          <w:rFonts w:ascii="Times New Roman" w:hAnsi="Times New Roman" w:eastAsia="黑体"/>
          <w:b/>
          <w:bCs/>
          <w:sz w:val="28"/>
          <w:szCs w:val="28"/>
        </w:rPr>
        <w:t>项目名称：</w:t>
      </w:r>
      <w:r>
        <w:rPr>
          <w:rFonts w:hint="eastAsia" w:ascii="Times New Roman" w:hAnsi="Times New Roman" w:eastAsia="黑体"/>
          <w:b/>
          <w:bCs/>
          <w:sz w:val="28"/>
          <w:szCs w:val="28"/>
        </w:rPr>
        <w:t>社会保险基金安全评估工作专项经费</w:t>
      </w:r>
    </w:p>
    <w:p>
      <w:pPr>
        <w:adjustRightInd w:val="0"/>
        <w:snapToGrid w:val="0"/>
        <w:spacing w:line="360" w:lineRule="auto"/>
        <w:ind w:left="2730" w:leftChars="600" w:hanging="1470" w:hangingChars="700"/>
        <w:rPr>
          <w:rFonts w:ascii="Times New Roman" w:hAnsi="Times New Roman" w:eastAsia="黑体"/>
          <w:b/>
          <w:bCs/>
          <w:sz w:val="28"/>
          <w:szCs w:val="28"/>
        </w:rPr>
      </w:pP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228600</wp:posOffset>
                </wp:positionV>
                <wp:extent cx="3152775" cy="0"/>
                <wp:effectExtent l="0" t="0" r="0" b="0"/>
                <wp:wrapNone/>
                <wp:docPr id="6" name="自选图形 6"/>
                <wp:cNvGraphicFramePr/>
                <a:graphic xmlns:a="http://schemas.openxmlformats.org/drawingml/2006/main">
                  <a:graphicData uri="http://schemas.microsoft.com/office/word/2010/wordprocessingShape">
                    <wps:wsp>
                      <wps:cNvCnPr/>
                      <wps:spPr>
                        <a:xfrm>
                          <a:off x="0" y="0"/>
                          <a:ext cx="31527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6" o:spid="_x0000_s1026" o:spt="32" type="#_x0000_t32" style="position:absolute;left:0pt;margin-left:135pt;margin-top:18pt;height:0pt;width:248.25pt;z-index:251663360;mso-width-relative:page;mso-height-relative:page;" filled="f" stroked="t" coordsize="21600,21600" o:gfxdata="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MXRR/2AAAAAkBAAAP&#10;AAAAAAAAAAEAIAAAACIAAABkcnMvZG93bnJldi54bWxQSwECFAAUAAAACACHTuJAm8P5Dd8BAACj&#10;AwAADgAAAAAAAAABACAAAAAnAQAAZHJzL2Uyb0RvYy54bWxQSwUGAAAAAAYABgBZAQAAeAUAAAAA&#10;">
                <v:fill on="f" focussize="0,0"/>
                <v:stroke color="#000000" joinstyle="round"/>
                <v:imagedata o:title=""/>
                <o:lock v:ext="edit" aspectratio="f"/>
              </v:shape>
            </w:pict>
          </mc:Fallback>
        </mc:AlternateContent>
      </w:r>
      <w:r>
        <w:rPr>
          <w:rFonts w:ascii="Times New Roman" w:hAnsi="Times New Roman" w:eastAsia="黑体"/>
          <w:b/>
          <w:bCs/>
          <w:sz w:val="28"/>
          <w:szCs w:val="28"/>
        </w:rPr>
        <w:t>绩效自评日期：202</w:t>
      </w:r>
      <w:r>
        <w:rPr>
          <w:rFonts w:hint="eastAsia" w:ascii="Times New Roman" w:hAnsi="Times New Roman" w:eastAsia="黑体"/>
          <w:b/>
          <w:bCs/>
          <w:sz w:val="28"/>
          <w:szCs w:val="28"/>
          <w:lang w:val="en-US" w:eastAsia="zh-CN"/>
        </w:rPr>
        <w:t>3</w:t>
      </w:r>
      <w:r>
        <w:rPr>
          <w:rFonts w:ascii="Times New Roman" w:hAnsi="Times New Roman" w:eastAsia="黑体"/>
          <w:b/>
          <w:bCs/>
          <w:sz w:val="28"/>
          <w:szCs w:val="28"/>
        </w:rPr>
        <w:t>年</w:t>
      </w:r>
      <w:r>
        <w:rPr>
          <w:rFonts w:hint="eastAsia" w:ascii="Times New Roman" w:hAnsi="Times New Roman" w:eastAsia="黑体"/>
          <w:b/>
          <w:bCs/>
          <w:sz w:val="28"/>
          <w:szCs w:val="28"/>
          <w:lang w:val="en-US" w:eastAsia="zh-CN"/>
        </w:rPr>
        <w:t>4</w:t>
      </w:r>
      <w:r>
        <w:rPr>
          <w:rFonts w:ascii="Times New Roman" w:hAnsi="Times New Roman" w:eastAsia="黑体"/>
          <w:b/>
          <w:bCs/>
          <w:sz w:val="28"/>
          <w:szCs w:val="28"/>
        </w:rPr>
        <w:t>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202</w:t>
      </w:r>
      <w:r>
        <w:rPr>
          <w:rFonts w:hint="eastAsia" w:ascii="Times New Roman" w:hAnsi="Times New Roman" w:eastAsia="黑体"/>
          <w:b/>
          <w:bCs/>
          <w:sz w:val="28"/>
          <w:szCs w:val="28"/>
          <w:lang w:val="en-US" w:eastAsia="zh-CN"/>
        </w:rPr>
        <w:t>3</w:t>
      </w:r>
      <w:r>
        <w:rPr>
          <w:rFonts w:ascii="Times New Roman" w:hAnsi="Times New Roman" w:eastAsia="黑体"/>
          <w:b/>
          <w:bCs/>
          <w:sz w:val="28"/>
          <w:szCs w:val="28"/>
        </w:rPr>
        <w:t>年</w:t>
      </w:r>
      <w:r>
        <w:rPr>
          <w:rFonts w:hint="eastAsia" w:ascii="Times New Roman" w:hAnsi="Times New Roman" w:eastAsia="黑体"/>
          <w:b/>
          <w:bCs/>
          <w:sz w:val="28"/>
          <w:szCs w:val="28"/>
          <w:lang w:val="en-US" w:eastAsia="zh-CN"/>
        </w:rPr>
        <w:t>4</w:t>
      </w:r>
      <w:r>
        <w:rPr>
          <w:rFonts w:ascii="Times New Roman" w:hAnsi="Times New Roman" w:eastAsia="黑体"/>
          <w:b/>
          <w:bCs/>
          <w:sz w:val="28"/>
          <w:szCs w:val="28"/>
        </w:rPr>
        <w:t>月</w:t>
      </w: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widowControl/>
        <w:jc w:val="left"/>
        <w:rPr>
          <w:rFonts w:ascii="Times New Roman" w:hAnsi="Times New Roman" w:eastAsia="仿宋_GB2312"/>
          <w:b/>
          <w:bCs/>
          <w:sz w:val="28"/>
          <w:szCs w:val="28"/>
        </w:rPr>
        <w:sectPr>
          <w:footerReference r:id="rId5" w:type="first"/>
          <w:headerReference r:id="rId3" w:type="default"/>
          <w:footerReference r:id="rId4" w:type="default"/>
          <w:pgSz w:w="11906" w:h="16838"/>
          <w:pgMar w:top="1440" w:right="1800" w:bottom="1440" w:left="1800" w:header="851" w:footer="992" w:gutter="0"/>
          <w:cols w:space="425" w:num="1"/>
          <w:titlePg/>
          <w:docGrid w:type="lines" w:linePitch="312" w:charSpace="0"/>
        </w:sectPr>
      </w:pPr>
    </w:p>
    <w:p>
      <w:pPr>
        <w:pStyle w:val="13"/>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1020"/>
        <w:gridCol w:w="2930"/>
        <w:gridCol w:w="1270"/>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1"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评价小组</w:t>
            </w:r>
          </w:p>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机构职位</w:t>
            </w:r>
          </w:p>
        </w:tc>
        <w:tc>
          <w:tcPr>
            <w:tcW w:w="1020"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姓名</w:t>
            </w:r>
          </w:p>
        </w:tc>
        <w:tc>
          <w:tcPr>
            <w:tcW w:w="2930"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职务/职称</w:t>
            </w:r>
          </w:p>
        </w:tc>
        <w:tc>
          <w:tcPr>
            <w:tcW w:w="1270"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所属</w:t>
            </w:r>
          </w:p>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单位/处室</w:t>
            </w:r>
          </w:p>
        </w:tc>
        <w:tc>
          <w:tcPr>
            <w:tcW w:w="1621"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261" w:type="dxa"/>
            <w:vAlign w:val="center"/>
          </w:tcPr>
          <w:p>
            <w:pPr>
              <w:pStyle w:val="13"/>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组长</w:t>
            </w:r>
          </w:p>
        </w:tc>
        <w:tc>
          <w:tcPr>
            <w:tcW w:w="1020" w:type="dxa"/>
            <w:vAlign w:val="center"/>
          </w:tcPr>
          <w:p>
            <w:pPr>
              <w:pStyle w:val="13"/>
              <w:widowControl w:val="0"/>
              <w:spacing w:after="0" w:line="240" w:lineRule="auto"/>
              <w:jc w:val="both"/>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李平原</w:t>
            </w:r>
          </w:p>
        </w:tc>
        <w:tc>
          <w:tcPr>
            <w:tcW w:w="2930" w:type="dxa"/>
            <w:vAlign w:val="center"/>
          </w:tcPr>
          <w:p>
            <w:pPr>
              <w:pStyle w:val="13"/>
              <w:widowControl w:val="0"/>
              <w:spacing w:after="0" w:line="240" w:lineRule="auto"/>
              <w:jc w:val="both"/>
              <w:rPr>
                <w:rFonts w:ascii="Times New Roman" w:hAnsi="Times New Roman" w:eastAsia="黑体" w:cs="Times New Roman"/>
                <w:kern w:val="2"/>
                <w:sz w:val="24"/>
                <w:szCs w:val="24"/>
                <w:highlight w:val="none"/>
                <w:lang w:val="zh-TW"/>
              </w:rPr>
            </w:pPr>
            <w:r>
              <w:rPr>
                <w:rFonts w:ascii="Times New Roman" w:hAnsi="Times New Roman" w:eastAsia="黑体" w:cs="Times New Roman"/>
                <w:kern w:val="2"/>
                <w:sz w:val="24"/>
                <w:szCs w:val="24"/>
                <w:highlight w:val="none"/>
                <w:lang w:val="zh-TW"/>
              </w:rPr>
              <w:t>局长</w:t>
            </w:r>
          </w:p>
        </w:tc>
        <w:tc>
          <w:tcPr>
            <w:tcW w:w="1270" w:type="dxa"/>
          </w:tcPr>
          <w:p>
            <w:pPr>
              <w:pStyle w:val="13"/>
              <w:widowControl w:val="0"/>
              <w:spacing w:after="0" w:line="240" w:lineRule="auto"/>
              <w:jc w:val="both"/>
              <w:rPr>
                <w:rFonts w:ascii="Times New Roman" w:hAnsi="Times New Roman" w:eastAsia="黑体" w:cs="Times New Roman"/>
                <w:kern w:val="2"/>
                <w:sz w:val="24"/>
                <w:szCs w:val="24"/>
                <w:lang w:val="zh-TW" w:eastAsia="zh-TW"/>
              </w:rPr>
            </w:pPr>
          </w:p>
        </w:tc>
        <w:tc>
          <w:tcPr>
            <w:tcW w:w="1621" w:type="dxa"/>
          </w:tcPr>
          <w:p>
            <w:pPr>
              <w:pStyle w:val="13"/>
              <w:widowControl w:val="0"/>
              <w:spacing w:after="0" w:line="24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261" w:type="dxa"/>
            <w:vAlign w:val="center"/>
          </w:tcPr>
          <w:p>
            <w:pPr>
              <w:pStyle w:val="13"/>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副组长</w:t>
            </w:r>
          </w:p>
        </w:tc>
        <w:tc>
          <w:tcPr>
            <w:tcW w:w="1020" w:type="dxa"/>
          </w:tcPr>
          <w:p>
            <w:pPr>
              <w:pStyle w:val="13"/>
              <w:widowControl w:val="0"/>
              <w:spacing w:after="0" w:line="360" w:lineRule="auto"/>
              <w:jc w:val="both"/>
              <w:rPr>
                <w:rFonts w:ascii="Times New Roman" w:hAnsi="Times New Roman" w:eastAsia="黑体" w:cs="Times New Roman"/>
                <w:kern w:val="2"/>
                <w:sz w:val="24"/>
                <w:szCs w:val="24"/>
                <w:highlight w:val="none"/>
                <w:lang w:val="zh-TW"/>
              </w:rPr>
            </w:pPr>
            <w:r>
              <w:rPr>
                <w:rFonts w:hint="eastAsia" w:ascii="Times New Roman" w:hAnsi="Times New Roman" w:eastAsia="黑体" w:cs="Times New Roman"/>
                <w:kern w:val="2"/>
                <w:sz w:val="24"/>
                <w:szCs w:val="24"/>
                <w:highlight w:val="none"/>
                <w:lang w:val="zh-TW"/>
              </w:rPr>
              <w:t>惠捍卫</w:t>
            </w:r>
          </w:p>
        </w:tc>
        <w:tc>
          <w:tcPr>
            <w:tcW w:w="2930" w:type="dxa"/>
          </w:tcPr>
          <w:p>
            <w:pPr>
              <w:pStyle w:val="13"/>
              <w:widowControl w:val="0"/>
              <w:spacing w:after="0" w:line="360" w:lineRule="auto"/>
              <w:jc w:val="both"/>
              <w:rPr>
                <w:rFonts w:ascii="Times New Roman" w:hAnsi="Times New Roman" w:eastAsia="黑体" w:cs="Times New Roman"/>
                <w:kern w:val="2"/>
                <w:sz w:val="24"/>
                <w:szCs w:val="24"/>
                <w:highlight w:val="none"/>
                <w:lang w:val="zh-TW"/>
              </w:rPr>
            </w:pPr>
            <w:r>
              <w:rPr>
                <w:rFonts w:ascii="Times New Roman" w:hAnsi="Times New Roman" w:eastAsia="黑体" w:cs="Times New Roman"/>
                <w:kern w:val="2"/>
                <w:sz w:val="24"/>
                <w:szCs w:val="24"/>
                <w:highlight w:val="none"/>
                <w:lang w:val="zh-TW"/>
              </w:rPr>
              <w:t>副局长</w:t>
            </w:r>
          </w:p>
        </w:tc>
        <w:tc>
          <w:tcPr>
            <w:tcW w:w="1270"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261" w:type="dxa"/>
            <w:vAlign w:val="center"/>
          </w:tcPr>
          <w:p>
            <w:pPr>
              <w:pStyle w:val="13"/>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成员</w:t>
            </w:r>
          </w:p>
        </w:tc>
        <w:tc>
          <w:tcPr>
            <w:tcW w:w="1020" w:type="dxa"/>
          </w:tcPr>
          <w:p>
            <w:pPr>
              <w:pStyle w:val="13"/>
              <w:widowControl w:val="0"/>
              <w:spacing w:after="0" w:line="360" w:lineRule="auto"/>
              <w:jc w:val="both"/>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朱俊峰</w:t>
            </w:r>
          </w:p>
        </w:tc>
        <w:tc>
          <w:tcPr>
            <w:tcW w:w="2930" w:type="dxa"/>
          </w:tcPr>
          <w:p>
            <w:pPr>
              <w:pStyle w:val="13"/>
              <w:widowControl w:val="0"/>
              <w:spacing w:after="0" w:line="360" w:lineRule="auto"/>
              <w:jc w:val="both"/>
              <w:rPr>
                <w:rFonts w:ascii="Times New Roman" w:hAnsi="Times New Roman" w:eastAsia="黑体" w:cs="Times New Roman"/>
                <w:kern w:val="2"/>
                <w:sz w:val="24"/>
                <w:szCs w:val="24"/>
                <w:highlight w:val="none"/>
                <w:lang w:val="zh-TW"/>
              </w:rPr>
            </w:pPr>
            <w:r>
              <w:rPr>
                <w:rFonts w:hint="eastAsia" w:ascii="Times New Roman" w:hAnsi="Times New Roman" w:eastAsia="黑体" w:cs="Times New Roman"/>
                <w:kern w:val="2"/>
                <w:sz w:val="24"/>
                <w:szCs w:val="24"/>
                <w:highlight w:val="none"/>
                <w:lang w:val="zh-TW"/>
              </w:rPr>
              <w:t>社会保险基金监督科科长</w:t>
            </w:r>
          </w:p>
        </w:tc>
        <w:tc>
          <w:tcPr>
            <w:tcW w:w="1270"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261" w:type="dxa"/>
            <w:vAlign w:val="center"/>
          </w:tcPr>
          <w:p>
            <w:pPr>
              <w:pStyle w:val="13"/>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w:t>
            </w:r>
          </w:p>
        </w:tc>
        <w:tc>
          <w:tcPr>
            <w:tcW w:w="1020" w:type="dxa"/>
          </w:tcPr>
          <w:p>
            <w:pPr>
              <w:pStyle w:val="13"/>
              <w:widowControl w:val="0"/>
              <w:spacing w:after="0" w:line="360" w:lineRule="auto"/>
              <w:jc w:val="both"/>
              <w:rPr>
                <w:rFonts w:ascii="Times New Roman" w:hAnsi="Times New Roman" w:eastAsia="黑体" w:cs="Times New Roman"/>
                <w:kern w:val="2"/>
                <w:sz w:val="24"/>
                <w:szCs w:val="24"/>
                <w:highlight w:val="none"/>
              </w:rPr>
            </w:pPr>
            <w:r>
              <w:rPr>
                <w:rFonts w:hint="eastAsia" w:ascii="Times New Roman" w:hAnsi="Times New Roman" w:eastAsia="黑体" w:cs="Times New Roman"/>
                <w:kern w:val="2"/>
                <w:sz w:val="24"/>
                <w:szCs w:val="24"/>
                <w:highlight w:val="none"/>
              </w:rPr>
              <w:t>杨涵</w:t>
            </w:r>
          </w:p>
        </w:tc>
        <w:tc>
          <w:tcPr>
            <w:tcW w:w="2930" w:type="dxa"/>
          </w:tcPr>
          <w:p>
            <w:pPr>
              <w:pStyle w:val="13"/>
              <w:widowControl w:val="0"/>
              <w:spacing w:after="0" w:line="360" w:lineRule="auto"/>
              <w:jc w:val="both"/>
              <w:rPr>
                <w:rFonts w:ascii="Times New Roman" w:hAnsi="Times New Roman" w:eastAsia="黑体" w:cs="Times New Roman"/>
                <w:kern w:val="2"/>
                <w:sz w:val="24"/>
                <w:szCs w:val="24"/>
                <w:highlight w:val="none"/>
                <w:lang w:val="zh-TW"/>
              </w:rPr>
            </w:pPr>
            <w:r>
              <w:rPr>
                <w:rFonts w:ascii="Times New Roman" w:hAnsi="Times New Roman" w:eastAsia="黑体" w:cs="Times New Roman"/>
                <w:kern w:val="2"/>
                <w:sz w:val="24"/>
                <w:szCs w:val="24"/>
                <w:highlight w:val="none"/>
                <w:lang w:val="zh-TW"/>
              </w:rPr>
              <w:t>局行办财务</w:t>
            </w:r>
          </w:p>
        </w:tc>
        <w:tc>
          <w:tcPr>
            <w:tcW w:w="1270"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13"/>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3"/>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报告撰写人（签字）：</w:t>
            </w:r>
          </w:p>
          <w:p>
            <w:pPr>
              <w:pStyle w:val="13"/>
              <w:widowControl w:val="0"/>
              <w:spacing w:after="0" w:line="360" w:lineRule="auto"/>
              <w:jc w:val="both"/>
              <w:rPr>
                <w:rFonts w:ascii="Times New Roman" w:hAnsi="Times New Roman" w:eastAsia="黑体" w:cs="Times New Roman"/>
                <w:kern w:val="2"/>
                <w:sz w:val="24"/>
                <w:szCs w:val="24"/>
                <w:lang w:val="zh-TW"/>
              </w:rPr>
            </w:pPr>
          </w:p>
          <w:p>
            <w:pPr>
              <w:pStyle w:val="13"/>
              <w:widowControl w:val="0"/>
              <w:spacing w:after="0" w:line="360" w:lineRule="auto"/>
              <w:jc w:val="both"/>
              <w:rPr>
                <w:rFonts w:ascii="Times New Roman" w:hAnsi="Times New Roman" w:eastAsia="黑体" w:cs="Times New Roman"/>
                <w:kern w:val="2"/>
                <w:sz w:val="24"/>
                <w:szCs w:val="24"/>
                <w:lang w:val="zh-TW"/>
              </w:rPr>
            </w:pPr>
          </w:p>
          <w:p>
            <w:pPr>
              <w:pStyle w:val="13"/>
              <w:widowControl w:val="0"/>
              <w:wordWrap w:val="0"/>
              <w:spacing w:after="0" w:line="360" w:lineRule="auto"/>
              <w:jc w:val="right"/>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3"/>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评价工作负责人（签字）：</w:t>
            </w:r>
          </w:p>
          <w:p>
            <w:pPr>
              <w:pStyle w:val="13"/>
              <w:widowControl w:val="0"/>
              <w:spacing w:after="0" w:line="360" w:lineRule="auto"/>
              <w:jc w:val="both"/>
              <w:rPr>
                <w:rFonts w:ascii="Times New Roman" w:hAnsi="Times New Roman" w:eastAsia="黑体" w:cs="Times New Roman"/>
                <w:kern w:val="2"/>
                <w:sz w:val="24"/>
                <w:szCs w:val="24"/>
                <w:lang w:val="zh-TW"/>
              </w:rPr>
            </w:pPr>
          </w:p>
          <w:p>
            <w:pPr>
              <w:pStyle w:val="13"/>
              <w:widowControl w:val="0"/>
              <w:spacing w:after="0" w:line="360" w:lineRule="auto"/>
              <w:jc w:val="both"/>
              <w:rPr>
                <w:rFonts w:ascii="Times New Roman" w:hAnsi="Times New Roman" w:eastAsia="黑体" w:cs="Times New Roman"/>
                <w:kern w:val="2"/>
                <w:sz w:val="24"/>
                <w:szCs w:val="24"/>
                <w:lang w:val="zh-TW"/>
              </w:rPr>
            </w:pPr>
          </w:p>
          <w:p>
            <w:pPr>
              <w:pStyle w:val="13"/>
              <w:widowControl w:val="0"/>
              <w:wordWrap w:val="0"/>
              <w:spacing w:after="0" w:line="360" w:lineRule="auto"/>
              <w:jc w:val="right"/>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日</w:t>
            </w:r>
          </w:p>
        </w:tc>
      </w:tr>
    </w:tbl>
    <w:p>
      <w:pPr>
        <w:pStyle w:val="13"/>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3"/>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ind w:firstLine="640" w:firstLineChars="200"/>
        <w:jc w:val="center"/>
        <w:rPr>
          <w:rFonts w:ascii="Times New Roman" w:hAnsi="Times New Roman" w:eastAsia="黑体"/>
          <w:sz w:val="32"/>
          <w:szCs w:val="32"/>
        </w:rPr>
      </w:pPr>
      <w:r>
        <w:rPr>
          <w:rFonts w:ascii="Times New Roman" w:hAnsi="黑体" w:eastAsia="黑体"/>
          <w:sz w:val="32"/>
          <w:szCs w:val="32"/>
        </w:rPr>
        <w:t>目录</w:t>
      </w:r>
    </w:p>
    <w:p>
      <w:pPr>
        <w:spacing w:line="440" w:lineRule="exact"/>
        <w:ind w:firstLine="420" w:firstLineChars="200"/>
        <w:jc w:val="left"/>
        <w:rPr>
          <w:rFonts w:ascii="Times New Roman" w:hAnsi="Times New Roman" w:eastAsia="黑体"/>
          <w:szCs w:val="32"/>
        </w:rPr>
      </w:pP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摘要</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一、项目基本情况</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（一）项目立项背景</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（二）项目实施情况</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（三）资金来源及使用情况</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黑体" w:eastAsia="黑体"/>
          <w:szCs w:val="32"/>
        </w:rPr>
      </w:pPr>
      <w:r>
        <w:rPr>
          <w:rFonts w:hint="eastAsia" w:ascii="Times New Roman" w:hAnsi="黑体" w:eastAsia="黑体"/>
          <w:szCs w:val="32"/>
        </w:rPr>
        <w:t>（四）项目绩效目标</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二、绩效评价工作情况</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一</w:t>
      </w:r>
      <w:r>
        <w:rPr>
          <w:rFonts w:hint="eastAsia" w:ascii="Times New Roman" w:hAnsi="Times New Roman" w:eastAsia="黑体"/>
          <w:szCs w:val="32"/>
          <w:lang w:eastAsia="zh-CN"/>
        </w:rPr>
        <w:t>）</w:t>
      </w:r>
      <w:r>
        <w:rPr>
          <w:rFonts w:ascii="Times New Roman" w:hAnsi="黑体" w:eastAsia="黑体"/>
          <w:szCs w:val="32"/>
        </w:rPr>
        <w:t>评价的目的</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二</w:t>
      </w:r>
      <w:r>
        <w:rPr>
          <w:rFonts w:hint="eastAsia" w:ascii="Times New Roman" w:hAnsi="Times New Roman" w:eastAsia="黑体"/>
          <w:szCs w:val="32"/>
          <w:lang w:eastAsia="zh-CN"/>
        </w:rPr>
        <w:t>）</w:t>
      </w:r>
      <w:r>
        <w:rPr>
          <w:rFonts w:ascii="Times New Roman" w:hAnsi="黑体" w:eastAsia="黑体"/>
          <w:szCs w:val="32"/>
        </w:rPr>
        <w:t>绩效评价原则</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三、评价结论及绩效分析</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一</w:t>
      </w:r>
      <w:r>
        <w:rPr>
          <w:rFonts w:hint="eastAsia" w:ascii="Times New Roman" w:hAnsi="Times New Roman" w:eastAsia="黑体"/>
          <w:szCs w:val="32"/>
          <w:lang w:eastAsia="zh-CN"/>
        </w:rPr>
        <w:t>）</w:t>
      </w:r>
      <w:r>
        <w:rPr>
          <w:rFonts w:ascii="Times New Roman" w:hAnsi="黑体" w:eastAsia="黑体"/>
          <w:szCs w:val="32"/>
        </w:rPr>
        <w:t>评价结论</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二</w:t>
      </w:r>
      <w:r>
        <w:rPr>
          <w:rFonts w:hint="eastAsia" w:ascii="Times New Roman" w:hAnsi="Times New Roman" w:eastAsia="黑体"/>
          <w:szCs w:val="32"/>
          <w:lang w:eastAsia="zh-CN"/>
        </w:rPr>
        <w:t>）</w:t>
      </w:r>
      <w:r>
        <w:rPr>
          <w:rFonts w:ascii="Times New Roman" w:hAnsi="黑体" w:eastAsia="黑体"/>
          <w:szCs w:val="32"/>
        </w:rPr>
        <w:t>绩效分析</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黑体" w:eastAsia="黑体"/>
          <w:szCs w:val="32"/>
        </w:rPr>
      </w:pPr>
      <w:r>
        <w:rPr>
          <w:rFonts w:hint="eastAsia" w:ascii="Times New Roman" w:hAnsi="黑体" w:eastAsia="黑体"/>
          <w:szCs w:val="32"/>
        </w:rPr>
        <w:t>四、成本效益分析</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val="en-US" w:eastAsia="zh-CN"/>
        </w:rPr>
        <w:t>五</w:t>
      </w:r>
      <w:r>
        <w:rPr>
          <w:rFonts w:ascii="Times New Roman" w:hAnsi="黑体" w:eastAsia="黑体"/>
          <w:szCs w:val="32"/>
        </w:rPr>
        <w:t>、项目主要经验及做法、存在的问题和建议</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val="en-US" w:eastAsia="zh-CN"/>
        </w:rPr>
        <w:t>六</w:t>
      </w:r>
      <w:r>
        <w:rPr>
          <w:rFonts w:ascii="Times New Roman" w:hAnsi="黑体" w:eastAsia="黑体"/>
          <w:szCs w:val="32"/>
        </w:rPr>
        <w:t>、附件</w:t>
      </w:r>
      <w:r>
        <w:rPr>
          <w:rFonts w:ascii="Times New Roman" w:hAnsi="Times New Roman" w:eastAsia="黑体"/>
          <w:color w:val="FF0000"/>
          <w:szCs w:val="32"/>
        </w:rPr>
        <w:tab/>
      </w:r>
      <w:r>
        <w:rPr>
          <w:rFonts w:ascii="Times New Roman" w:hAnsi="Times New Roman" w:eastAsia="黑体"/>
          <w:szCs w:val="32"/>
        </w:rPr>
        <w:tab/>
      </w: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440" w:lineRule="exact"/>
        <w:jc w:val="center"/>
        <w:rPr>
          <w:rFonts w:hint="eastAsia" w:ascii="Times New Roman" w:hAnsi="Times New Roman" w:eastAsia="方正小标宋_GBK"/>
          <w:sz w:val="36"/>
          <w:szCs w:val="36"/>
        </w:rPr>
      </w:pPr>
      <w:r>
        <w:rPr>
          <w:rFonts w:hint="eastAsia" w:ascii="Times New Roman" w:hAnsi="Times New Roman" w:eastAsia="方正小标宋_GBK"/>
          <w:sz w:val="36"/>
          <w:szCs w:val="36"/>
        </w:rPr>
        <w:t>社会保险基金安全评估工作专项</w:t>
      </w:r>
    </w:p>
    <w:p>
      <w:pPr>
        <w:spacing w:line="440" w:lineRule="exact"/>
        <w:jc w:val="center"/>
        <w:rPr>
          <w:rFonts w:ascii="Times New Roman" w:hAnsi="Times New Roman" w:eastAsia="方正小标宋_GBK"/>
          <w:sz w:val="36"/>
          <w:szCs w:val="36"/>
        </w:rPr>
      </w:pPr>
      <w:r>
        <w:rPr>
          <w:rFonts w:hint="eastAsia" w:ascii="Times New Roman" w:hAnsi="Times New Roman" w:eastAsia="方正小标宋_GBK"/>
          <w:sz w:val="36"/>
          <w:szCs w:val="36"/>
        </w:rPr>
        <w:t>经费</w:t>
      </w:r>
      <w:r>
        <w:rPr>
          <w:rFonts w:ascii="Times New Roman" w:hAnsi="Times New Roman" w:eastAsia="方正小标宋_GBK"/>
          <w:sz w:val="36"/>
          <w:szCs w:val="36"/>
        </w:rPr>
        <w:t>绩效自评报告</w:t>
      </w:r>
    </w:p>
    <w:p>
      <w:pPr>
        <w:spacing w:line="440" w:lineRule="exact"/>
        <w:ind w:firstLine="640" w:firstLineChars="200"/>
        <w:jc w:val="center"/>
        <w:rPr>
          <w:rFonts w:ascii="Times New Roman" w:hAnsi="Times New Roman" w:eastAsia="黑体"/>
          <w:sz w:val="32"/>
          <w:szCs w:val="32"/>
        </w:rPr>
      </w:pPr>
    </w:p>
    <w:p>
      <w:pPr>
        <w:spacing w:line="440" w:lineRule="exact"/>
        <w:ind w:firstLine="640" w:firstLineChars="200"/>
        <w:jc w:val="center"/>
        <w:rPr>
          <w:rFonts w:ascii="Times New Roman" w:hAnsi="Times New Roman" w:eastAsia="黑体"/>
          <w:sz w:val="32"/>
          <w:szCs w:val="32"/>
        </w:rPr>
      </w:pPr>
    </w:p>
    <w:p>
      <w:pPr>
        <w:spacing w:line="440" w:lineRule="exact"/>
        <w:jc w:val="center"/>
        <w:rPr>
          <w:rFonts w:ascii="Times New Roman" w:hAnsi="Times New Roman" w:eastAsia="黑体"/>
          <w:sz w:val="32"/>
          <w:szCs w:val="32"/>
        </w:rPr>
      </w:pPr>
      <w:r>
        <w:rPr>
          <w:rFonts w:ascii="Times New Roman" w:hAnsi="黑体" w:eastAsia="黑体"/>
          <w:sz w:val="32"/>
          <w:szCs w:val="32"/>
        </w:rPr>
        <w:t>摘要</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仿宋_GB2312"/>
          <w:szCs w:val="21"/>
        </w:rPr>
      </w:pP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bookmarkStart w:id="0" w:name="_Hlk100753909"/>
      <w:r>
        <w:rPr>
          <w:rFonts w:hint="eastAsia" w:ascii="黑体" w:hAnsi="黑体" w:eastAsia="黑体"/>
          <w:sz w:val="28"/>
          <w:szCs w:val="28"/>
        </w:rPr>
        <w:t>一、项目概况</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lang w:eastAsia="zh-CN"/>
        </w:rPr>
      </w:pPr>
      <w:r>
        <w:rPr>
          <w:rFonts w:hint="eastAsia" w:ascii="Times New Roman" w:hAnsi="Times New Roman" w:eastAsia="仿宋_GB2312"/>
          <w:sz w:val="28"/>
          <w:szCs w:val="28"/>
        </w:rPr>
        <w:t>为充分发挥社会保险基金安全评估促进基金管理风险防控措施落实，维护基金安全，保障社会保险事业健康持续发展的重要作用，根据《昆明市人力资源和社会保障局关于印发&lt;昆明市社会保险基金安全评估工作实施方案&gt;的通知&gt;》（昆人社通〔2020〕36号）（以下简称“方案”）文件要求</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lang w:val="en-US" w:eastAsia="zh-CN"/>
        </w:rPr>
        <w:t>开展了</w:t>
      </w:r>
      <w:r>
        <w:rPr>
          <w:rFonts w:hint="eastAsia" w:ascii="Times New Roman" w:hAnsi="Times New Roman" w:eastAsia="仿宋_GB2312"/>
          <w:sz w:val="28"/>
          <w:szCs w:val="28"/>
          <w:lang w:eastAsia="zh-CN"/>
        </w:rPr>
        <w:t>盘龙区2022年度社会保险基金安全评估工作。</w:t>
      </w:r>
      <w:r>
        <w:rPr>
          <w:rFonts w:hint="eastAsia" w:ascii="Times New Roman" w:hAnsi="Times New Roman" w:eastAsia="仿宋_GB2312"/>
          <w:sz w:val="28"/>
          <w:szCs w:val="28"/>
          <w:lang w:val="en-US" w:eastAsia="zh-CN"/>
        </w:rPr>
        <w:t>此次</w:t>
      </w:r>
      <w:r>
        <w:rPr>
          <w:rFonts w:hint="eastAsia" w:ascii="Times New Roman" w:hAnsi="Times New Roman" w:eastAsia="仿宋_GB2312"/>
          <w:sz w:val="28"/>
          <w:szCs w:val="28"/>
        </w:rPr>
        <w:t>采取对基金风险管控状况、大数据比对风险排查及整改情况、2022年盘龙区社保基金安全评估发现问题整改落实情况进行评估的方式，全面涵盖了盘龙区2022年度企业职工基本养老保险基金、机关事业单位养老保险基金、失业保险基金、工伤保险基金、城乡居民社会养老保险基金和被征地人员基本养老保险基金</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共支出经费15,000.00元。</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区财政</w:t>
      </w:r>
      <w:r>
        <w:rPr>
          <w:rFonts w:hint="eastAsia" w:ascii="Times New Roman" w:hAnsi="Times New Roman" w:eastAsia="仿宋_GB2312"/>
          <w:sz w:val="28"/>
          <w:szCs w:val="28"/>
          <w:lang w:val="en-US" w:eastAsia="zh-CN"/>
        </w:rPr>
        <w:t>预算，</w:t>
      </w:r>
      <w:r>
        <w:rPr>
          <w:rFonts w:hint="eastAsia" w:ascii="Times New Roman" w:hAnsi="Times New Roman" w:eastAsia="仿宋_GB2312"/>
          <w:sz w:val="28"/>
          <w:szCs w:val="28"/>
        </w:rPr>
        <w:t>预算金额96,000.00元，支出委托业务费15,000.00元，预算完成率</w:t>
      </w:r>
      <w:r>
        <w:rPr>
          <w:rFonts w:hint="eastAsia" w:ascii="Times New Roman" w:hAnsi="Times New Roman" w:eastAsia="仿宋_GB2312"/>
          <w:sz w:val="28"/>
          <w:szCs w:val="28"/>
          <w:lang w:val="en-US" w:eastAsia="zh-CN"/>
        </w:rPr>
        <w:t>15.63</w:t>
      </w:r>
      <w:r>
        <w:rPr>
          <w:rFonts w:hint="eastAsia" w:ascii="Times New Roman" w:hAnsi="Times New Roman"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二、评价结论</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社会保险基金安全评估工作专项经费项目绩效评价得分为</w:t>
      </w:r>
      <w:r>
        <w:rPr>
          <w:rFonts w:hint="eastAsia" w:ascii="Times New Roman" w:hAnsi="Times New Roman" w:eastAsia="仿宋_GB2312"/>
          <w:sz w:val="28"/>
          <w:szCs w:val="28"/>
          <w:highlight w:val="none"/>
        </w:rPr>
        <w:t>96分，</w:t>
      </w:r>
      <w:r>
        <w:rPr>
          <w:rFonts w:hint="eastAsia" w:ascii="Times New Roman" w:hAnsi="Times New Roman" w:eastAsia="仿宋_GB2312"/>
          <w:sz w:val="28"/>
          <w:szCs w:val="28"/>
        </w:rPr>
        <w:t>评价等级为“优”。基金管理风险防控措施落实，基金安全总体可控。</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三、经验、问题和建议</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Cs w:val="21"/>
          <w:highlight w:val="none"/>
        </w:rPr>
      </w:pPr>
      <w:r>
        <w:rPr>
          <w:rFonts w:hint="eastAsia" w:ascii="Times New Roman" w:hAnsi="Times New Roman" w:eastAsia="仿宋_GB2312"/>
          <w:color w:val="auto"/>
          <w:sz w:val="28"/>
          <w:szCs w:val="28"/>
          <w:highlight w:val="none"/>
        </w:rPr>
        <w:t>社会保险基金安全评估工作立足实际，追求实效。通过此次安全评估，进一步巩固和深化了盘龙区社保基金监督工作，达到加强基金风险防控，强化监督管理，促进完善政策制度，规范经办服务，提高精细化管理水平，提升基金安全程度的效果。</w:t>
      </w:r>
      <w:r>
        <w:rPr>
          <w:rFonts w:hint="eastAsia" w:ascii="Times New Roman" w:hAnsi="Times New Roman" w:eastAsia="仿宋_GB2312"/>
          <w:color w:val="auto"/>
          <w:sz w:val="28"/>
          <w:szCs w:val="28"/>
          <w:highlight w:val="none"/>
          <w:lang w:val="en-US" w:eastAsia="zh-CN"/>
        </w:rPr>
        <w:t>但也</w:t>
      </w:r>
      <w:r>
        <w:rPr>
          <w:rFonts w:hint="eastAsia" w:ascii="Times New Roman" w:hAnsi="Times New Roman" w:eastAsia="仿宋_GB2312"/>
          <w:color w:val="auto"/>
          <w:sz w:val="28"/>
          <w:szCs w:val="28"/>
          <w:highlight w:val="none"/>
        </w:rPr>
        <w:t>存在</w:t>
      </w:r>
      <w:r>
        <w:rPr>
          <w:rFonts w:hint="eastAsia" w:ascii="Times New Roman" w:hAnsi="Times New Roman" w:eastAsia="仿宋_GB2312"/>
          <w:color w:val="auto"/>
          <w:sz w:val="28"/>
          <w:szCs w:val="28"/>
          <w:highlight w:val="none"/>
          <w:lang w:val="en-US" w:eastAsia="zh-CN"/>
        </w:rPr>
        <w:t>一定的</w:t>
      </w:r>
      <w:r>
        <w:rPr>
          <w:rFonts w:hint="eastAsia" w:ascii="Times New Roman" w:hAnsi="Times New Roman" w:eastAsia="仿宋_GB2312"/>
          <w:color w:val="auto"/>
          <w:sz w:val="28"/>
          <w:szCs w:val="28"/>
          <w:highlight w:val="none"/>
        </w:rPr>
        <w:t>问题</w:t>
      </w:r>
      <w:r>
        <w:rPr>
          <w:rFonts w:hint="eastAsia" w:ascii="Times New Roman" w:hAnsi="Times New Roman" w:eastAsia="仿宋_GB2312"/>
          <w:color w:val="auto"/>
          <w:sz w:val="28"/>
          <w:szCs w:val="28"/>
          <w:highlight w:val="none"/>
          <w:lang w:eastAsia="zh-CN"/>
        </w:rPr>
        <w:t>，</w:t>
      </w:r>
      <w:r>
        <w:rPr>
          <w:rFonts w:hint="eastAsia" w:ascii="Times New Roman" w:hAnsi="Times New Roman" w:eastAsia="仿宋_GB2312"/>
          <w:color w:val="auto"/>
          <w:sz w:val="28"/>
          <w:szCs w:val="28"/>
          <w:highlight w:val="none"/>
        </w:rPr>
        <w:t>社会保险基金安全评估工作专项经费仅完成年初预算的15.63%，距离预算数有较大偏差。今后将会提高对每年经费的测算，提高预算执行率。</w:t>
      </w:r>
    </w:p>
    <w:bookmarkEnd w:id="0"/>
    <w:p>
      <w:pPr>
        <w:spacing w:line="520" w:lineRule="exact"/>
        <w:ind w:firstLine="420" w:firstLineChars="200"/>
        <w:jc w:val="center"/>
        <w:rPr>
          <w:rFonts w:ascii="Times New Roman" w:hAnsi="Times New Roman" w:eastAsia="仿宋_GB2312"/>
          <w:szCs w:val="21"/>
        </w:rPr>
      </w:pPr>
    </w:p>
    <w:p>
      <w:pPr>
        <w:spacing w:line="520" w:lineRule="exact"/>
        <w:ind w:firstLine="420" w:firstLineChars="200"/>
        <w:jc w:val="center"/>
        <w:rPr>
          <w:rFonts w:ascii="Times New Roman" w:hAnsi="Times New Roman" w:eastAsia="黑体"/>
          <w:szCs w:val="21"/>
        </w:rPr>
        <w:sectPr>
          <w:pgSz w:w="11906" w:h="16838"/>
          <w:pgMar w:top="1440" w:right="1800" w:bottom="1440" w:left="1800" w:header="851" w:footer="992" w:gutter="0"/>
          <w:cols w:space="425" w:num="1"/>
          <w:docGrid w:type="lines" w:linePitch="312" w:charSpace="0"/>
        </w:sectPr>
      </w:pPr>
    </w:p>
    <w:p>
      <w:pPr>
        <w:spacing w:line="520" w:lineRule="exact"/>
        <w:ind w:firstLine="420" w:firstLineChars="200"/>
        <w:jc w:val="center"/>
        <w:rPr>
          <w:rFonts w:ascii="Times New Roman" w:hAnsi="Times New Roman" w:eastAsia="黑体"/>
          <w:szCs w:val="21"/>
        </w:rPr>
      </w:pPr>
    </w:p>
    <w:p>
      <w:pPr>
        <w:spacing w:line="440" w:lineRule="exact"/>
        <w:jc w:val="center"/>
        <w:rPr>
          <w:rFonts w:hint="eastAsia" w:ascii="Times New Roman" w:hAnsi="Times New Roman" w:eastAsia="方正小标宋_GBK"/>
          <w:sz w:val="36"/>
          <w:szCs w:val="36"/>
        </w:rPr>
      </w:pPr>
      <w:r>
        <w:rPr>
          <w:rFonts w:hint="eastAsia" w:ascii="Times New Roman" w:hAnsi="Times New Roman" w:eastAsia="方正小标宋_GBK"/>
          <w:sz w:val="36"/>
          <w:szCs w:val="36"/>
        </w:rPr>
        <w:t>社会保险基金安全评估工作专项经费</w:t>
      </w:r>
    </w:p>
    <w:p>
      <w:pPr>
        <w:spacing w:line="440" w:lineRule="exact"/>
        <w:jc w:val="center"/>
        <w:rPr>
          <w:rFonts w:ascii="Times New Roman" w:hAnsi="Times New Roman" w:eastAsia="方正小标宋_GBK"/>
          <w:szCs w:val="21"/>
        </w:rPr>
      </w:pPr>
      <w:r>
        <w:rPr>
          <w:rFonts w:hint="eastAsia" w:ascii="Times New Roman" w:hAnsi="Times New Roman" w:eastAsia="方正小标宋_GBK"/>
          <w:sz w:val="36"/>
          <w:szCs w:val="36"/>
        </w:rPr>
        <w:t>绩效自评报告</w:t>
      </w:r>
    </w:p>
    <w:p>
      <w:pPr>
        <w:spacing w:line="520" w:lineRule="exact"/>
        <w:ind w:firstLine="420" w:firstLineChars="200"/>
        <w:jc w:val="center"/>
        <w:rPr>
          <w:rFonts w:ascii="Times New Roman" w:hAnsi="Times New Roman" w:eastAsia="黑体"/>
          <w:szCs w:val="21"/>
        </w:rPr>
      </w:pP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Times New Roman" w:eastAsia="黑体"/>
          <w:sz w:val="28"/>
          <w:szCs w:val="28"/>
        </w:rPr>
        <w:t>一、项目基本情况</w:t>
      </w:r>
    </w:p>
    <w:p>
      <w:pPr>
        <w:keepNext w:val="0"/>
        <w:keepLines w:val="0"/>
        <w:pageBreakBefore w:val="0"/>
        <w:widowControl w:val="0"/>
        <w:kinsoku/>
        <w:wordWrap/>
        <w:overflowPunct/>
        <w:topLinePunct/>
        <w:autoSpaceDE/>
        <w:autoSpaceDN/>
        <w:bidi w:val="0"/>
        <w:adjustRightInd/>
        <w:snapToGrid/>
        <w:spacing w:line="440" w:lineRule="exact"/>
        <w:ind w:firstLine="562" w:firstLineChars="200"/>
        <w:textAlignment w:val="auto"/>
        <w:rPr>
          <w:rFonts w:ascii="Times New Roman" w:hAnsi="Times New Roman" w:eastAsia="仿宋_GB2312"/>
          <w:b/>
          <w:sz w:val="28"/>
          <w:szCs w:val="28"/>
        </w:rPr>
      </w:pPr>
      <w:r>
        <w:rPr>
          <w:rFonts w:hint="eastAsia" w:ascii="楷体" w:hAnsi="楷体" w:eastAsia="楷体" w:cs="楷体"/>
          <w:b/>
          <w:sz w:val="28"/>
          <w:szCs w:val="28"/>
          <w:lang w:eastAsia="zh-CN"/>
        </w:rPr>
        <w:t>（</w:t>
      </w:r>
      <w:r>
        <w:rPr>
          <w:rFonts w:hint="eastAsia" w:ascii="楷体" w:hAnsi="楷体" w:eastAsia="楷体" w:cs="楷体"/>
          <w:b/>
          <w:sz w:val="28"/>
          <w:szCs w:val="28"/>
          <w:lang w:val="en-US" w:eastAsia="zh-CN"/>
        </w:rPr>
        <w:t>一</w:t>
      </w:r>
      <w:r>
        <w:rPr>
          <w:rFonts w:hint="eastAsia" w:ascii="楷体" w:hAnsi="楷体" w:eastAsia="楷体" w:cs="楷体"/>
          <w:b/>
          <w:sz w:val="28"/>
          <w:szCs w:val="28"/>
          <w:lang w:eastAsia="zh-CN"/>
        </w:rPr>
        <w:t>）</w:t>
      </w:r>
      <w:r>
        <w:rPr>
          <w:rFonts w:hint="eastAsia" w:ascii="楷体" w:hAnsi="楷体" w:eastAsia="楷体" w:cs="楷体"/>
          <w:b/>
          <w:sz w:val="28"/>
          <w:szCs w:val="28"/>
          <w:lang w:val="en-US" w:eastAsia="zh-CN"/>
        </w:rPr>
        <w:t>项目</w:t>
      </w:r>
      <w:r>
        <w:rPr>
          <w:rFonts w:hint="eastAsia" w:ascii="楷体" w:hAnsi="楷体" w:eastAsia="楷体" w:cs="楷体"/>
          <w:b/>
          <w:sz w:val="28"/>
          <w:szCs w:val="28"/>
        </w:rPr>
        <w:t>立项背景</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bookmarkStart w:id="1" w:name="_Hlk100753925"/>
      <w:r>
        <w:rPr>
          <w:rFonts w:hint="eastAsia" w:ascii="Times New Roman" w:hAnsi="Times New Roman" w:eastAsia="仿宋_GB2312"/>
          <w:sz w:val="28"/>
          <w:szCs w:val="28"/>
        </w:rPr>
        <w:t>为充分发挥社会保险基金安全评估促进基金管理风险防控措施落实，维护基金安全，保障社会保险事业健康持续发展的重要作用，根据《昆明市人力资源和社会保障局关于印发&lt;昆明市社会保险基金安全评估工作实施方案&gt;的通知&gt;》（昆人社通〔2020〕36号）（以下简称“方案”）文件要求开展实施。</w:t>
      </w:r>
    </w:p>
    <w:bookmarkEnd w:id="1"/>
    <w:p>
      <w:pPr>
        <w:keepNext w:val="0"/>
        <w:keepLines w:val="0"/>
        <w:pageBreakBefore w:val="0"/>
        <w:widowControl w:val="0"/>
        <w:kinsoku/>
        <w:wordWrap/>
        <w:overflowPunct/>
        <w:topLinePunct/>
        <w:autoSpaceDE/>
        <w:autoSpaceDN/>
        <w:bidi w:val="0"/>
        <w:adjustRightInd/>
        <w:snapToGrid/>
        <w:spacing w:line="440" w:lineRule="exact"/>
        <w:ind w:firstLine="562" w:firstLineChars="200"/>
        <w:textAlignment w:val="auto"/>
        <w:rPr>
          <w:rFonts w:ascii="Times New Roman" w:hAnsi="Times New Roman" w:eastAsia="仿宋_GB2312"/>
          <w:b/>
          <w:sz w:val="28"/>
          <w:szCs w:val="28"/>
        </w:rPr>
      </w:pPr>
      <w:r>
        <w:rPr>
          <w:rFonts w:hint="eastAsia" w:ascii="楷体" w:hAnsi="楷体" w:eastAsia="楷体" w:cs="楷体"/>
          <w:b/>
          <w:sz w:val="28"/>
          <w:szCs w:val="28"/>
          <w:lang w:eastAsia="zh-CN"/>
        </w:rPr>
        <w:t>（</w:t>
      </w:r>
      <w:r>
        <w:rPr>
          <w:rFonts w:hint="eastAsia" w:ascii="楷体" w:hAnsi="楷体" w:eastAsia="楷体" w:cs="楷体"/>
          <w:b/>
          <w:sz w:val="28"/>
          <w:szCs w:val="28"/>
          <w:lang w:val="en-US" w:eastAsia="zh-CN"/>
        </w:rPr>
        <w:t>二</w:t>
      </w:r>
      <w:r>
        <w:rPr>
          <w:rFonts w:hint="eastAsia" w:ascii="楷体" w:hAnsi="楷体" w:eastAsia="楷体" w:cs="楷体"/>
          <w:b/>
          <w:sz w:val="28"/>
          <w:szCs w:val="28"/>
          <w:lang w:eastAsia="zh-CN"/>
        </w:rPr>
        <w:t>）</w:t>
      </w:r>
      <w:r>
        <w:rPr>
          <w:rFonts w:hint="eastAsia" w:ascii="楷体" w:hAnsi="楷体" w:eastAsia="楷体" w:cs="楷体"/>
          <w:b/>
          <w:sz w:val="28"/>
          <w:szCs w:val="28"/>
        </w:rPr>
        <w:t>项目实施情况</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2022年社会保险基金监督科聘请第三方机构对下属各经办机构及相关科室开展了盘龙区2022年度社会保险基金安全评估工作。此次安全评估采取对基金风险管控状况、大数据比对风险排查及整改情况、2022年盘龙区社保基金安全评估发现问题整改落实情况进行评估的方式，全面涵盖了盘龙区2022年度企业职工基本养老保险基金、机关事业单位养老保险基金、失业保险基金、工伤保险基金、城乡居民社会养老保险基金和被征地人员基本养老保险基金。</w:t>
      </w:r>
      <w:r>
        <w:rPr>
          <w:rFonts w:ascii="Times New Roman" w:hAnsi="Times New Roman" w:eastAsia="仿宋_GB2312"/>
          <w:sz w:val="28"/>
          <w:szCs w:val="28"/>
        </w:rPr>
        <w:t>共支出经费</w:t>
      </w:r>
      <w:r>
        <w:rPr>
          <w:rFonts w:hint="eastAsia" w:ascii="Times New Roman" w:hAnsi="Times New Roman" w:eastAsia="仿宋_GB2312"/>
          <w:sz w:val="28"/>
          <w:szCs w:val="28"/>
        </w:rPr>
        <w:t>15,000.00</w:t>
      </w:r>
      <w:r>
        <w:rPr>
          <w:rFonts w:ascii="Times New Roman" w:hAnsi="Times New Roman" w:eastAsia="仿宋_GB2312"/>
          <w:sz w:val="28"/>
          <w:szCs w:val="28"/>
        </w:rPr>
        <w:t>元。</w:t>
      </w:r>
    </w:p>
    <w:p>
      <w:pPr>
        <w:keepNext w:val="0"/>
        <w:keepLines w:val="0"/>
        <w:pageBreakBefore w:val="0"/>
        <w:widowControl w:val="0"/>
        <w:kinsoku/>
        <w:wordWrap/>
        <w:overflowPunct/>
        <w:topLinePunct/>
        <w:autoSpaceDE/>
        <w:autoSpaceDN/>
        <w:bidi w:val="0"/>
        <w:adjustRightInd/>
        <w:snapToGrid/>
        <w:spacing w:line="440" w:lineRule="exact"/>
        <w:ind w:firstLine="562" w:firstLineChars="200"/>
        <w:textAlignment w:val="auto"/>
        <w:rPr>
          <w:rFonts w:ascii="Times New Roman" w:hAnsi="Times New Roman" w:eastAsia="仿宋_GB2312"/>
          <w:b/>
          <w:sz w:val="28"/>
          <w:szCs w:val="28"/>
        </w:rPr>
      </w:pPr>
      <w:r>
        <w:rPr>
          <w:rFonts w:hint="eastAsia" w:ascii="楷体" w:hAnsi="楷体" w:eastAsia="楷体" w:cs="楷体"/>
          <w:b/>
          <w:sz w:val="28"/>
          <w:szCs w:val="28"/>
          <w:lang w:eastAsia="zh-CN"/>
        </w:rPr>
        <w:t>（</w:t>
      </w:r>
      <w:r>
        <w:rPr>
          <w:rFonts w:hint="eastAsia" w:ascii="楷体" w:hAnsi="楷体" w:eastAsia="楷体" w:cs="楷体"/>
          <w:b/>
          <w:sz w:val="28"/>
          <w:szCs w:val="28"/>
          <w:lang w:val="en-US" w:eastAsia="zh-CN"/>
        </w:rPr>
        <w:t>三</w:t>
      </w:r>
      <w:r>
        <w:rPr>
          <w:rFonts w:hint="eastAsia" w:ascii="楷体" w:hAnsi="楷体" w:eastAsia="楷体" w:cs="楷体"/>
          <w:b/>
          <w:sz w:val="28"/>
          <w:szCs w:val="28"/>
          <w:lang w:eastAsia="zh-CN"/>
        </w:rPr>
        <w:t>）</w:t>
      </w:r>
      <w:r>
        <w:rPr>
          <w:rFonts w:hint="eastAsia" w:ascii="楷体" w:hAnsi="楷体" w:eastAsia="楷体" w:cs="楷体"/>
          <w:b/>
          <w:sz w:val="28"/>
          <w:szCs w:val="28"/>
        </w:rPr>
        <w:t>资金来源及使用情况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区财政</w:t>
      </w:r>
      <w:r>
        <w:rPr>
          <w:rFonts w:hint="eastAsia" w:ascii="Times New Roman" w:hAnsi="Times New Roman" w:eastAsia="仿宋_GB2312"/>
          <w:sz w:val="28"/>
          <w:szCs w:val="28"/>
          <w:lang w:val="en-US" w:eastAsia="zh-CN"/>
        </w:rPr>
        <w:t>预算，</w:t>
      </w:r>
      <w:r>
        <w:rPr>
          <w:rFonts w:hint="eastAsia" w:ascii="Times New Roman" w:hAnsi="Times New Roman" w:eastAsia="仿宋_GB2312"/>
          <w:sz w:val="28"/>
          <w:szCs w:val="28"/>
        </w:rPr>
        <w:t>预算金额96,000.00元，支出委托业务费15,000.00元，预算完成率</w:t>
      </w:r>
      <w:r>
        <w:rPr>
          <w:rFonts w:hint="eastAsia" w:ascii="Times New Roman" w:hAnsi="Times New Roman" w:eastAsia="仿宋_GB2312"/>
          <w:sz w:val="28"/>
          <w:szCs w:val="28"/>
          <w:lang w:val="en-US" w:eastAsia="zh-CN"/>
        </w:rPr>
        <w:t>15.63</w:t>
      </w:r>
      <w:r>
        <w:rPr>
          <w:rFonts w:hint="eastAsia" w:ascii="Times New Roman" w:hAnsi="Times New Roman" w:eastAsia="仿宋_GB2312"/>
          <w:sz w:val="28"/>
          <w:szCs w:val="28"/>
        </w:rPr>
        <w:t>%。</w:t>
      </w:r>
    </w:p>
    <w:p>
      <w:pPr>
        <w:keepNext w:val="0"/>
        <w:keepLines w:val="0"/>
        <w:pageBreakBefore w:val="0"/>
        <w:widowControl w:val="0"/>
        <w:kinsoku/>
        <w:wordWrap/>
        <w:overflowPunct/>
        <w:topLinePunct/>
        <w:autoSpaceDE/>
        <w:autoSpaceDN/>
        <w:bidi w:val="0"/>
        <w:adjustRightInd/>
        <w:snapToGrid/>
        <w:spacing w:line="440" w:lineRule="exact"/>
        <w:ind w:firstLine="562" w:firstLineChars="200"/>
        <w:textAlignment w:val="auto"/>
        <w:rPr>
          <w:rFonts w:ascii="Times New Roman" w:hAnsi="Times New Roman" w:eastAsia="仿宋_GB2312"/>
          <w:b/>
          <w:sz w:val="28"/>
          <w:szCs w:val="28"/>
        </w:rPr>
      </w:pPr>
      <w:r>
        <w:rPr>
          <w:rFonts w:hint="eastAsia" w:ascii="楷体" w:hAnsi="楷体" w:eastAsia="楷体" w:cs="楷体"/>
          <w:b/>
          <w:sz w:val="28"/>
          <w:szCs w:val="28"/>
          <w:lang w:eastAsia="zh-CN"/>
        </w:rPr>
        <w:t>（</w:t>
      </w:r>
      <w:r>
        <w:rPr>
          <w:rFonts w:hint="eastAsia" w:ascii="楷体" w:hAnsi="楷体" w:eastAsia="楷体" w:cs="楷体"/>
          <w:b/>
          <w:sz w:val="28"/>
          <w:szCs w:val="28"/>
          <w:lang w:val="en-US" w:eastAsia="zh-CN"/>
        </w:rPr>
        <w:t>四</w:t>
      </w:r>
      <w:r>
        <w:rPr>
          <w:rFonts w:hint="eastAsia" w:ascii="楷体" w:hAnsi="楷体" w:eastAsia="楷体" w:cs="楷体"/>
          <w:b/>
          <w:sz w:val="28"/>
          <w:szCs w:val="28"/>
          <w:lang w:eastAsia="zh-CN"/>
        </w:rPr>
        <w:t>）</w:t>
      </w:r>
      <w:r>
        <w:rPr>
          <w:rFonts w:hint="eastAsia" w:ascii="楷体" w:hAnsi="楷体" w:eastAsia="楷体" w:cs="楷体"/>
          <w:b/>
          <w:sz w:val="28"/>
          <w:szCs w:val="28"/>
        </w:rPr>
        <w:t>项目绩效目标</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1.</w:t>
      </w:r>
      <w:r>
        <w:rPr>
          <w:rFonts w:hint="eastAsia" w:ascii="Times New Roman" w:hAnsi="Times New Roman" w:eastAsia="仿宋_GB2312"/>
          <w:sz w:val="28"/>
          <w:szCs w:val="28"/>
        </w:rPr>
        <w:t>总目标</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充分发挥社会保险基金安全评估促进基金管理风险防控措施落实，维护基金安全，保障社会保险事业健康持续发展。</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2.</w:t>
      </w:r>
      <w:r>
        <w:rPr>
          <w:rFonts w:hint="eastAsia" w:ascii="Times New Roman" w:hAnsi="Times New Roman" w:eastAsia="仿宋_GB2312"/>
          <w:sz w:val="28"/>
          <w:szCs w:val="28"/>
        </w:rPr>
        <w:t>年度目标</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在2022年12月31日前按时按质完成2021年度社会保险基金安全评估工作；加强基金风险防控、强化基金监督管理、规范经办服务、完善内控制度、保障基金安全。</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二、绩效评价工作情况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楷体"/>
          <w:sz w:val="28"/>
          <w:szCs w:val="28"/>
        </w:rPr>
      </w:pPr>
      <w:r>
        <w:rPr>
          <w:rFonts w:ascii="Times New Roman" w:hAnsi="楷体" w:eastAsia="楷体"/>
          <w:sz w:val="28"/>
          <w:szCs w:val="28"/>
        </w:rPr>
        <w:t>（一）绩效评价目的</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楷体" w:eastAsia="楷体"/>
          <w:sz w:val="28"/>
          <w:szCs w:val="28"/>
          <w:lang w:eastAsia="zh-CN"/>
        </w:rPr>
      </w:pPr>
      <w:r>
        <w:rPr>
          <w:rFonts w:hint="eastAsia" w:ascii="Times New Roman" w:hAnsi="楷体" w:eastAsia="楷体"/>
          <w:sz w:val="28"/>
          <w:szCs w:val="28"/>
          <w:lang w:eastAsia="zh-CN"/>
        </w:rPr>
        <w:t>（</w:t>
      </w:r>
      <w:r>
        <w:rPr>
          <w:rFonts w:hint="eastAsia" w:ascii="Times New Roman" w:hAnsi="楷体" w:eastAsia="楷体"/>
          <w:sz w:val="28"/>
          <w:szCs w:val="28"/>
          <w:lang w:val="en-US" w:eastAsia="zh-CN"/>
        </w:rPr>
        <w:t>二</w:t>
      </w:r>
      <w:r>
        <w:rPr>
          <w:rFonts w:hint="eastAsia" w:ascii="Times New Roman" w:hAnsi="楷体" w:eastAsia="楷体"/>
          <w:sz w:val="28"/>
          <w:szCs w:val="28"/>
          <w:lang w:eastAsia="zh-CN"/>
        </w:rPr>
        <w:t>）</w:t>
      </w:r>
      <w:r>
        <w:rPr>
          <w:rFonts w:ascii="Times New Roman" w:hAnsi="楷体" w:eastAsia="楷体"/>
          <w:sz w:val="28"/>
          <w:szCs w:val="28"/>
        </w:rPr>
        <w:t>绩效评价工作方案制定过程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从贯彻文件、摸清概况、制定流程等三个方面做好前期准备工作，厘清绩效自评工作总体思路，扎实打好自评基础工作。一是研学文件，组织自评组人员认真学习相关政策文件，包括绩效自评工作通知、相关资金管理办法等，吃透文件精神，做到心中有数，手中有尺。二是理清项目情况，与相关业务部门沟通联系，确定部门职责及目标完成情况。三是制定流程，明确具体评价内容、评价方法、工作步骤、人员分工等，提前准备资料清单和问卷调查访谈记录，科学安排，确保高效。</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确保评价结果真实、准确、客观。除细致深入的对各类数据资料进行比对核实、将取得的测算依据与指标值逐项核对外，还对发现的问题进行分析研判，剖析问题原因及财政支出可能存在的风险点，提出进一步完善政策建议，更好地发挥政策效用</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楷体" w:eastAsia="楷体"/>
          <w:sz w:val="28"/>
          <w:szCs w:val="28"/>
        </w:rPr>
      </w:pPr>
      <w:r>
        <w:rPr>
          <w:rFonts w:hint="eastAsia" w:ascii="Times New Roman" w:hAnsi="楷体" w:eastAsia="楷体"/>
          <w:sz w:val="28"/>
          <w:szCs w:val="28"/>
        </w:rPr>
        <w:t>（三）</w:t>
      </w:r>
      <w:r>
        <w:rPr>
          <w:rFonts w:ascii="Times New Roman" w:hAnsi="楷体" w:eastAsia="楷体"/>
          <w:sz w:val="28"/>
          <w:szCs w:val="28"/>
        </w:rPr>
        <w:t>绩效评价原则</w:t>
      </w:r>
      <w:r>
        <w:rPr>
          <w:rFonts w:hint="eastAsia" w:ascii="Times New Roman" w:hAnsi="楷体" w:eastAsia="楷体"/>
          <w:sz w:val="28"/>
          <w:szCs w:val="28"/>
        </w:rPr>
        <w:t>、</w:t>
      </w:r>
      <w:r>
        <w:rPr>
          <w:rFonts w:ascii="Times New Roman" w:hAnsi="楷体" w:eastAsia="楷体"/>
          <w:sz w:val="28"/>
          <w:szCs w:val="28"/>
        </w:rPr>
        <w:t>评价方法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根据《项目支出绩效评价管理办法》（财预〔2020〕10号）、《云南省省级财政支出预算绩效评价操作规程（试行）》（云财评审〔2016〕39号）、《昆明市盘龙区财政局关于开展2022年度区级预算支出绩效自评工作的通知》（盘财绩〔2023〕14号），本次评价指标体系参照“项目支出绩效评价共性指标体系框架”制定，遵循相关性原则、重要性原则、可比性原则、经济性原则和系统性原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highlight w:val="none"/>
        </w:rPr>
      </w:pPr>
      <w:r>
        <w:rPr>
          <w:rFonts w:hint="eastAsia" w:ascii="仿宋_GB2312" w:hAnsi="楷体" w:eastAsia="仿宋_GB2312"/>
          <w:sz w:val="28"/>
          <w:szCs w:val="28"/>
        </w:rPr>
        <w:t>本次绩效评价采用定量与定性相结合的评价方法，对收集的相关基础资料、各种技术系统取得的经济数据，在归集、整理、分析的基础上，运用资料审阅、分析比较法</w:t>
      </w:r>
      <w:r>
        <w:rPr>
          <w:rFonts w:hint="eastAsia" w:ascii="仿宋_GB2312" w:hAnsi="楷体" w:eastAsia="仿宋_GB2312"/>
          <w:sz w:val="28"/>
          <w:szCs w:val="28"/>
          <w:highlight w:val="none"/>
        </w:rPr>
        <w:t>、公众问卷调查法等，系统、科学地反映项目综合绩效情况。具体评价方式如下：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（1）审阅资料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对制度、操作规程等资料进行认真审阅，核实相关工作是否按要求完成，评价完成的质量和效果，为评价提供依据；查阅部门整体及项目预算和决算、财务和统计报表、预算执行情况和分析报告等相关文件，分析研究资金管理、资金下达等文件，必要时，请相关人员做出说明，并对需要进一步调查的问题做好记录；检查资金拨付、兑付情况，查看资金收支凭证，关注项目资金是否专款专用、是否存在违规现象等。</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（2）分析比较法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依据资金拨付文件和凭证等，评价资金下拨及兑付情况；依据统计报表、决算报表等资料，对照资金实际完成内容，评价是否严格按照计划进行；依据相关政策文件，评价部门整体绩效管理是否按照相关管理办法执行；通过详细列举分析影响绩效目标实现的内外因素，将绩效目标与实施结果对比分析，评价绩效目标实现程度；将预期效益与实施效果对比分析，结合开展问卷调查和实地访谈，评价项目预期效益实现程度。</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r>
        <w:rPr>
          <w:rFonts w:hint="eastAsia" w:ascii="Times New Roman" w:hAnsi="楷体" w:eastAsia="楷体"/>
          <w:sz w:val="28"/>
          <w:szCs w:val="28"/>
          <w:lang w:eastAsia="zh-CN"/>
        </w:rPr>
        <w:t>（</w:t>
      </w:r>
      <w:r>
        <w:rPr>
          <w:rFonts w:hint="eastAsia" w:ascii="Times New Roman" w:hAnsi="楷体" w:eastAsia="楷体"/>
          <w:sz w:val="28"/>
          <w:szCs w:val="28"/>
          <w:lang w:val="en-US" w:eastAsia="zh-CN"/>
        </w:rPr>
        <w:t>四</w:t>
      </w:r>
      <w:r>
        <w:rPr>
          <w:rFonts w:hint="eastAsia" w:ascii="Times New Roman" w:hAnsi="楷体" w:eastAsia="楷体"/>
          <w:sz w:val="28"/>
          <w:szCs w:val="28"/>
          <w:lang w:eastAsia="zh-CN"/>
        </w:rPr>
        <w:t>）</w:t>
      </w:r>
      <w:r>
        <w:rPr>
          <w:rFonts w:ascii="Times New Roman" w:hAnsi="楷体" w:eastAsia="楷体"/>
          <w:sz w:val="28"/>
          <w:szCs w:val="28"/>
        </w:rPr>
        <w:t>绩效评价实施过程</w:t>
      </w:r>
      <w:r>
        <w:rPr>
          <w:rFonts w:ascii="Times New Roman" w:hAnsi="楷体" w:eastAsia="楷体"/>
          <w:sz w:val="28"/>
          <w:szCs w:val="28"/>
        </w:rPr>
        <w:tab/>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根据绩效评价工作方案的要求进行全方位的绩效评价，运用科学、合理的绩效评价指标、评价标准和评价方法，对财政支出进行客观、公正的评价。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评价过程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（1）前期准备阶段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为进一步提高项目绩效管理质量，根据盘龙区财政局下发的《昆明市盘龙区财政局关于开展2022年度区级预算支出绩效自评工作的通知》（盘财绩〔2023〕14号）明确了本次评价对象就流程。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（2）组织实施阶段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实施评价：根据项目自评的要求，项目成立了部门预算绩效评价工作小组，由负责人，小组成员配合完成，及时布置绩效评价工作，严密分工，明确要求。根据项目预期绩效目标设定的情况，审查有关对应的业务资料；根据项目预算安排情况，审查有关对应的收支财务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（3）报告撰写提交阶段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仿宋_GB2312" w:hAnsi="楷体" w:eastAsia="仿宋_GB2312"/>
          <w:sz w:val="28"/>
          <w:szCs w:val="28"/>
        </w:rPr>
        <w:t>根据业务资料、财务资料，对履职效益和质量做出评判，最后相关工作成果由项目负责人汇总、形成评价结论并撰写自评报告，审核上报。</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三、评价结论和绩效分析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楷体"/>
          <w:sz w:val="28"/>
          <w:szCs w:val="28"/>
        </w:rPr>
      </w:pPr>
      <w:r>
        <w:rPr>
          <w:rFonts w:ascii="Times New Roman" w:hAnsi="楷体" w:eastAsia="楷体"/>
          <w:sz w:val="28"/>
          <w:szCs w:val="28"/>
        </w:rPr>
        <w:t>（一）评价结论</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1.评价结果</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Cs w:val="21"/>
        </w:rPr>
      </w:pPr>
      <w:bookmarkStart w:id="2" w:name="_Hlk100757332"/>
      <w:r>
        <w:rPr>
          <w:rFonts w:hint="eastAsia" w:ascii="Times New Roman" w:hAnsi="Times New Roman" w:eastAsia="仿宋_GB2312"/>
          <w:sz w:val="28"/>
          <w:szCs w:val="28"/>
        </w:rPr>
        <w:t>社会保险基金安全评估工作项目绩效评价得分为</w:t>
      </w:r>
      <w:bookmarkStart w:id="5" w:name="_GoBack"/>
      <w:r>
        <w:rPr>
          <w:rFonts w:hint="eastAsia" w:ascii="Times New Roman" w:hAnsi="Times New Roman" w:eastAsia="仿宋_GB2312"/>
          <w:sz w:val="28"/>
          <w:szCs w:val="28"/>
          <w:highlight w:val="none"/>
        </w:rPr>
        <w:t>9</w:t>
      </w:r>
      <w:r>
        <w:rPr>
          <w:rFonts w:ascii="Times New Roman" w:hAnsi="Times New Roman" w:eastAsia="仿宋_GB2312"/>
          <w:sz w:val="28"/>
          <w:szCs w:val="28"/>
          <w:highlight w:val="none"/>
        </w:rPr>
        <w:t>6</w:t>
      </w:r>
      <w:bookmarkEnd w:id="5"/>
      <w:r>
        <w:rPr>
          <w:rFonts w:hint="eastAsia" w:ascii="Times New Roman" w:hAnsi="Times New Roman" w:eastAsia="仿宋_GB2312"/>
          <w:sz w:val="28"/>
          <w:szCs w:val="28"/>
        </w:rPr>
        <w:t>分，评价等级为“优”。基金管理风险防控措施落实，基金安全总体可控。一级指标具体得分情况详见下表：</w:t>
      </w:r>
    </w:p>
    <w:tbl>
      <w:tblPr>
        <w:tblStyle w:val="8"/>
        <w:tblW w:w="8222" w:type="dxa"/>
        <w:tblInd w:w="0" w:type="dxa"/>
        <w:tblLayout w:type="fixed"/>
        <w:tblCellMar>
          <w:top w:w="0" w:type="dxa"/>
          <w:left w:w="108" w:type="dxa"/>
          <w:bottom w:w="0" w:type="dxa"/>
          <w:right w:w="108" w:type="dxa"/>
        </w:tblCellMar>
      </w:tblPr>
      <w:tblGrid>
        <w:gridCol w:w="2127"/>
        <w:gridCol w:w="2126"/>
        <w:gridCol w:w="2126"/>
        <w:gridCol w:w="1843"/>
      </w:tblGrid>
      <w:tr>
        <w:tblPrEx>
          <w:tblLayout w:type="fixed"/>
          <w:tblCellMar>
            <w:top w:w="0" w:type="dxa"/>
            <w:left w:w="108" w:type="dxa"/>
            <w:bottom w:w="0" w:type="dxa"/>
            <w:right w:w="108" w:type="dxa"/>
          </w:tblCellMar>
        </w:tblPrEx>
        <w:trPr>
          <w:trHeight w:val="640" w:hRule="atLeast"/>
        </w:trPr>
        <w:tc>
          <w:tcPr>
            <w:tcW w:w="8222" w:type="dxa"/>
            <w:gridSpan w:val="4"/>
            <w:tcBorders>
              <w:top w:val="nil"/>
              <w:left w:val="nil"/>
              <w:bottom w:val="nil"/>
              <w:right w:val="nil"/>
            </w:tcBorders>
            <w:shd w:val="clear" w:color="auto" w:fill="auto"/>
            <w:noWrap/>
            <w:vAlign w:val="center"/>
          </w:tcPr>
          <w:p>
            <w:pPr>
              <w:jc w:val="center"/>
              <w:rPr>
                <w:rFonts w:ascii="仿宋" w:hAnsi="仿宋" w:eastAsia="仿宋"/>
                <w:szCs w:val="32"/>
              </w:rPr>
            </w:pPr>
            <w:r>
              <w:rPr>
                <w:rFonts w:hint="eastAsia" w:ascii="仿宋" w:hAnsi="仿宋" w:eastAsia="仿宋"/>
                <w:szCs w:val="32"/>
              </w:rPr>
              <w:t>绩效评价得分情况表</w:t>
            </w:r>
          </w:p>
        </w:tc>
      </w:tr>
      <w:tr>
        <w:tblPrEx>
          <w:tblLayout w:type="fixed"/>
          <w:tblCellMar>
            <w:top w:w="0" w:type="dxa"/>
            <w:left w:w="108" w:type="dxa"/>
            <w:bottom w:w="0" w:type="dxa"/>
            <w:right w:w="108" w:type="dxa"/>
          </w:tblCellMar>
        </w:tblPrEx>
        <w:trPr>
          <w:trHeight w:val="28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一级指标</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指标分值</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评价得分</w:t>
            </w: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得分率</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项目决策</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18</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90.00%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项目管理</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18</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90.00%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项目绩效</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合 计</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96</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96.00%</w:t>
            </w:r>
          </w:p>
        </w:tc>
      </w:tr>
      <w:bookmarkEnd w:id="2"/>
    </w:tbl>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2.主要绩效</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highlight w:val="none"/>
        </w:rPr>
      </w:pPr>
      <w:r>
        <w:rPr>
          <w:rFonts w:hint="eastAsia" w:ascii="Times New Roman" w:hAnsi="Times New Roman" w:eastAsia="仿宋_GB2312"/>
          <w:sz w:val="28"/>
          <w:szCs w:val="28"/>
          <w:highlight w:val="none"/>
        </w:rPr>
        <w:t>各经办机构</w:t>
      </w:r>
      <w:r>
        <w:rPr>
          <w:rFonts w:ascii="Times New Roman" w:hAnsi="Times New Roman" w:eastAsia="仿宋_GB2312"/>
          <w:sz w:val="28"/>
          <w:szCs w:val="28"/>
          <w:highlight w:val="none"/>
        </w:rPr>
        <w:t>顺利完成</w:t>
      </w:r>
      <w:r>
        <w:rPr>
          <w:rFonts w:hint="eastAsia" w:ascii="Times New Roman" w:hAnsi="Times New Roman" w:eastAsia="仿宋_GB2312"/>
          <w:sz w:val="28"/>
          <w:szCs w:val="28"/>
          <w:highlight w:val="none"/>
        </w:rPr>
        <w:t>各项社会保险基金收支工作，保障社会保险事业健康持续发展。</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楷体" w:eastAsia="楷体"/>
          <w:sz w:val="28"/>
          <w:szCs w:val="28"/>
          <w:highlight w:val="none"/>
        </w:rPr>
      </w:pPr>
      <w:r>
        <w:rPr>
          <w:rFonts w:ascii="Times New Roman" w:hAnsi="楷体" w:eastAsia="楷体"/>
          <w:sz w:val="28"/>
          <w:szCs w:val="28"/>
          <w:highlight w:val="none"/>
        </w:rPr>
        <w:t>（二）具体绩效分析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bookmarkStart w:id="3" w:name="_Hlk100757474"/>
      <w:r>
        <w:rPr>
          <w:rFonts w:hint="eastAsia" w:ascii="Times New Roman" w:hAnsi="仿宋_GB2312" w:eastAsia="仿宋_GB2312"/>
          <w:sz w:val="28"/>
          <w:szCs w:val="28"/>
        </w:rPr>
        <w:t>通过开展绩效自评工作，全面了解项目支出预算资金的执行、管理使用情况，以及取得的成绩和综合效果，促使项目组树立责任意识、绩效意识及风险控制意识，进一步加强预算支出及项目管理，保证财政资金管理的规范性、使用的安全性和有效性，提高财政专项资金的使用效益和管理水平。通过开展绩效自评工作，进一步提高预算执行中基础数据的准确性、人员经费的规范性、公用经费的合规性、项目经费的有效性和内控制度的完备性。</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（1）项目决策方面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在项目决策部分分别对项目立项、项目目标指标进行评价。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项目立项方面：与部门中长期规划目标与部门中长期目标适应，立项依据充分，立项程序规范。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项目目标方面：绩效目标设定合理、明确，指标细化量化，与项目目标匹配。</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（2）项目管理方面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在项目管理部分分别对投入管理、财务管理</w:t>
      </w:r>
      <w:r>
        <w:rPr>
          <w:rFonts w:hint="eastAsia" w:ascii="Times New Roman" w:hAnsi="仿宋_GB2312" w:eastAsia="仿宋_GB2312"/>
          <w:sz w:val="28"/>
          <w:szCs w:val="28"/>
          <w:lang w:eastAsia="zh-CN"/>
        </w:rPr>
        <w:t>、</w:t>
      </w:r>
      <w:r>
        <w:rPr>
          <w:rFonts w:hint="eastAsia" w:ascii="Times New Roman" w:hAnsi="仿宋_GB2312" w:eastAsia="仿宋_GB2312"/>
          <w:sz w:val="28"/>
          <w:szCs w:val="28"/>
        </w:rPr>
        <w:t>项目实施指标进行评价。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仿宋_GB2312" w:eastAsia="仿宋_GB2312"/>
          <w:sz w:val="28"/>
          <w:szCs w:val="28"/>
          <w:lang w:eastAsia="zh-CN"/>
        </w:rPr>
      </w:pPr>
      <w:r>
        <w:rPr>
          <w:rFonts w:hint="eastAsia" w:ascii="Times New Roman" w:hAnsi="仿宋_GB2312" w:eastAsia="仿宋_GB2312"/>
          <w:sz w:val="28"/>
          <w:szCs w:val="28"/>
        </w:rPr>
        <w:t>投入管理方面：预算编制合理；预算调整均根据年中预算实际执行情况及时合规进行预算调整</w:t>
      </w:r>
      <w:r>
        <w:rPr>
          <w:rFonts w:hint="eastAsia" w:ascii="Times New Roman" w:hAnsi="仿宋_GB2312" w:eastAsia="仿宋_GB2312"/>
          <w:sz w:val="28"/>
          <w:szCs w:val="28"/>
          <w:lang w:eastAsia="zh-CN"/>
        </w:rPr>
        <w:t>；</w:t>
      </w:r>
      <w:r>
        <w:rPr>
          <w:rFonts w:hint="eastAsia" w:ascii="Times New Roman" w:hAnsi="仿宋_GB2312" w:eastAsia="仿宋_GB2312"/>
          <w:sz w:val="28"/>
          <w:szCs w:val="28"/>
          <w:lang w:val="en-US" w:eastAsia="zh-CN"/>
        </w:rPr>
        <w:t>但</w:t>
      </w:r>
      <w:r>
        <w:rPr>
          <w:rFonts w:hint="eastAsia" w:ascii="Times New Roman" w:hAnsi="仿宋_GB2312" w:eastAsia="仿宋_GB2312"/>
          <w:sz w:val="28"/>
          <w:szCs w:val="28"/>
        </w:rPr>
        <w:t>项目支出预算执行率控制较</w:t>
      </w:r>
      <w:r>
        <w:rPr>
          <w:rFonts w:hint="eastAsia" w:ascii="Times New Roman" w:hAnsi="仿宋_GB2312" w:eastAsia="仿宋_GB2312"/>
          <w:sz w:val="28"/>
          <w:szCs w:val="28"/>
          <w:lang w:val="en-US" w:eastAsia="zh-CN"/>
        </w:rPr>
        <w:t>差。</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财务管理方面：财务管理制度健全，部门使用预算资金均符合相关财务管理制度的规定。</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项目实施方面：项目管理制度健全，且按照项目管理制度执行有效，政府采购程序规范。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（3）项目绩效方面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在项目绩效部分分别对项目产出、项目效益指标进行评价。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项目产出方面：未出现社会保险基金重大损失。</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项目效益方面：社会保险基金相关台账资料，对社保基金进行严格管理。</w:t>
      </w:r>
    </w:p>
    <w:bookmarkEnd w:id="3"/>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四、成本效益分析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20</w:t>
      </w:r>
      <w:r>
        <w:rPr>
          <w:rFonts w:hint="eastAsia" w:ascii="Times New Roman" w:hAnsi="Times New Roman" w:eastAsia="仿宋_GB2312"/>
          <w:sz w:val="28"/>
          <w:szCs w:val="28"/>
          <w:lang w:val="en-US" w:eastAsia="zh-CN"/>
        </w:rPr>
        <w:t>22</w:t>
      </w:r>
      <w:r>
        <w:rPr>
          <w:rFonts w:ascii="Times New Roman" w:hAnsi="Times New Roman" w:eastAsia="仿宋_GB2312"/>
          <w:sz w:val="28"/>
          <w:szCs w:val="28"/>
        </w:rPr>
        <w:t>年该项</w:t>
      </w:r>
      <w:r>
        <w:rPr>
          <w:rFonts w:hint="eastAsia" w:ascii="Times New Roman" w:hAnsi="Times New Roman" w:eastAsia="仿宋_GB2312"/>
          <w:sz w:val="28"/>
          <w:szCs w:val="28"/>
          <w:lang w:val="en-US" w:eastAsia="zh-CN"/>
        </w:rPr>
        <w:t>目</w:t>
      </w:r>
      <w:r>
        <w:rPr>
          <w:rFonts w:ascii="Times New Roman" w:hAnsi="Times New Roman" w:eastAsia="仿宋_GB2312"/>
          <w:sz w:val="28"/>
          <w:szCs w:val="28"/>
        </w:rPr>
        <w:t>资金实行专款专用</w:t>
      </w:r>
      <w:r>
        <w:rPr>
          <w:rFonts w:hint="eastAsia" w:ascii="Times New Roman" w:hAnsi="Times New Roman" w:eastAsia="仿宋_GB2312"/>
          <w:sz w:val="28"/>
          <w:szCs w:val="28"/>
          <w:lang w:eastAsia="zh-CN"/>
        </w:rPr>
        <w:t>，</w:t>
      </w:r>
      <w:r>
        <w:rPr>
          <w:rFonts w:ascii="Times New Roman" w:hAnsi="Times New Roman" w:eastAsia="仿宋_GB2312"/>
          <w:sz w:val="28"/>
          <w:szCs w:val="28"/>
        </w:rPr>
        <w:t>项目支出均有相关的授权审批，资金拨付严格审批程序，使用规范，会计核算结果真实、准确。此次绩效评价过程中未发现有截留、挤占或挪用项目资金的情况。顺利完成</w:t>
      </w:r>
      <w:r>
        <w:rPr>
          <w:rFonts w:hint="eastAsia" w:ascii="Times New Roman" w:hAnsi="Times New Roman" w:eastAsia="仿宋_GB2312"/>
          <w:sz w:val="28"/>
          <w:szCs w:val="28"/>
        </w:rPr>
        <w:t>各项社会保险基金收支工作，保障社会保险事业健康持续发展。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五、主要经验及做法、存在的问题和建议</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bookmarkStart w:id="4" w:name="_Hlk100754015"/>
      <w:r>
        <w:rPr>
          <w:rFonts w:hint="eastAsia" w:ascii="Times New Roman" w:hAnsi="Times New Roman" w:eastAsia="仿宋_GB2312"/>
          <w:sz w:val="28"/>
          <w:szCs w:val="28"/>
        </w:rPr>
        <w:t>社会保险基金安全评估工作立足实际，追求实效</w:t>
      </w:r>
      <w:r>
        <w:rPr>
          <w:rFonts w:ascii="Times New Roman" w:hAnsi="Times New Roman" w:eastAsia="仿宋_GB2312"/>
          <w:sz w:val="28"/>
          <w:szCs w:val="28"/>
        </w:rPr>
        <w:t>。</w:t>
      </w:r>
      <w:r>
        <w:rPr>
          <w:rFonts w:hint="eastAsia" w:ascii="Times New Roman" w:hAnsi="Times New Roman" w:eastAsia="仿宋_GB2312"/>
          <w:sz w:val="28"/>
          <w:szCs w:val="28"/>
        </w:rPr>
        <w:t>通过此次安全评估，进一步巩固和深化了盘龙区社保基金监督工作，达到加强基金风险防控，强化监督管理，促进完善政策制度，规范经办服务，提高精细化管理水平，提升基金安全程度的效果。</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lang w:eastAsia="zh-CN"/>
        </w:rPr>
      </w:pPr>
      <w:r>
        <w:rPr>
          <w:rFonts w:hint="eastAsia" w:ascii="Times New Roman" w:hAnsi="Times New Roman" w:eastAsia="仿宋_GB2312"/>
          <w:sz w:val="28"/>
          <w:szCs w:val="28"/>
          <w:lang w:val="en-US" w:eastAsia="zh-CN"/>
        </w:rPr>
        <w:t>存在的问题：</w:t>
      </w:r>
      <w:r>
        <w:rPr>
          <w:rFonts w:hint="eastAsia" w:ascii="Times New Roman" w:hAnsi="Times New Roman" w:eastAsia="仿宋_GB2312"/>
          <w:sz w:val="28"/>
          <w:szCs w:val="28"/>
          <w:lang w:eastAsia="zh-CN"/>
        </w:rPr>
        <w:t>社会保险基金安全评估工作专项经费</w:t>
      </w:r>
      <w:r>
        <w:rPr>
          <w:rFonts w:hint="eastAsia" w:ascii="Times New Roman" w:hAnsi="Times New Roman" w:eastAsia="仿宋_GB2312"/>
          <w:sz w:val="28"/>
          <w:szCs w:val="28"/>
          <w:lang w:val="en-US" w:eastAsia="zh-CN"/>
        </w:rPr>
        <w:t>仅</w:t>
      </w:r>
      <w:r>
        <w:rPr>
          <w:rFonts w:hint="eastAsia" w:ascii="Times New Roman" w:hAnsi="Times New Roman" w:eastAsia="仿宋_GB2312"/>
          <w:sz w:val="28"/>
          <w:szCs w:val="28"/>
          <w:lang w:eastAsia="zh-CN"/>
        </w:rPr>
        <w:t>完成年初预算的</w:t>
      </w:r>
      <w:r>
        <w:rPr>
          <w:rFonts w:hint="eastAsia" w:ascii="Times New Roman" w:hAnsi="Times New Roman" w:eastAsia="仿宋_GB2312"/>
          <w:sz w:val="28"/>
          <w:szCs w:val="28"/>
          <w:lang w:val="en-US" w:eastAsia="zh-CN"/>
        </w:rPr>
        <w:t>15.63</w:t>
      </w:r>
      <w:r>
        <w:rPr>
          <w:rFonts w:hint="eastAsia" w:ascii="Times New Roman" w:hAnsi="Times New Roman" w:eastAsia="仿宋_GB2312"/>
          <w:sz w:val="28"/>
          <w:szCs w:val="28"/>
        </w:rPr>
        <w:t>%</w:t>
      </w:r>
      <w:r>
        <w:rPr>
          <w:rFonts w:hint="eastAsia" w:ascii="Times New Roman" w:hAnsi="Times New Roman" w:eastAsia="仿宋_GB2312"/>
          <w:sz w:val="28"/>
          <w:szCs w:val="28"/>
          <w:lang w:eastAsia="zh-CN"/>
        </w:rPr>
        <w:t>，距离预</w:t>
      </w:r>
      <w:r>
        <w:rPr>
          <w:rFonts w:hint="eastAsia" w:ascii="Times New Roman" w:hAnsi="Times New Roman" w:eastAsia="仿宋_GB2312"/>
          <w:sz w:val="28"/>
          <w:szCs w:val="28"/>
          <w:lang w:val="en-US" w:eastAsia="zh-CN"/>
        </w:rPr>
        <w:t>算</w:t>
      </w:r>
      <w:r>
        <w:rPr>
          <w:rFonts w:hint="eastAsia" w:ascii="Times New Roman" w:hAnsi="Times New Roman" w:eastAsia="仿宋_GB2312"/>
          <w:sz w:val="28"/>
          <w:szCs w:val="28"/>
          <w:lang w:eastAsia="zh-CN"/>
        </w:rPr>
        <w:t>数有较大偏差。</w:t>
      </w:r>
      <w:r>
        <w:rPr>
          <w:rFonts w:hint="eastAsia" w:ascii="Times New Roman" w:hAnsi="Times New Roman" w:eastAsia="仿宋_GB2312"/>
          <w:sz w:val="28"/>
          <w:szCs w:val="28"/>
          <w:lang w:val="en-US" w:eastAsia="zh-CN"/>
        </w:rPr>
        <w:t>原因为</w:t>
      </w:r>
      <w:r>
        <w:rPr>
          <w:rFonts w:hint="eastAsia" w:ascii="Times New Roman" w:hAnsi="Times New Roman" w:eastAsia="仿宋_GB2312"/>
          <w:sz w:val="28"/>
          <w:szCs w:val="28"/>
          <w:lang w:eastAsia="zh-CN"/>
        </w:rPr>
        <w:t>此次安全评估以《昆明市社会保险基金安全评估工作实施方案》（昆人社通〔2020〕36号）的文件要求为准，通过询价选择了湘能会计事务所，报价1.5万元，导致经费无法完全支出。</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建议：今后将会</w:t>
      </w:r>
      <w:r>
        <w:rPr>
          <w:rFonts w:hint="eastAsia" w:ascii="Times New Roman" w:hAnsi="Times New Roman" w:eastAsia="仿宋_GB2312"/>
          <w:sz w:val="28"/>
          <w:szCs w:val="28"/>
          <w:lang w:eastAsia="zh-CN"/>
        </w:rPr>
        <w:t>提高对每年经费的测算，</w:t>
      </w:r>
      <w:r>
        <w:rPr>
          <w:rFonts w:hint="eastAsia" w:ascii="Times New Roman" w:hAnsi="Times New Roman" w:eastAsia="仿宋_GB2312"/>
          <w:sz w:val="28"/>
          <w:szCs w:val="28"/>
          <w:lang w:val="en-US" w:eastAsia="zh-CN"/>
        </w:rPr>
        <w:t>提高预算执行率。</w:t>
      </w:r>
    </w:p>
    <w:bookmarkEnd w:id="4"/>
    <w:p>
      <w:pPr>
        <w:spacing w:line="440" w:lineRule="exact"/>
        <w:ind w:firstLine="560" w:firstLineChars="200"/>
        <w:rPr>
          <w:rFonts w:ascii="Times New Roman" w:hAnsi="Times New Roman" w:eastAsia="仿宋_GB2312"/>
          <w:sz w:val="28"/>
          <w:szCs w:val="28"/>
        </w:rPr>
      </w:pPr>
    </w:p>
    <w:p>
      <w:pPr>
        <w:spacing w:line="440" w:lineRule="exact"/>
        <w:ind w:firstLine="560" w:firstLineChars="200"/>
        <w:rPr>
          <w:rFonts w:ascii="Times New Roman" w:hAnsi="Times New Roman" w:eastAsia="仿宋_GB2312"/>
          <w:sz w:val="28"/>
          <w:szCs w:val="28"/>
        </w:rPr>
      </w:pPr>
    </w:p>
    <w:p>
      <w:pPr>
        <w:spacing w:line="440" w:lineRule="exact"/>
        <w:jc w:val="center"/>
        <w:rPr>
          <w:rFonts w:ascii="Times New Roman" w:hAnsi="Times New Roman" w:eastAsia="方正小标宋_GBK"/>
          <w:sz w:val="28"/>
          <w:szCs w:val="28"/>
        </w:rPr>
      </w:pPr>
      <w:r>
        <w:rPr>
          <w:rFonts w:ascii="Times New Roman" w:hAnsi="Times New Roman" w:eastAsia="方正小标宋_GBK"/>
          <w:sz w:val="28"/>
          <w:szCs w:val="28"/>
        </w:rPr>
        <w:t>绩效评价报告正文后附以下佐证材料</w:t>
      </w:r>
    </w:p>
    <w:p>
      <w:pPr>
        <w:spacing w:line="440" w:lineRule="exact"/>
        <w:jc w:val="center"/>
        <w:rPr>
          <w:rFonts w:ascii="Times New Roman" w:hAnsi="Times New Roman" w:eastAsia="方正小标宋_GBK"/>
          <w:sz w:val="28"/>
          <w:szCs w:val="28"/>
        </w:rPr>
      </w:pPr>
    </w:p>
    <w:p>
      <w:pPr>
        <w:pStyle w:val="16"/>
        <w:numPr>
          <w:ilvl w:val="0"/>
          <w:numId w:val="0"/>
        </w:numPr>
        <w:spacing w:line="440" w:lineRule="exact"/>
        <w:ind w:leftChars="0"/>
        <w:jc w:val="left"/>
        <w:rPr>
          <w:rFonts w:hint="eastAsia" w:ascii="Times New Roman" w:hAnsi="Times New Roman" w:eastAsia="仿宋_GB2312"/>
          <w:sz w:val="28"/>
          <w:szCs w:val="28"/>
          <w:lang w:eastAsia="zh-CN"/>
        </w:rPr>
      </w:pPr>
      <w:r>
        <w:rPr>
          <w:rFonts w:hint="eastAsia" w:ascii="Times New Roman" w:hAnsi="Times New Roman" w:eastAsia="仿宋_GB2312"/>
          <w:sz w:val="28"/>
          <w:szCs w:val="28"/>
          <w:lang w:val="en-US" w:eastAsia="zh-CN"/>
        </w:rPr>
        <w:t>1.</w:t>
      </w:r>
      <w:r>
        <w:rPr>
          <w:rFonts w:ascii="Times New Roman" w:hAnsi="Times New Roman" w:eastAsia="仿宋_GB2312"/>
          <w:sz w:val="28"/>
          <w:szCs w:val="28"/>
        </w:rPr>
        <w:t>项目支出绩效评价共性指标体系</w:t>
      </w:r>
      <w:r>
        <w:rPr>
          <w:rFonts w:hint="eastAsia" w:ascii="Times New Roman" w:hAnsi="Times New Roman" w:eastAsia="仿宋_GB2312"/>
          <w:sz w:val="28"/>
          <w:szCs w:val="28"/>
          <w:lang w:eastAsia="zh-CN"/>
        </w:rPr>
        <w:t>；</w:t>
      </w:r>
    </w:p>
    <w:p>
      <w:pPr>
        <w:pStyle w:val="16"/>
        <w:numPr>
          <w:ilvl w:val="0"/>
          <w:numId w:val="0"/>
        </w:numPr>
        <w:spacing w:line="440" w:lineRule="exact"/>
        <w:ind w:leftChars="0"/>
        <w:jc w:val="left"/>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2.社会保险基金安全评估工作专项经费-项目申报书；</w:t>
      </w:r>
    </w:p>
    <w:p>
      <w:pPr>
        <w:spacing w:line="440" w:lineRule="exact"/>
        <w:jc w:val="center"/>
        <w:rPr>
          <w:rFonts w:ascii="Times New Roman" w:hAnsi="Times New Roman" w:eastAsia="方正小标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pPr>
                          <w:r>
                            <w:rPr>
                              <w:rFonts w:hint="eastAsia"/>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7</w:t>
                          </w:r>
                          <w:r>
                            <w:rPr>
                              <w:rFonts w:hint="eastAsia"/>
                              <w:sz w:val="28"/>
                              <w:szCs w:val="28"/>
                            </w:rPr>
                            <w:fldChar w:fldCharType="end"/>
                          </w:r>
                          <w:r>
                            <w:rPr>
                              <w:rFonts w:hint="eastAsia"/>
                            </w:rPr>
                            <w:t>—</w:t>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6pebnPAAAABQEAAA8AAAAA&#10;AAAAAQAgAAAAIgAAAGRycy9kb3ducmV2LnhtbFBLAQIUABQAAAAIAIdO4kBb/hOcqwEAAE0DAAAO&#10;AAAAAAAAAAEAIAAAAB4BAABkcnMvZTJvRG9jLnhtbFBLBQYAAAAABgAGAFkBAAA7BQAAAAA=&#10;">
              <v:fill on="f" focussize="0,0"/>
              <v:stroke on="f"/>
              <v:imagedata o:title=""/>
              <o:lock v:ext="edit" aspectratio="f"/>
              <v:textbox inset="0mm,0mm,0mm,0mm" style="mso-fit-shape-to-text:t;">
                <w:txbxContent>
                  <w:p>
                    <w:pPr>
                      <w:pStyle w:val="5"/>
                    </w:pPr>
                    <w:r>
                      <w:rPr>
                        <w:rFonts w:hint="eastAsia"/>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7</w:t>
                    </w:r>
                    <w:r>
                      <w:rPr>
                        <w:rFonts w:hint="eastAsia"/>
                        <w:sz w:val="28"/>
                        <w:szCs w:val="28"/>
                      </w:rPr>
                      <w:fldChar w:fldCharType="end"/>
                    </w:r>
                    <w:r>
                      <w:rPr>
                        <w:rFonts w:hint="eastAsia"/>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6pebnPAAAABQEAAA8AAAAA&#10;AAAAAQAgAAAAIgAAAGRycy9kb3ducmV2LnhtbFBLAQIUABQAAAAIAIdO4kBPiRc7qwEAAE0DAAAO&#10;AAAAAAAAAAEAIAAAAB4BAABkcnMvZTJvRG9jLnhtbFBLBQYAAAAABgAGAFkBAAA7BQAAAAA=&#10;">
              <v:fill on="f" focussize="0,0"/>
              <v:stroke on="f"/>
              <v:imagedata o:title=""/>
              <o:lock v:ext="edit" aspectratio="f"/>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2MzJhZDllMzY3MzFiYjIzZTcxZjlhYjM0M2NmMzMifQ=="/>
  </w:docVars>
  <w:rsids>
    <w:rsidRoot w:val="0050687F"/>
    <w:rsid w:val="00002F32"/>
    <w:rsid w:val="000126AF"/>
    <w:rsid w:val="00020476"/>
    <w:rsid w:val="00023A68"/>
    <w:rsid w:val="00031386"/>
    <w:rsid w:val="0003383F"/>
    <w:rsid w:val="0005029B"/>
    <w:rsid w:val="000667DD"/>
    <w:rsid w:val="0007610E"/>
    <w:rsid w:val="000A3B75"/>
    <w:rsid w:val="000A5169"/>
    <w:rsid w:val="000C7960"/>
    <w:rsid w:val="000F3860"/>
    <w:rsid w:val="000F47C2"/>
    <w:rsid w:val="000F56A9"/>
    <w:rsid w:val="00120D32"/>
    <w:rsid w:val="00155091"/>
    <w:rsid w:val="001C4279"/>
    <w:rsid w:val="001E4C00"/>
    <w:rsid w:val="002439A7"/>
    <w:rsid w:val="00254D20"/>
    <w:rsid w:val="002844B0"/>
    <w:rsid w:val="00292443"/>
    <w:rsid w:val="002B64D6"/>
    <w:rsid w:val="002C4D37"/>
    <w:rsid w:val="002D6504"/>
    <w:rsid w:val="002E41AA"/>
    <w:rsid w:val="00303CAD"/>
    <w:rsid w:val="00304213"/>
    <w:rsid w:val="0032495D"/>
    <w:rsid w:val="00326126"/>
    <w:rsid w:val="0033485E"/>
    <w:rsid w:val="00335FA6"/>
    <w:rsid w:val="00344E9B"/>
    <w:rsid w:val="00354C84"/>
    <w:rsid w:val="003649F9"/>
    <w:rsid w:val="00370691"/>
    <w:rsid w:val="0037653B"/>
    <w:rsid w:val="00386252"/>
    <w:rsid w:val="00395684"/>
    <w:rsid w:val="003C1374"/>
    <w:rsid w:val="0040309D"/>
    <w:rsid w:val="004074A6"/>
    <w:rsid w:val="00410B51"/>
    <w:rsid w:val="00416EF0"/>
    <w:rsid w:val="00426012"/>
    <w:rsid w:val="00475B5E"/>
    <w:rsid w:val="0049442D"/>
    <w:rsid w:val="004F2B7C"/>
    <w:rsid w:val="004F5F7D"/>
    <w:rsid w:val="0050687F"/>
    <w:rsid w:val="00515CDA"/>
    <w:rsid w:val="00522343"/>
    <w:rsid w:val="005314B4"/>
    <w:rsid w:val="00555AF9"/>
    <w:rsid w:val="00575423"/>
    <w:rsid w:val="005928F1"/>
    <w:rsid w:val="00592DCF"/>
    <w:rsid w:val="00595DD5"/>
    <w:rsid w:val="005B017A"/>
    <w:rsid w:val="005B7223"/>
    <w:rsid w:val="005C0C7B"/>
    <w:rsid w:val="005D0387"/>
    <w:rsid w:val="005D7CCC"/>
    <w:rsid w:val="005E3D2E"/>
    <w:rsid w:val="005F560C"/>
    <w:rsid w:val="0060634B"/>
    <w:rsid w:val="006324EE"/>
    <w:rsid w:val="0066795B"/>
    <w:rsid w:val="0067483F"/>
    <w:rsid w:val="00695B70"/>
    <w:rsid w:val="006D731C"/>
    <w:rsid w:val="007241BF"/>
    <w:rsid w:val="00752C6B"/>
    <w:rsid w:val="007740E0"/>
    <w:rsid w:val="007764B4"/>
    <w:rsid w:val="00791CC2"/>
    <w:rsid w:val="00794DBF"/>
    <w:rsid w:val="007D1654"/>
    <w:rsid w:val="007D6E4C"/>
    <w:rsid w:val="00821598"/>
    <w:rsid w:val="0086384F"/>
    <w:rsid w:val="008756CB"/>
    <w:rsid w:val="00875C39"/>
    <w:rsid w:val="0088388F"/>
    <w:rsid w:val="00886A60"/>
    <w:rsid w:val="00891828"/>
    <w:rsid w:val="008A4904"/>
    <w:rsid w:val="008B1542"/>
    <w:rsid w:val="009016B2"/>
    <w:rsid w:val="00916460"/>
    <w:rsid w:val="00916E61"/>
    <w:rsid w:val="009511E2"/>
    <w:rsid w:val="00970DB2"/>
    <w:rsid w:val="009738B1"/>
    <w:rsid w:val="009A6859"/>
    <w:rsid w:val="009B1CEC"/>
    <w:rsid w:val="009C0C3B"/>
    <w:rsid w:val="009C2972"/>
    <w:rsid w:val="009C6101"/>
    <w:rsid w:val="009E07A7"/>
    <w:rsid w:val="00A109A8"/>
    <w:rsid w:val="00A31BA1"/>
    <w:rsid w:val="00A43E85"/>
    <w:rsid w:val="00A44535"/>
    <w:rsid w:val="00A70416"/>
    <w:rsid w:val="00A747DB"/>
    <w:rsid w:val="00A84E3F"/>
    <w:rsid w:val="00A86E78"/>
    <w:rsid w:val="00A91F95"/>
    <w:rsid w:val="00AB1F7B"/>
    <w:rsid w:val="00AD0F48"/>
    <w:rsid w:val="00AE698F"/>
    <w:rsid w:val="00AF6103"/>
    <w:rsid w:val="00AF7C0E"/>
    <w:rsid w:val="00B071D5"/>
    <w:rsid w:val="00B10D5D"/>
    <w:rsid w:val="00B21A20"/>
    <w:rsid w:val="00B3285D"/>
    <w:rsid w:val="00B62060"/>
    <w:rsid w:val="00B66C66"/>
    <w:rsid w:val="00B90B7D"/>
    <w:rsid w:val="00B949AF"/>
    <w:rsid w:val="00B97C0C"/>
    <w:rsid w:val="00BB474C"/>
    <w:rsid w:val="00BC60B5"/>
    <w:rsid w:val="00C2329B"/>
    <w:rsid w:val="00C2479E"/>
    <w:rsid w:val="00C54CBD"/>
    <w:rsid w:val="00C67C36"/>
    <w:rsid w:val="00C71C49"/>
    <w:rsid w:val="00C90A13"/>
    <w:rsid w:val="00CA0F72"/>
    <w:rsid w:val="00CE3BE9"/>
    <w:rsid w:val="00D0352B"/>
    <w:rsid w:val="00D04078"/>
    <w:rsid w:val="00D04E6F"/>
    <w:rsid w:val="00D16EC5"/>
    <w:rsid w:val="00D42EB2"/>
    <w:rsid w:val="00D46CE4"/>
    <w:rsid w:val="00D868E0"/>
    <w:rsid w:val="00D9547D"/>
    <w:rsid w:val="00DF412A"/>
    <w:rsid w:val="00DF77ED"/>
    <w:rsid w:val="00E124FB"/>
    <w:rsid w:val="00E277D6"/>
    <w:rsid w:val="00E3247F"/>
    <w:rsid w:val="00E36DA9"/>
    <w:rsid w:val="00E51063"/>
    <w:rsid w:val="00E70CD3"/>
    <w:rsid w:val="00E80876"/>
    <w:rsid w:val="00E82574"/>
    <w:rsid w:val="00E86CB7"/>
    <w:rsid w:val="00E96E87"/>
    <w:rsid w:val="00EA0C8A"/>
    <w:rsid w:val="00ED25DB"/>
    <w:rsid w:val="00F00F91"/>
    <w:rsid w:val="00F31F4A"/>
    <w:rsid w:val="00F647E9"/>
    <w:rsid w:val="00F67343"/>
    <w:rsid w:val="00FA5ED4"/>
    <w:rsid w:val="00FE3A8E"/>
    <w:rsid w:val="00FF5054"/>
    <w:rsid w:val="027D71DE"/>
    <w:rsid w:val="02B10E99"/>
    <w:rsid w:val="032D650E"/>
    <w:rsid w:val="03C86237"/>
    <w:rsid w:val="044F6B73"/>
    <w:rsid w:val="04B60A1E"/>
    <w:rsid w:val="05504736"/>
    <w:rsid w:val="059B1E55"/>
    <w:rsid w:val="05CD222A"/>
    <w:rsid w:val="05D90BCF"/>
    <w:rsid w:val="06703037"/>
    <w:rsid w:val="06D108EA"/>
    <w:rsid w:val="06DC2725"/>
    <w:rsid w:val="079D7527"/>
    <w:rsid w:val="08564337"/>
    <w:rsid w:val="097875EB"/>
    <w:rsid w:val="09B90AFC"/>
    <w:rsid w:val="09BF5601"/>
    <w:rsid w:val="0B6158EF"/>
    <w:rsid w:val="0C767178"/>
    <w:rsid w:val="0DE732C5"/>
    <w:rsid w:val="0E5E1C72"/>
    <w:rsid w:val="0E813BB2"/>
    <w:rsid w:val="0F0412E3"/>
    <w:rsid w:val="0F7E1588"/>
    <w:rsid w:val="0FA062BA"/>
    <w:rsid w:val="1191235E"/>
    <w:rsid w:val="11CE4BFB"/>
    <w:rsid w:val="129F56D5"/>
    <w:rsid w:val="12DE7825"/>
    <w:rsid w:val="13FC7D3F"/>
    <w:rsid w:val="144162BD"/>
    <w:rsid w:val="16CB6312"/>
    <w:rsid w:val="17AF353E"/>
    <w:rsid w:val="189C52A1"/>
    <w:rsid w:val="19745C5C"/>
    <w:rsid w:val="1B267688"/>
    <w:rsid w:val="1B3D6E7B"/>
    <w:rsid w:val="1B437AAA"/>
    <w:rsid w:val="1CE46F14"/>
    <w:rsid w:val="1D0F385A"/>
    <w:rsid w:val="1E6257AE"/>
    <w:rsid w:val="1EAC4C7B"/>
    <w:rsid w:val="1F5B4ADE"/>
    <w:rsid w:val="20CE0ED9"/>
    <w:rsid w:val="213D4AA3"/>
    <w:rsid w:val="223E5BEA"/>
    <w:rsid w:val="22E03145"/>
    <w:rsid w:val="230B6414"/>
    <w:rsid w:val="252F1C88"/>
    <w:rsid w:val="25533CB6"/>
    <w:rsid w:val="26FD42C6"/>
    <w:rsid w:val="27135B8A"/>
    <w:rsid w:val="27EB411E"/>
    <w:rsid w:val="289447B6"/>
    <w:rsid w:val="293E4CDA"/>
    <w:rsid w:val="29565F0F"/>
    <w:rsid w:val="29944EB8"/>
    <w:rsid w:val="2A601E26"/>
    <w:rsid w:val="2E141EF5"/>
    <w:rsid w:val="2E17492E"/>
    <w:rsid w:val="2E7A26A0"/>
    <w:rsid w:val="2E921798"/>
    <w:rsid w:val="2F7D2448"/>
    <w:rsid w:val="302503E9"/>
    <w:rsid w:val="30393E95"/>
    <w:rsid w:val="311C74DC"/>
    <w:rsid w:val="314A45AB"/>
    <w:rsid w:val="31AA6DF8"/>
    <w:rsid w:val="32635244"/>
    <w:rsid w:val="32843AED"/>
    <w:rsid w:val="33C30645"/>
    <w:rsid w:val="344465B0"/>
    <w:rsid w:val="34452E08"/>
    <w:rsid w:val="34B85CD0"/>
    <w:rsid w:val="358C448A"/>
    <w:rsid w:val="36533F02"/>
    <w:rsid w:val="36FD79CA"/>
    <w:rsid w:val="37DB1FDA"/>
    <w:rsid w:val="38E52E0C"/>
    <w:rsid w:val="3971644D"/>
    <w:rsid w:val="3A8211A9"/>
    <w:rsid w:val="3AF3630A"/>
    <w:rsid w:val="3E506F79"/>
    <w:rsid w:val="3E5E3444"/>
    <w:rsid w:val="3E6842C3"/>
    <w:rsid w:val="3ED41958"/>
    <w:rsid w:val="41443AE3"/>
    <w:rsid w:val="42D00689"/>
    <w:rsid w:val="43A85162"/>
    <w:rsid w:val="43B81849"/>
    <w:rsid w:val="43C125FE"/>
    <w:rsid w:val="43CD4BC8"/>
    <w:rsid w:val="440525B4"/>
    <w:rsid w:val="441546EA"/>
    <w:rsid w:val="441B5933"/>
    <w:rsid w:val="44810478"/>
    <w:rsid w:val="45963EE5"/>
    <w:rsid w:val="45B778DE"/>
    <w:rsid w:val="46A14816"/>
    <w:rsid w:val="47160F4D"/>
    <w:rsid w:val="4760647F"/>
    <w:rsid w:val="481B1319"/>
    <w:rsid w:val="489A1243"/>
    <w:rsid w:val="489F2175"/>
    <w:rsid w:val="48E1539E"/>
    <w:rsid w:val="492E62AE"/>
    <w:rsid w:val="4A1C2405"/>
    <w:rsid w:val="4A46425C"/>
    <w:rsid w:val="4AAA5C63"/>
    <w:rsid w:val="4BF76C86"/>
    <w:rsid w:val="4C525FF2"/>
    <w:rsid w:val="4D6D45E0"/>
    <w:rsid w:val="4D7F0EA7"/>
    <w:rsid w:val="4DB4438B"/>
    <w:rsid w:val="4E4F6905"/>
    <w:rsid w:val="4E753C28"/>
    <w:rsid w:val="4E8F6BCC"/>
    <w:rsid w:val="50055E16"/>
    <w:rsid w:val="50CC248F"/>
    <w:rsid w:val="519B6306"/>
    <w:rsid w:val="51EB2DE9"/>
    <w:rsid w:val="526112FD"/>
    <w:rsid w:val="52F55C96"/>
    <w:rsid w:val="5413309F"/>
    <w:rsid w:val="55F668FC"/>
    <w:rsid w:val="56FD5DE8"/>
    <w:rsid w:val="5A1434FC"/>
    <w:rsid w:val="5B9C5643"/>
    <w:rsid w:val="5BC414F3"/>
    <w:rsid w:val="5C776EDC"/>
    <w:rsid w:val="5DAD189A"/>
    <w:rsid w:val="5E5A4CDB"/>
    <w:rsid w:val="5ED846F5"/>
    <w:rsid w:val="5F0E45BB"/>
    <w:rsid w:val="61EB5299"/>
    <w:rsid w:val="6324615B"/>
    <w:rsid w:val="64E34765"/>
    <w:rsid w:val="64E73D5C"/>
    <w:rsid w:val="652C579B"/>
    <w:rsid w:val="66A71FF4"/>
    <w:rsid w:val="6747066A"/>
    <w:rsid w:val="6A742471"/>
    <w:rsid w:val="6B1C5EE7"/>
    <w:rsid w:val="6C8859AD"/>
    <w:rsid w:val="6E162B44"/>
    <w:rsid w:val="6F541B76"/>
    <w:rsid w:val="6F885CC3"/>
    <w:rsid w:val="6FED6864"/>
    <w:rsid w:val="70820965"/>
    <w:rsid w:val="7084648B"/>
    <w:rsid w:val="71083908"/>
    <w:rsid w:val="73441F01"/>
    <w:rsid w:val="74663CB2"/>
    <w:rsid w:val="75390245"/>
    <w:rsid w:val="75DA6B4D"/>
    <w:rsid w:val="76045978"/>
    <w:rsid w:val="76404C02"/>
    <w:rsid w:val="764C17F9"/>
    <w:rsid w:val="768F6EF4"/>
    <w:rsid w:val="79254583"/>
    <w:rsid w:val="792C2D1F"/>
    <w:rsid w:val="793242EA"/>
    <w:rsid w:val="79F17B06"/>
    <w:rsid w:val="7A1A39BC"/>
    <w:rsid w:val="7A3031E0"/>
    <w:rsid w:val="7C706FA8"/>
    <w:rsid w:val="7FD371A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3">
    <w:name w:val="annotation text"/>
    <w:basedOn w:val="1"/>
    <w:link w:val="17"/>
    <w:semiHidden/>
    <w:unhideWhenUsed/>
    <w:uiPriority w:val="99"/>
    <w:pPr>
      <w:jc w:val="left"/>
    </w:pPr>
  </w:style>
  <w:style w:type="paragraph" w:styleId="4">
    <w:name w:val="Balloon Text"/>
    <w:basedOn w:val="1"/>
    <w:link w:val="19"/>
    <w:semiHidden/>
    <w:unhideWhenUsed/>
    <w:qFormat/>
    <w:uiPriority w:val="99"/>
    <w:rPr>
      <w:sz w:val="18"/>
      <w:szCs w:val="18"/>
    </w:rPr>
  </w:style>
  <w:style w:type="paragraph" w:styleId="5">
    <w:name w:val="footer"/>
    <w:basedOn w:val="1"/>
    <w:link w:val="15"/>
    <w:qFormat/>
    <w:uiPriority w:val="99"/>
    <w:pPr>
      <w:tabs>
        <w:tab w:val="center" w:pos="4153"/>
        <w:tab w:val="right" w:pos="8306"/>
      </w:tabs>
      <w:snapToGrid w:val="0"/>
      <w:jc w:val="left"/>
    </w:pPr>
    <w:rPr>
      <w:sz w:val="18"/>
      <w:szCs w:val="18"/>
    </w:rPr>
  </w:style>
  <w:style w:type="paragraph" w:styleId="6">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8"/>
    <w:semiHidden/>
    <w:unhideWhenUsed/>
    <w:qFormat/>
    <w:uiPriority w:val="99"/>
    <w:rPr>
      <w:b/>
      <w:bCs/>
    </w:rPr>
  </w:style>
  <w:style w:type="character" w:styleId="10">
    <w:name w:val="annotation reference"/>
    <w:basedOn w:val="9"/>
    <w:semiHidden/>
    <w:unhideWhenUsed/>
    <w:uiPriority w:val="99"/>
    <w:rPr>
      <w:sz w:val="21"/>
      <w:szCs w:val="21"/>
    </w:rPr>
  </w:style>
  <w:style w:type="character" w:customStyle="1" w:styleId="11">
    <w:name w:val="标题 1 字符"/>
    <w:basedOn w:val="9"/>
    <w:link w:val="2"/>
    <w:qFormat/>
    <w:locked/>
    <w:uiPriority w:val="99"/>
    <w:rPr>
      <w:rFonts w:ascii="Calibri" w:hAnsi="Calibri" w:eastAsia="宋体" w:cs="Times New Roman"/>
      <w:b/>
      <w:bCs/>
      <w:kern w:val="44"/>
      <w:sz w:val="44"/>
      <w:szCs w:val="44"/>
    </w:rPr>
  </w:style>
  <w:style w:type="paragraph" w:customStyle="1" w:styleId="12">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3">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4">
    <w:name w:val="页眉 字符"/>
    <w:basedOn w:val="9"/>
    <w:link w:val="6"/>
    <w:semiHidden/>
    <w:qFormat/>
    <w:locked/>
    <w:uiPriority w:val="99"/>
    <w:rPr>
      <w:rFonts w:cs="Times New Roman"/>
      <w:sz w:val="18"/>
      <w:szCs w:val="18"/>
    </w:rPr>
  </w:style>
  <w:style w:type="character" w:customStyle="1" w:styleId="15">
    <w:name w:val="页脚 字符"/>
    <w:basedOn w:val="9"/>
    <w:link w:val="5"/>
    <w:semiHidden/>
    <w:qFormat/>
    <w:locked/>
    <w:uiPriority w:val="99"/>
    <w:rPr>
      <w:rFonts w:cs="Times New Roman"/>
      <w:sz w:val="18"/>
      <w:szCs w:val="18"/>
    </w:rPr>
  </w:style>
  <w:style w:type="paragraph" w:styleId="16">
    <w:name w:val="List Paragraph"/>
    <w:basedOn w:val="1"/>
    <w:unhideWhenUsed/>
    <w:qFormat/>
    <w:uiPriority w:val="99"/>
    <w:pPr>
      <w:ind w:firstLine="420" w:firstLineChars="200"/>
    </w:pPr>
  </w:style>
  <w:style w:type="character" w:customStyle="1" w:styleId="17">
    <w:name w:val="批注文字 字符"/>
    <w:basedOn w:val="9"/>
    <w:link w:val="3"/>
    <w:semiHidden/>
    <w:qFormat/>
    <w:uiPriority w:val="99"/>
    <w:rPr>
      <w:rFonts w:ascii="Calibri" w:hAnsi="Calibri"/>
      <w:kern w:val="2"/>
      <w:sz w:val="21"/>
      <w:szCs w:val="22"/>
    </w:rPr>
  </w:style>
  <w:style w:type="character" w:customStyle="1" w:styleId="18">
    <w:name w:val="批注主题 字符"/>
    <w:basedOn w:val="17"/>
    <w:link w:val="7"/>
    <w:semiHidden/>
    <w:uiPriority w:val="99"/>
    <w:rPr>
      <w:rFonts w:ascii="Calibri" w:hAnsi="Calibri"/>
      <w:b/>
      <w:bCs/>
      <w:kern w:val="2"/>
      <w:sz w:val="21"/>
      <w:szCs w:val="22"/>
    </w:rPr>
  </w:style>
  <w:style w:type="character" w:customStyle="1" w:styleId="19">
    <w:name w:val="批注框文本 字符"/>
    <w:basedOn w:val="9"/>
    <w:link w:val="4"/>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4381</Words>
  <Characters>4568</Characters>
  <Lines>32</Lines>
  <Paragraphs>9</Paragraphs>
  <TotalTime>18</TotalTime>
  <ScaleCrop>false</ScaleCrop>
  <LinksUpToDate>false</LinksUpToDate>
  <CharactersWithSpaces>4605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2021-05-24T05:53:00Z</dcterms:created>
  <dc:creator>Administrator</dc:creator>
  <cp:lastModifiedBy>Administrator</cp:lastModifiedBy>
  <dcterms:modified xsi:type="dcterms:W3CDTF">2023-04-20T06:23:35Z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D7E50CA3739E4B1899C7CE5BD8669647_12</vt:lpwstr>
  </property>
</Properties>
</file>