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昆明市</w:t>
      </w:r>
      <w:r>
        <w:rPr>
          <w:rFonts w:hint="eastAsia" w:ascii="方正小标宋简体" w:hAnsi="方正小标宋简体" w:eastAsia="方正小标宋简体" w:cs="方正小标宋简体"/>
          <w:bCs/>
          <w:sz w:val="44"/>
          <w:szCs w:val="44"/>
        </w:rPr>
        <w:t>盘龙区残疾人联合会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2</w:t>
      </w:r>
      <w:r>
        <w:rPr>
          <w:rFonts w:hint="eastAsia" w:ascii="方正小标宋简体" w:hAnsi="方正小标宋简体" w:eastAsia="方正小标宋简体" w:cs="方正小标宋简体"/>
          <w:bCs/>
          <w:sz w:val="44"/>
          <w:szCs w:val="44"/>
        </w:rPr>
        <w:t>年部门整体支出绩效自评报告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eastAsia="黑体"/>
          <w:b/>
          <w:bCs/>
          <w:sz w:val="44"/>
          <w:szCs w:val="44"/>
        </w:rPr>
      </w:pP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Mnml1wAA&#10;AAkBAAAPAAAAAAAAAAEAIAAAACIAAABkcnMvZG93bnJldi54bWxQSwECFAAUAAAACACHTuJA/QXH&#10;Xu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项目名称：昆明市盘龙区残疾人联合会部门整体支出</w:t>
      </w:r>
    </w:p>
    <w:p>
      <w:pPr>
        <w:adjustRightInd w:val="0"/>
        <w:snapToGrid w:val="0"/>
        <w:ind w:firstLine="643"/>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v0PcNgA&#10;AAAJAQAADwAAAAAAAAABACAAAAAiAAAAZHJzL2Rvd25yZXYueG1sUEsBAhQAFAAAAAgAh07iQGTT&#10;Wn7mAQAArAMAAA4AAAAAAAAAAQAgAAAAJw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部门名称：昆明市盘龙区残疾人联合会</w:t>
      </w: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IEn4I1wAA&#10;AAkBAAAPAAAAAAAAAAEAIAAAACIAAABkcnMvZG93bnJldi54bWxQSwECFAAUAAAACACHTuJALGMB&#10;1+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评价机构：昆明市盘龙区残疾人联合会</w:t>
      </w:r>
    </w:p>
    <w:p>
      <w:pPr>
        <w:ind w:left="1740" w:leftChars="580" w:firstLine="643"/>
        <w:rPr>
          <w:rFonts w:ascii="Times New Roman" w:hAnsi="Times New Roman" w:eastAsia="黑体"/>
          <w:b/>
          <w:bCs/>
          <w:sz w:val="32"/>
          <w:szCs w:val="32"/>
        </w:rPr>
      </w:pPr>
    </w:p>
    <w:p>
      <w:pPr>
        <w:ind w:firstLine="643"/>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rPr>
        <w:t>2</w:t>
      </w:r>
      <w:r>
        <w:rPr>
          <w:rFonts w:hint="eastAsia" w:ascii="Times New Roman" w:hAnsi="Times New Roman" w:eastAsia="黑体"/>
          <w:b/>
          <w:bCs/>
          <w:sz w:val="32"/>
          <w:szCs w:val="32"/>
          <w:lang w:val="en-US" w:eastAsia="zh-CN"/>
        </w:rPr>
        <w:t>3</w:t>
      </w:r>
      <w:r>
        <w:rPr>
          <w:rFonts w:hint="eastAsia" w:ascii="Times New Roman" w:hAnsi="Times New Roman" w:eastAsia="黑体" w:cs="黑体"/>
          <w:b/>
          <w:bCs/>
          <w:sz w:val="32"/>
          <w:szCs w:val="32"/>
        </w:rPr>
        <w:t>年</w:t>
      </w:r>
      <w:r>
        <w:rPr>
          <w:rFonts w:hint="eastAsia" w:ascii="Times New Roman" w:hAnsi="Times New Roman" w:eastAsia="黑体"/>
          <w:b/>
          <w:bCs/>
          <w:sz w:val="32"/>
          <w:szCs w:val="32"/>
        </w:rPr>
        <w:t>04</w:t>
      </w:r>
      <w:r>
        <w:rPr>
          <w:rFonts w:hint="eastAsia" w:ascii="Times New Roman" w:hAnsi="Times New Roman" w:eastAsia="黑体" w:cs="黑体"/>
          <w:b/>
          <w:bCs/>
          <w:sz w:val="32"/>
          <w:szCs w:val="32"/>
        </w:rPr>
        <w:t>月</w:t>
      </w: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b/>
          <w:bCs/>
          <w:sz w:val="28"/>
          <w:szCs w:val="28"/>
        </w:rPr>
      </w:pPr>
    </w:p>
    <w:p>
      <w:pPr>
        <w:widowControl/>
        <w:ind w:firstLine="562"/>
        <w:jc w:val="left"/>
        <w:rPr>
          <w:rFonts w:ascii="Times New Roman" w:hAnsi="Times New Roman"/>
          <w:b/>
          <w:bCs/>
          <w:sz w:val="28"/>
          <w:szCs w:val="28"/>
        </w:rPr>
        <w:sectPr>
          <w:footerReference r:id="rId5" w:type="first"/>
          <w:headerReference r:id="rId3" w:type="default"/>
          <w:footerReference r:id="rId4" w:type="default"/>
          <w:pgSz w:w="11906" w:h="16838"/>
          <w:pgMar w:top="1701" w:right="1587" w:bottom="1587" w:left="1587" w:header="851" w:footer="992" w:gutter="0"/>
          <w:cols w:space="425" w:num="1"/>
          <w:titlePg/>
          <w:docGrid w:type="lines" w:linePitch="312" w:charSpace="0"/>
        </w:sectPr>
      </w:pPr>
    </w:p>
    <w:p>
      <w:pPr>
        <w:pStyle w:val="10"/>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jc w:val="center"/>
        </w:trPr>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黎如珊</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理事长</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办公室</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9"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杨超</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副理事长</w:t>
            </w:r>
          </w:p>
        </w:tc>
        <w:tc>
          <w:tcPr>
            <w:tcW w:w="1621" w:type="dxa"/>
            <w:vAlign w:val="center"/>
          </w:tcPr>
          <w:p>
            <w:pPr>
              <w:ind w:firstLine="0" w:firstLineChars="0"/>
              <w:jc w:val="center"/>
              <w:rPr>
                <w:rFonts w:asciiTheme="majorEastAsia" w:hAnsiTheme="majorEastAsia" w:eastAsiaTheme="majorEastAsia" w:cstheme="majorEastAsia"/>
                <w:sz w:val="28"/>
                <w:szCs w:val="28"/>
                <w:lang w:val="zh-TW" w:eastAsia="zh-TW"/>
              </w:rPr>
            </w:pPr>
            <w:r>
              <w:rPr>
                <w:rFonts w:hint="eastAsia" w:asciiTheme="majorEastAsia" w:hAnsiTheme="majorEastAsia" w:eastAsiaTheme="majorEastAsia" w:cstheme="majorEastAsia"/>
                <w:sz w:val="28"/>
                <w:szCs w:val="28"/>
                <w:lang w:val="zh-TW"/>
              </w:rPr>
              <w:t>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成员</w:t>
            </w:r>
          </w:p>
        </w:tc>
        <w:tc>
          <w:tcPr>
            <w:tcW w:w="1620" w:type="dxa"/>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eastAsia="zh-CN"/>
              </w:rPr>
            </w:pPr>
            <w:r>
              <w:rPr>
                <w:rFonts w:hint="eastAsia" w:asciiTheme="majorEastAsia" w:hAnsiTheme="majorEastAsia" w:eastAsiaTheme="majorEastAsia" w:cstheme="majorEastAsia"/>
                <w:kern w:val="2"/>
                <w:sz w:val="28"/>
                <w:szCs w:val="28"/>
                <w:lang w:eastAsia="zh-CN"/>
              </w:rPr>
              <w:t>袁军</w:t>
            </w:r>
          </w:p>
        </w:tc>
        <w:tc>
          <w:tcPr>
            <w:tcW w:w="1620" w:type="dxa"/>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办公室主任</w:t>
            </w:r>
          </w:p>
        </w:tc>
        <w:tc>
          <w:tcPr>
            <w:tcW w:w="1621" w:type="dxa"/>
            <w:vAlign w:val="center"/>
          </w:tcPr>
          <w:p>
            <w:pPr>
              <w:ind w:firstLine="0" w:firstLineChars="0"/>
              <w:jc w:val="center"/>
              <w:rPr>
                <w:rFonts w:asciiTheme="majorEastAsia" w:hAnsiTheme="majorEastAsia" w:eastAsiaTheme="majorEastAsia" w:cstheme="majorEastAsia"/>
                <w:sz w:val="28"/>
                <w:szCs w:val="28"/>
                <w:lang w:val="zh-TW"/>
              </w:rPr>
            </w:pPr>
            <w:r>
              <w:rPr>
                <w:rFonts w:hint="eastAsia" w:asciiTheme="majorEastAsia" w:hAnsiTheme="majorEastAsia" w:eastAsiaTheme="majorEastAsia" w:cstheme="majorEastAsia"/>
                <w:sz w:val="28"/>
                <w:szCs w:val="28"/>
                <w:lang w:val="zh-TW"/>
              </w:rPr>
              <w:t>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王海燕</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综合业务科</w:t>
            </w:r>
            <w:r>
              <w:rPr>
                <w:rFonts w:hint="eastAsia" w:asciiTheme="majorEastAsia" w:hAnsiTheme="majorEastAsia" w:eastAsiaTheme="majorEastAsia" w:cstheme="majorEastAsia"/>
                <w:kern w:val="2"/>
                <w:sz w:val="28"/>
                <w:szCs w:val="28"/>
                <w:lang w:val="zh-TW"/>
              </w:rPr>
              <w:t>科科长</w:t>
            </w:r>
          </w:p>
        </w:tc>
        <w:tc>
          <w:tcPr>
            <w:tcW w:w="1621" w:type="dxa"/>
            <w:vAlign w:val="center"/>
          </w:tcPr>
          <w:p>
            <w:pPr>
              <w:ind w:firstLine="0" w:firstLineChars="0"/>
              <w:jc w:val="center"/>
              <w:rPr>
                <w:rFonts w:asciiTheme="majorEastAsia" w:hAnsiTheme="majorEastAsia" w:eastAsiaTheme="majorEastAsia" w:cstheme="majorEastAsia"/>
                <w:sz w:val="28"/>
                <w:szCs w:val="28"/>
                <w:lang w:val="zh-TW" w:eastAsia="zh-TW"/>
              </w:rPr>
            </w:pPr>
            <w:r>
              <w:rPr>
                <w:rFonts w:hint="eastAsia" w:asciiTheme="majorEastAsia" w:hAnsiTheme="majorEastAsia" w:eastAsiaTheme="majorEastAsia" w:cstheme="majorEastAsia"/>
                <w:kern w:val="2"/>
                <w:sz w:val="28"/>
                <w:szCs w:val="28"/>
                <w:lang w:val="zh-TW" w:eastAsia="zh-CN"/>
              </w:rPr>
              <w:t>综合业务科</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4"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赵荣玲</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财务人员</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jc w:val="center"/>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jc w:val="center"/>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587"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40" w:lineRule="exact"/>
        <w:ind w:firstLine="560"/>
        <w:jc w:val="center"/>
        <w:textAlignment w:val="auto"/>
        <w:outlineLvl w:val="9"/>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lang w:val="zh-CN"/>
        </w:rPr>
        <w:t>目录</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rPr>
        <w:t>摘要</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一</w:t>
      </w:r>
      <w:r>
        <w:rPr>
          <w:rFonts w:hint="eastAsia" w:ascii="黑体" w:hAnsi="黑体" w:eastAsia="黑体" w:cs="黑体"/>
          <w:sz w:val="28"/>
          <w:szCs w:val="28"/>
        </w:rPr>
        <w:t>、部门概况</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（一）部门机构设置、编制</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（二）部门职能</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（三）部门工作完成情况</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（四）部门管理制度 </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（五）部门资金来源及使用情况</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（六）政府采购情况 </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（七）固定资产情况</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二</w:t>
      </w:r>
      <w:r>
        <w:rPr>
          <w:rFonts w:hint="eastAsia" w:ascii="黑体" w:hAnsi="黑体" w:eastAsia="黑体" w:cs="黑体"/>
          <w:sz w:val="28"/>
          <w:szCs w:val="28"/>
        </w:rPr>
        <w:t>、绩效目标</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三</w:t>
      </w:r>
      <w:r>
        <w:rPr>
          <w:rFonts w:hint="eastAsia" w:ascii="黑体" w:hAnsi="黑体" w:eastAsia="黑体" w:cs="黑体"/>
          <w:sz w:val="28"/>
          <w:szCs w:val="28"/>
        </w:rPr>
        <w:t>、评价思路和过程</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（一）评价思路</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（二）评价目的</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（三）评价依据</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（四）评价对象及评价时段</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四</w:t>
      </w:r>
      <w:r>
        <w:rPr>
          <w:rFonts w:hint="eastAsia" w:ascii="黑体" w:hAnsi="黑体" w:eastAsia="黑体" w:cs="黑体"/>
          <w:sz w:val="28"/>
          <w:szCs w:val="28"/>
        </w:rPr>
        <w:t>、评价结论和绩效分析</w:t>
      </w:r>
      <w:r>
        <w:rPr>
          <w:rFonts w:hint="eastAsia" w:ascii="黑体" w:hAnsi="黑体" w:eastAsia="黑体" w:cs="黑体"/>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（一）评价结论</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（二）具体绩效分析</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五</w:t>
      </w:r>
      <w:r>
        <w:rPr>
          <w:rFonts w:hint="eastAsia" w:ascii="黑体" w:hAnsi="黑体" w:eastAsia="黑体" w:cs="黑体"/>
          <w:sz w:val="28"/>
          <w:szCs w:val="28"/>
        </w:rPr>
        <w:t>、主要经验做法</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六</w:t>
      </w:r>
      <w:r>
        <w:rPr>
          <w:rFonts w:hint="eastAsia" w:ascii="黑体" w:hAnsi="黑体" w:eastAsia="黑体" w:cs="黑体"/>
          <w:sz w:val="28"/>
          <w:szCs w:val="28"/>
        </w:rPr>
        <w:t>、存在的问题</w:t>
      </w:r>
      <w:r>
        <w:rPr>
          <w:rFonts w:hint="eastAsia" w:ascii="黑体" w:hAnsi="黑体" w:eastAsia="黑体" w:cs="黑体"/>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七</w:t>
      </w:r>
      <w:r>
        <w:rPr>
          <w:rFonts w:hint="eastAsia" w:ascii="黑体" w:hAnsi="黑体" w:eastAsia="黑体" w:cs="黑体"/>
          <w:sz w:val="28"/>
          <w:szCs w:val="28"/>
        </w:rPr>
        <w:t>、改进措施及建议</w:t>
      </w: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440" w:lineRule="exact"/>
        <w:ind w:firstLine="56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r>
        <w:rPr>
          <w:rFonts w:hint="eastAsia" w:ascii="仿宋_GB2312" w:hAnsi="仿宋_GB2312" w:cs="仿宋_GB2312"/>
          <w:sz w:val="28"/>
          <w:szCs w:val="28"/>
          <w:lang w:eastAsia="zh-CN"/>
        </w:rPr>
        <w:t>：</w:t>
      </w:r>
      <w:r>
        <w:rPr>
          <w:rFonts w:hint="eastAsia" w:ascii="仿宋_GB2312" w:hAnsi="仿宋_GB2312" w:eastAsia="仿宋_GB2312" w:cs="仿宋_GB2312"/>
          <w:sz w:val="28"/>
          <w:szCs w:val="28"/>
        </w:rPr>
        <w:t>1</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成本费用分析报告</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1400" w:firstLineChars="5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部门职能分解</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1400" w:firstLineChars="5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 xml:space="preserve">评价指标体系 </w:t>
      </w:r>
    </w:p>
    <w:p>
      <w:pPr>
        <w:keepNext w:val="0"/>
        <w:keepLines w:val="0"/>
        <w:pageBreakBefore w:val="0"/>
        <w:widowControl w:val="0"/>
        <w:kinsoku/>
        <w:wordWrap/>
        <w:overflowPunct/>
        <w:topLinePunct w:val="0"/>
        <w:autoSpaceDE/>
        <w:autoSpaceDN/>
        <w:bidi w:val="0"/>
        <w:adjustRightInd/>
        <w:snapToGrid/>
        <w:spacing w:line="440" w:lineRule="exact"/>
        <w:ind w:firstLine="1400" w:firstLineChars="5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年工作总结</w:t>
      </w:r>
    </w:p>
    <w:p>
      <w:pPr>
        <w:keepNext w:val="0"/>
        <w:keepLines w:val="0"/>
        <w:pageBreakBefore w:val="0"/>
        <w:widowControl w:val="0"/>
        <w:kinsoku/>
        <w:wordWrap/>
        <w:overflowPunct/>
        <w:topLinePunct w:val="0"/>
        <w:autoSpaceDE/>
        <w:autoSpaceDN/>
        <w:bidi w:val="0"/>
        <w:adjustRightInd/>
        <w:snapToGrid/>
        <w:spacing w:line="440" w:lineRule="exact"/>
        <w:ind w:firstLine="1400" w:firstLineChars="5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工作底稿</w:t>
      </w:r>
      <w:r>
        <w:rPr>
          <w:rFonts w:hint="eastAsia" w:ascii="仿宋_GB2312" w:hAnsi="仿宋_GB2312" w:eastAsia="仿宋_GB2312" w:cs="仿宋_GB2312"/>
          <w:sz w:val="28"/>
          <w:szCs w:val="28"/>
        </w:rPr>
        <w:tab/>
      </w:r>
    </w:p>
    <w:p>
      <w:pPr>
        <w:keepNext w:val="0"/>
        <w:keepLines w:val="0"/>
        <w:pageBreakBefore w:val="0"/>
        <w:widowControl w:val="0"/>
        <w:kinsoku/>
        <w:wordWrap/>
        <w:overflowPunct/>
        <w:topLinePunct w:val="0"/>
        <w:autoSpaceDE/>
        <w:autoSpaceDN/>
        <w:bidi w:val="0"/>
        <w:adjustRightInd/>
        <w:snapToGrid/>
        <w:spacing w:line="440" w:lineRule="exact"/>
        <w:ind w:firstLine="1400" w:firstLineChars="5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rPr>
        <w:t>盘龙区残联202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年部门预算、决算明细表（单位：元）</w:t>
      </w:r>
    </w:p>
    <w:p>
      <w:pPr>
        <w:spacing w:line="600" w:lineRule="exact"/>
        <w:ind w:firstLine="600"/>
        <w:jc w:val="center"/>
        <w:rPr>
          <w:rFonts w:ascii="方正小标宋_GBK" w:hAnsi="黑体" w:eastAsia="方正小标宋_GBK"/>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昆明市</w:t>
      </w:r>
      <w:r>
        <w:rPr>
          <w:rFonts w:hint="eastAsia" w:ascii="方正小标宋简体" w:hAnsi="方正小标宋简体" w:eastAsia="方正小标宋简体" w:cs="方正小标宋简体"/>
          <w:sz w:val="44"/>
          <w:szCs w:val="44"/>
        </w:rPr>
        <w:t>盘龙区残疾人联合会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2022年度部门整体支出绩效评价报告</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一、部门概况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（一）部门机构设置、编制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昆明市盘龙区残疾人联合会是经国家法律确认，经盘龙区人民政府批准的由残疾人及其亲友和残疾人工作者组成的人民团体，是全区各类残疾人的统一组织，是党和政府联系广大残疾人的桥梁和纽带。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联现内设2个职能科室，即办公室和综合业务科，下属二个事业单位，即盘龙区残疾人康复指导和就业服务站（全额拨款事业单位）、盘龙区残疾人综合服务中心（财政差额拨款80%）。其中，盘龙区残疾人综合服务中心于2018年4月起机构单列，实行独立核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联机关及下属单位共核定行政及事业编制20名，2022年年末有在职人员19人（包括行政编制6人，全额事业编制9人，差额事业编制4人），退休人员8人，其中差额事业编制4人属独立核算的残疾人综合服务中心职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1.代表残疾人共同利益，维护残疾人合法权益；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2.团结教育残疾人，为残疾人服务；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3.履行法律赋予的职责，承担政府委托的任务，管理和发展残疾人事业。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（三）部门工作完成情况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1.残疾人康复工作</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为577人名辖区残疾人提供精准康复服务，精准康复服务率100%，辅具适配率100%。开展精障康复服务全年为精神残疾人提供免费服药375人；开展辅助器具适配服务，为98名残疾人配发辅助器具，其中10名听障残疾人适配助听器，5名肢体残疾人适配假肢，帮助改善及补偿残障功能；开展儿童康复救助服务，为辖区119名残疾儿童提供儿童康复救助服务；开展残疾人家庭医生签约服务，2022年签约家庭医生并履约服务残疾人5066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2.残疾人教育就业和扶贫工作</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积极落实残疾人医疗保障政策，为全区7173名残疾人全额缴纳城乡居民基本医疗保险，实现残疾人医疗保障全覆盖。鼓励和帮助残疾人积极参加城乡居民社会养老保险,实现人人享有基本社会保障，做好三四级残疾人2022年城乡居民社会养老保险核定工作。截止11月，共为1043名残疾人发放城乡居民养老保险缴费补助20.86万元，鼓励广大残疾人积极参保，先缴后补，应补尽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贯彻落实《昆明市残疾人特殊困难临时救助工作实施方案》（昆残发〔2017〕78号）、《盘龙区贫困残疾人特殊困难临时生活、医疗救助工作实施方案》，积极做好好贫困残疾人突发性、临时性生活困难救助工作，切实解决残疾人家庭因重大疾病、突发性灾难等特殊原因造成的生活暂时困难，帮助弱势群体度过难关。切实做好贫困残疾人突发性、临时性生活困难救助工作。截止11月对89名贫困残疾人给予困难补助21.77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207名残疾人提供能够满足其意愿、需求的个别化支持的居家照料、日间照料和集中托养服务。为符合条件的32名高中、大专阶段的残疾学生和贫困残疾人家庭子女提供帮助。积极开发就业岗位40余个，228家用人单位安置残疾人就业422人，同时，辖区内10名残疾人通过自主创业实现就业。对辖区150名残疾人进行了免费的腌制品制作、居家卫生、中式烹饪等职业技能培训。优化残疾人证核发服务工作，为优化营商环境助力，推行代办服务，为残疾人提供送证上门服务并同邮政签订寄递服务协议，做到残疾人证核发跑出加速度，跨省通办服务顺利推进。2022年，受理了1522名残疾人证办理申请，其中跨省通办15件，省内通办35件。联合区医院针对无法出门的21名重度肢体残疾人提供免费上门鉴定残疾情况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盲人保健按摩机构行业管理。不断加强行业的日常管理和检查，确保盲人保健按摩机构正常开办。今年备案盲人保健按摩机构45家；完成我区3家盲人按摩机构申报规范化建设和量化分级评定验收工作。组织18人参加2022年度云南省盲人医疗按摩人员国家级暨省级线上继续教育培训。做好盲人行业安全生产工作，向辖区内32家盲人保健按摩机构发放口罩、测温仪、灭火器等疫情防控物资及消防安全设备，持续巩固和稳定辖区内盲人按摩行业就业岗位和“助盲脱贫”行动成果。</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为10名残疾人发放创业补助资金10.4万元，为辖区内21名残疾人发放驾驶技能培训补助4.6万元。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3.残疾人生活和护理补贴工作</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继续做好残疾人两项补贴申报审核工作。辖区内1777名贫困残疾人享受困难残疾人生活补贴，4315名重度残疾人享受重度残疾人护理补贴。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4.其他残疾人事业支出工作</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开展残疾人事业宣传活动、“阳光助残 携手筑梦”主题志愿服务活动、残疾人文化“五个一”活动、残疾人文体活动、协会活动，配置了45名社区残协专职委员，服务全区持证残疾人，向4个涉农街道43名村级联络员按月发放村级联络员工作补贴，为辖区内105个社区拨付社区社区工作经费，完成全区13012名残疾人信息采集调查，组织开展专职委员业务素质培训1期 ，剩余6期因疫情原因未能正常开展，顺延至2023年继续开展。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5.日常办公维持工作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持残疾人联合会及残疾人综合服务中心日常工作正常开展，保障区残联及下属事业单位19名工作人员工资社保正常有序发放、办公用品得到及时补给、符合条件并有需求的工作人员得到应有的业务培训等，为残疾人工作的顺利开展提供充分的后勤保障，全力做好残疾人维权工作和党风廉政建设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（四）部门管理制度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《盘龙区残联内部管理制度》、《盘龙区残疾人联合会“三重一大”集体决策制度》、《盘龙残联理事长办公会议事规则》、《盘龙区残联财务管理制度（试行）》等。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（五）部门资金来源及使用情况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cs="仿宋_GB2312"/>
          <w:sz w:val="32"/>
          <w:szCs w:val="32"/>
          <w:lang w:eastAsia="zh-CN"/>
        </w:rPr>
      </w:pPr>
      <w:r>
        <w:rPr>
          <w:rFonts w:hint="eastAsia" w:ascii="仿宋_GB2312" w:hAnsi="仿宋_GB2312" w:eastAsia="仿宋_GB2312" w:cs="仿宋_GB2312"/>
          <w:sz w:val="32"/>
          <w:szCs w:val="32"/>
        </w:rPr>
        <w:t>1.部门资金来源</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2022年盘龙区残联资金收入共计1342.88万元，来源主要有区级预算收入、纳入预算管理的非税收入、和上级（中央、省、市级）转移支付资金。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盘龙区残联2022年区级预算收入为802.61万元，年初预算为1473.27万元，年度调减区级经费670.66万元。其中基本支出预算收入389.33万元，年初预算399.52元，调减预算10.19万元；项目支出预算收入413.27万元，年初预算1073.75万元，调减经费660.48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（2）盘龙区残联2022年上级转移支付资金收入509.51万元，其中中央补助422.94万元，省级补助23.63万元，市级补助62.94万元。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（3）盘龙区残联2022年其他收入30.76万元。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2.部门资金使用情况。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区残联经费共计支出1340.76万元，其中，区级预算支出831.25万元，上级拨款支出509.51万元；基本支出支出389.33万元，项目支出支出951.42万元（残疾人康复项目支出150.63万元，残疾人就业和扶贫项目支出346.25万元，残疾人生活和护理补贴项目支出279.81万元，其他残疾人事业支出项目支出134.69万元，其他支出40.04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（六）政府采购情况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盘龙区残联2022年无政府采购。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（七）固定资产情况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2022年12月31日，昆明市盘龙区残疾人联合会固定资产原值620.80万元，固定资产累计折旧461.04万元，固定资产净值为159.76万元；无形资产28.58万元，无形资产累计摊销8.63万元，无形资产净值为19.95万元。2022年无新增固定资产和无形资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（一）部门总目标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1.社区残疾人康复、残疾人康复普及型康复用品配发、精神病防治康复、社区精准康复服务工作等经费支出。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2.残疾人自主创业扶持、职业技能培训、按比例安置残疾人就业工作、特殊临时困难救助和托养服务、重大节日走访慰问、社会保障工作等经费支出。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3.基层残疾人组织建设工作、残疾人基本服务状况和需求调查工作、扶残助残社会氛围营造宣传工作、区残疾人综合服务设施支持性服务经费等经费支出。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4.发放全区困难残疾人生活补贴和重度残疾人护理补贴。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（二）部门项目具体计划目标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残疾人康复工作：为全区有康复需求的残疾儿童已按规定程序进入昆明市定点康复机构进行康复救助治疗，为辖区残疾人提供针对性的康复服务；区贫困精神病人实现免费服药补助全覆盖；为贫困区残疾人配发普及型康复用品用具。为贫困残疾人配发生活用具；开展家庭医生签约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4.残疾人生活和护理补贴：发放全区困难残疾人生活补贴和重度残疾人护理补贴，切实改善困难残疾人的生活状况和重度残疾人的护理状况。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三、评价思路和过程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（一）评价思路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确认当年度部门整体支出的绩效目标→梳理部门内部管理制度及存量资源→分析确定当年度部门整体支出的评价重点→构建绩效评价指标体系。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（二）评价目的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收集单位基本情况、2022年预算制定与预算明细、2022年年度工作计划及组织架构等信息，分析本单位资源配置的合理性及中长期规划目标完成与履职情况，总结经验做法，找出预算绩效管理中的薄弱环节，提出改进建议，提高财政资金的使用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（三）评价依据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疾人联合会2022年整体绩效评价主要依据是参照：《昆明市盘龙区财政局关于下达2022年部门预算的批复》（盘财〔2022〕1号）、《昆明市盘龙区财政局关于开展2022年度区级预算支出绩效自评工作的通知》（盘财绩〔2023〕14号）、《盘龙区区级部门预算绩效自评管理暂行办法》（盘财〔2018〕71号）、2022年度盘龙区残疾人联合会预算执行情况表、2022年1-12月预算绩效跟踪表、中央、省、市、区党委政府对于部门或该项目的相关要求等，对2022年度预算支出情况进行分析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（四）评价对象及评价时段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残联对2022年度区级预算安排的基本支出、项目支出（包括残疾人康复经费、残疾人就业和扶贫经费、残疾人生活和护理补贴经费及其他残疾人事业支出经费共四个项目）和中央、省、市及安排的专项资金全面的进行评价。评价分为季度评价和年度评价，每个季度对整体支出绩效和项目支出绩效跟踪，及时将跟踪结果反馈区级财政部门，年度终了，对整个会计年度的支出情况做全面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四、评价结论和绩效分析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1.评价结果</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残疾人基本支出和项目支出资金使用严格按照《预算法》、《会计法》执行，符合中央、省、市文件要求，财政资金的投入，进一步完善了为残疾人服务体系，使残疾人得到康复范围拓宽，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增加残疾人幸福感和社会参与感，促进残疾人全面发展。本单位整体绩效指标评价体系总分100分，自评得分100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2.主要绩效</w:t>
      </w:r>
      <w:r>
        <w:rPr>
          <w:rFonts w:hint="eastAsia" w:ascii="仿宋_GB2312" w:hAnsi="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残疾人康复工作：为全区有康复需求的残疾儿童已按规定程序进入昆明市定点康复机构进行康复救助治疗，为辖区残疾人提供针对性的康复服务；区贫困精神病人实现免费服药补助全覆盖，为贫困区残疾人配发普及型康复用品用具；为贫困残疾人配发生活用具；开展家庭医生签约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4.残疾人生活和护理补贴：发放全区困难残疾人生活补贴和重度残疾人护理补贴，切实改善困难残疾人的生活状况和重度残疾人的护理状况。</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评价组对本单位整体绩效从部门决策、部门管理和部门绩效三个方面设立11个二级指标、45个三级指标，按照不同权重对项目绩效进行量化评价，具体评价情况如下：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1.部门决策（总分35分，评价得分35分）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目标：部门中长期规划目标、年度规划目标明确，部门详细工作计划与年度工作目标对应匹配，绩效目标合理可量化，符合部门制定的中长期实施规划计，符合部门“三定”方案确定的职责，与部门年度工作目标、任务相一致。（总分12分，评价得分12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门职能：①职能明确、设定依据充分，有“三定”文件，部门详细工作目标与部门职能对应匹配，部门年度具体工作与部门职能对应匹配，部门内设科室及下属单位具体职责明确。（总分10分，评价得分10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源配置：部门年度基本支出预算根据人员经费、公用经费标准进行合理编制，部门年度项目支出预算程序、预算依据、适用范围合理，部门核定人员的编制与部门工作内容合理，部门现有办公资源能否满足部门日常工作需求。（总分13分，评价得分13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2.部门管理（总分20分，评价得分20分）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算管理：部门基本支出本年度决算数与预算数的比率为100%，项目支出本年度决算数与预算数的比率100%；部门本年度“三公”经费预算数与上年度“三公”经费预算数的变动比率0%；根据年中预算实际执行情况及时合规进行预算调整。（总分7分，评价得分7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（2）财务管理：财务管理制度健全；资金使用合规；有明确的财务监控监督措施，监控、监督措施执行有效。（总分6分，评价得分6分）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（3）人力资源管理：部门本年度实际在职人员数与编制数的比率为95%；有具体的人力资源管理制度文件和参照文件；严格按照相关文件对各类型人员进行管理和考核。（总分2分，评价得分2分）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（4）资产管理：固定资产在用率98%；已制定固定资产管理办法、资产使用办法等管理制度，相关管理制度合法、合规、完整，相关管理制度得到有效执行。（总分2分，评价得分2分）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（5）业务管理：已制定业务管理、项目管理等管理制度，相关管理制度合法、合规、完整，能得到有效执行；政府采购方式、程序都规范；有定期指导记录、考核结果。（总分3分，评价得分3分）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3.部门绩效（总分45分，评价得分45分）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产出：重点项目全部完成；帮困、医疗补贴等社会保障工作全部完成；残疾人助学工作全部完成；各类康复服务计划全部完成；就业安置及培训计划全部完成；残疾人信息化统计、阳光关爱服务等政府采购项目按制度严格执行政府采购流程；年度内部门实际完成工作数中达到上级部门和同级政府目标要求。（总分18分，评价得分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部门效果：投诉信访事件有所减少：助困、助学等社会保障项目在各类残疾人保障中的覆盖率达90%以上；各类康复服务项目有明显的康复效果；有效促进残疾人就业；残疾人对区残联现提供服务及补贴政策的知晓程度达80%以上；残联系统相关人员及辖区内残疾人对残联工作的满意达85%。（总分21分，评价得分21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（3）部门可持续发展：部门管理人员能期接受培训；按规定内容、规定时限公开预决算信息、绩效信息及其他信息，各处室、下属单位等信息共享。（总分6分，评价得分6分）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五、主要经验做法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残联作为区委、区政府联系残疾人群众的桥梁和纽带，积极履职尽责，大胆实践，勇于开拓创新。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加强工作宣传力度，增强社会公众对残联的认知和对残疾人群体的接纳程度；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精细管理，提供工作质量和效率，全面落实绩效管理目标责任制，多部门协作，共同推进项目各项任务指标的落实</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根据实际救助人数进行费用结算，保证财政资金使用效率；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严格执行资金使用管理的相关规定。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80%以上的指标进行量化；考评过程与考评结果相结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六、存在的问题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事业项目经费主要由上级项目经费和区级预算组成，残疾人对项目效果期望值高，而残疾人康复服务、残疾人就救助项目服务群体大，投入成本高，残疾人事业项目经费保障与广大残疾人服务需求矛盾突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七、改进措施及建议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政策学习，提高思想认识。加强单位对《预算法》等相关法规、制度的学习，提高单位领导对全面预算管理的重视程度，增强单位各业务科室及财务人员的预算意识，坚持先有预算、后有支出，没有预算不得支出的支出理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2.结合工作实际，提高预算科学性。预算编制前根据年度内单位可预见的工作任务，确定单位年度预算目标，细化预算指标，科学合理编制部门预算，推进预算编制科学化、准确化。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szCs w:val="30"/>
          <w:highlight w:val="yellow"/>
        </w:rPr>
      </w:pPr>
      <w:bookmarkStart w:id="0" w:name="_GoBack"/>
      <w:bookmarkEnd w:id="0"/>
      <w:r>
        <w:rPr>
          <w:rFonts w:hint="eastAsia" w:ascii="仿宋_GB2312" w:hAnsi="仿宋_GB2312" w:eastAsia="仿宋_GB2312" w:cs="仿宋_GB2312"/>
          <w:sz w:val="32"/>
          <w:szCs w:val="32"/>
        </w:rPr>
        <w:t>3.加大对残疾人工作的经费投入，提高残疾人工作者业务能力，提升残疾人服务水平，更好的为残疾人提供服务。</w:t>
      </w:r>
    </w:p>
    <w:sectPr>
      <w:pgSz w:w="11906" w:h="16838"/>
      <w:pgMar w:top="1587"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ind w:firstLine="360"/>
                          </w:pPr>
                          <w:r>
                            <w:fldChar w:fldCharType="begin"/>
                          </w:r>
                          <w:r>
                            <w:instrText xml:space="preserve"> PAGE   \* MERGEFORMAT </w:instrText>
                          </w:r>
                          <w:r>
                            <w:fldChar w:fldCharType="separate"/>
                          </w:r>
                          <w:r>
                            <w:rPr>
                              <w:lang w:val="zh-CN"/>
                            </w:rP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rPr>
                        <w:lang w:val="zh-CN"/>
                      </w:rPr>
                      <w:t>17</w:t>
                    </w:r>
                    <w:r>
                      <w:fldChar w:fldCharType="end"/>
                    </w:r>
                  </w:p>
                </w:txbxContent>
              </v:textbox>
            </v:shape>
          </w:pict>
        </mc:Fallback>
      </mc:AlternateContent>
    </w:r>
  </w:p>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ind w:firstLine="60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8+2hAaAgAAIQQAAA4AAABkcnMvZTJvRG9jLnhtbK1TzY7TMBC+I/EO&#10;lu80aVFX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5vW0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rz7aEBoCAAAhBAAADgAA&#10;AAAAAAABACAAAAAfAQAAZHJzL2Uyb0RvYy54bWxQSwUGAAAAAAYABgBZAQAAqwUAAAAA&#10;">
              <v:fill on="f" focussize="0,0"/>
              <v:stroke on="f" weight="0.5pt"/>
              <v:imagedata o:title=""/>
              <o:lock v:ext="edit" aspectratio="f"/>
              <v:textbox inset="0mm,0mm,0mm,0mm" style="mso-fit-shape-to-text:t;">
                <w:txbxContent>
                  <w:p>
                    <w:pPr>
                      <w:ind w:firstLine="600"/>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MmQ3NjRjNmRhYjg2N2Y4NDgyOTFhODcxNGM5NDUifQ=="/>
  </w:docVars>
  <w:rsids>
    <w:rsidRoot w:val="00203805"/>
    <w:rsid w:val="00203805"/>
    <w:rsid w:val="00235A05"/>
    <w:rsid w:val="00256ECF"/>
    <w:rsid w:val="003B2444"/>
    <w:rsid w:val="0047317D"/>
    <w:rsid w:val="00D311F5"/>
    <w:rsid w:val="00D90862"/>
    <w:rsid w:val="00F066CB"/>
    <w:rsid w:val="02B64773"/>
    <w:rsid w:val="08792779"/>
    <w:rsid w:val="08874479"/>
    <w:rsid w:val="09E65F21"/>
    <w:rsid w:val="0AC91726"/>
    <w:rsid w:val="0B430E5C"/>
    <w:rsid w:val="0C7B4653"/>
    <w:rsid w:val="0ECE3874"/>
    <w:rsid w:val="12562F32"/>
    <w:rsid w:val="1465358E"/>
    <w:rsid w:val="14AC5EC1"/>
    <w:rsid w:val="1798478C"/>
    <w:rsid w:val="1A2746E7"/>
    <w:rsid w:val="1BB43181"/>
    <w:rsid w:val="1DF77F84"/>
    <w:rsid w:val="1FD13917"/>
    <w:rsid w:val="1FD36BDF"/>
    <w:rsid w:val="20746A5E"/>
    <w:rsid w:val="21C32357"/>
    <w:rsid w:val="27EF494B"/>
    <w:rsid w:val="2B090312"/>
    <w:rsid w:val="2B0F45C8"/>
    <w:rsid w:val="2B160365"/>
    <w:rsid w:val="2C5C2091"/>
    <w:rsid w:val="2CCD48C1"/>
    <w:rsid w:val="2CEA1E31"/>
    <w:rsid w:val="2D9E681D"/>
    <w:rsid w:val="2DCC55E9"/>
    <w:rsid w:val="2DE56A43"/>
    <w:rsid w:val="2E1D55C2"/>
    <w:rsid w:val="2E9B17B7"/>
    <w:rsid w:val="2F1B0C91"/>
    <w:rsid w:val="300D7A86"/>
    <w:rsid w:val="305A4261"/>
    <w:rsid w:val="31056813"/>
    <w:rsid w:val="34E36269"/>
    <w:rsid w:val="35BD4AC5"/>
    <w:rsid w:val="36861E7B"/>
    <w:rsid w:val="36885794"/>
    <w:rsid w:val="381432B1"/>
    <w:rsid w:val="38273008"/>
    <w:rsid w:val="388E693A"/>
    <w:rsid w:val="38A7274C"/>
    <w:rsid w:val="38F5389F"/>
    <w:rsid w:val="39394D72"/>
    <w:rsid w:val="3BEE2538"/>
    <w:rsid w:val="3BF15D13"/>
    <w:rsid w:val="3D8A0644"/>
    <w:rsid w:val="3E1638C8"/>
    <w:rsid w:val="3E521716"/>
    <w:rsid w:val="442D41F6"/>
    <w:rsid w:val="453741C8"/>
    <w:rsid w:val="48936351"/>
    <w:rsid w:val="48B11E62"/>
    <w:rsid w:val="494B5EE5"/>
    <w:rsid w:val="49E36398"/>
    <w:rsid w:val="4B6D462F"/>
    <w:rsid w:val="4D0E0A27"/>
    <w:rsid w:val="508349D1"/>
    <w:rsid w:val="519A5D3D"/>
    <w:rsid w:val="51D03A58"/>
    <w:rsid w:val="53880F5F"/>
    <w:rsid w:val="54CC7C15"/>
    <w:rsid w:val="56970990"/>
    <w:rsid w:val="59BB15D0"/>
    <w:rsid w:val="5AA0424C"/>
    <w:rsid w:val="5B395309"/>
    <w:rsid w:val="5B833A73"/>
    <w:rsid w:val="5E2558D5"/>
    <w:rsid w:val="5E841717"/>
    <w:rsid w:val="5FA016B7"/>
    <w:rsid w:val="5FAF1CA3"/>
    <w:rsid w:val="5FB8276B"/>
    <w:rsid w:val="641F7BE3"/>
    <w:rsid w:val="64587DE1"/>
    <w:rsid w:val="653D7CCA"/>
    <w:rsid w:val="6967468B"/>
    <w:rsid w:val="69944ACE"/>
    <w:rsid w:val="69E112AA"/>
    <w:rsid w:val="6A6715BE"/>
    <w:rsid w:val="6AD74018"/>
    <w:rsid w:val="6B146AB5"/>
    <w:rsid w:val="6EFE7E8F"/>
    <w:rsid w:val="70257B58"/>
    <w:rsid w:val="72C34A85"/>
    <w:rsid w:val="76C30D63"/>
    <w:rsid w:val="774D1D19"/>
    <w:rsid w:val="77E96C76"/>
    <w:rsid w:val="7865792A"/>
    <w:rsid w:val="7A3C0572"/>
    <w:rsid w:val="7D5269A4"/>
    <w:rsid w:val="7D666535"/>
    <w:rsid w:val="7D7D2B78"/>
    <w:rsid w:val="7E600133"/>
    <w:rsid w:val="7EA51C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jc w:val="left"/>
      <w:outlineLvl w:val="1"/>
    </w:pPr>
    <w:rPr>
      <w:rFonts w:ascii="Arial" w:hAnsi="Arial" w:eastAsia="黑体"/>
      <w:b/>
    </w:rPr>
  </w:style>
  <w:style w:type="paragraph" w:styleId="4">
    <w:name w:val="heading 3"/>
    <w:basedOn w:val="1"/>
    <w:next w:val="1"/>
    <w:link w:val="12"/>
    <w:unhideWhenUsed/>
    <w:qFormat/>
    <w:uiPriority w:val="0"/>
    <w:pPr>
      <w:keepNext/>
      <w:keepLines/>
      <w:jc w:val="left"/>
      <w:outlineLvl w:val="2"/>
    </w:pPr>
    <w:rPr>
      <w:rFonts w:eastAsia="楷体"/>
      <w:b/>
    </w:rPr>
  </w:style>
  <w:style w:type="character" w:default="1" w:styleId="8">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100" w:beforeAutospacing="1" w:after="100" w:afterAutospacing="1"/>
      <w:jc w:val="left"/>
    </w:pPr>
    <w:rPr>
      <w:kern w:val="0"/>
      <w:sz w:val="24"/>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7010</Words>
  <Characters>7423</Characters>
  <Lines>54</Lines>
  <Paragraphs>15</Paragraphs>
  <TotalTime>12</TotalTime>
  <ScaleCrop>false</ScaleCrop>
  <LinksUpToDate>false</LinksUpToDate>
  <CharactersWithSpaces>7466</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2023-04-26T05:59:00Z</cp:lastPrinted>
  <dcterms:modified xsi:type="dcterms:W3CDTF">2023-09-27T05:43:31Z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9DE8B435E9024D4D840404EB92A196B3_13</vt:lpwstr>
  </property>
</Properties>
</file>