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ind w:left="0" w:leftChars="0" w:firstLine="0" w:firstLineChars="0"/>
        <w:jc w:val="center"/>
        <w:rPr>
          <w:rFonts w:hint="eastAsia" w:ascii="方正小标宋简体" w:hAnsi="方正小标宋简体" w:eastAsia="方正小标宋简体" w:cs="方正小标宋简体"/>
          <w:b/>
          <w:bCs/>
          <w:sz w:val="44"/>
          <w:szCs w:val="44"/>
        </w:rPr>
      </w:pPr>
    </w:p>
    <w:p>
      <w:pPr>
        <w:ind w:left="0" w:leftChars="0"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残疾人就业扶贫项目支出绩效自评报告</w:t>
      </w:r>
    </w:p>
    <w:p>
      <w:pPr>
        <w:ind w:left="0" w:leftChars="0"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（202</w:t>
      </w:r>
      <w:r>
        <w:rPr>
          <w:rFonts w:hint="eastAsia" w:ascii="方正小标宋简体" w:hAnsi="方正小标宋简体" w:eastAsia="方正小标宋简体" w:cs="方正小标宋简体"/>
          <w:bCs/>
          <w:sz w:val="44"/>
          <w:szCs w:val="44"/>
          <w:lang w:val="en-US" w:eastAsia="zh-CN"/>
        </w:rPr>
        <w:t>2</w:t>
      </w:r>
      <w:r>
        <w:rPr>
          <w:rFonts w:hint="eastAsia" w:ascii="方正小标宋简体" w:hAnsi="方正小标宋简体" w:eastAsia="方正小标宋简体" w:cs="方正小标宋简体"/>
          <w:bCs/>
          <w:sz w:val="44"/>
          <w:szCs w:val="44"/>
        </w:rPr>
        <w:t>年度）</w:t>
      </w:r>
    </w:p>
    <w:p>
      <w:pPr>
        <w:spacing w:before="120" w:after="120" w:line="480" w:lineRule="auto"/>
        <w:jc w:val="center"/>
        <w:rPr>
          <w:rFonts w:ascii="Times New Roman" w:hAnsi="Times New Roman" w:eastAsia="黑体"/>
          <w:b/>
          <w:bCs/>
          <w:sz w:val="52"/>
          <w:szCs w:val="52"/>
        </w:rPr>
      </w:pPr>
    </w:p>
    <w:p>
      <w:pPr>
        <w:spacing w:before="120" w:after="120" w:line="480" w:lineRule="auto"/>
        <w:ind w:firstLine="883"/>
        <w:jc w:val="center"/>
        <w:rPr>
          <w:rFonts w:ascii="Times New Roman" w:hAnsi="Times New Roman"/>
          <w:b/>
          <w:bCs/>
          <w:sz w:val="44"/>
          <w:szCs w:val="44"/>
        </w:rPr>
      </w:pPr>
    </w:p>
    <w:p>
      <w:pPr>
        <w:spacing w:before="120" w:after="120" w:line="480" w:lineRule="auto"/>
        <w:ind w:firstLine="883"/>
        <w:jc w:val="center"/>
        <w:rPr>
          <w:rFonts w:ascii="Times New Roman" w:hAnsi="Times New Roman"/>
          <w:b/>
          <w:bCs/>
          <w:sz w:val="44"/>
          <w:szCs w:val="44"/>
        </w:rPr>
      </w:pPr>
    </w:p>
    <w:p>
      <w:pPr>
        <w:spacing w:before="120" w:after="120" w:line="480" w:lineRule="auto"/>
        <w:ind w:firstLine="883"/>
        <w:jc w:val="center"/>
        <w:rPr>
          <w:rFonts w:ascii="Times New Roman" w:hAnsi="Times New Roman" w:eastAsia="黑体"/>
          <w:b/>
          <w:bCs/>
          <w:sz w:val="44"/>
          <w:szCs w:val="44"/>
        </w:rPr>
      </w:pPr>
    </w:p>
    <w:p>
      <w:pPr>
        <w:adjustRightInd w:val="0"/>
        <w:snapToGrid w:val="0"/>
        <w:ind w:left="1800" w:leftChars="600" w:firstLine="562"/>
        <w:rPr>
          <w:rFonts w:ascii="Times New Roman" w:hAnsi="Times New Roman" w:eastAsia="黑体" w:cs="黑体"/>
          <w:b/>
          <w:bCs/>
          <w:sz w:val="28"/>
          <w:szCs w:val="28"/>
        </w:rPr>
      </w:pPr>
      <w:r>
        <w:rPr>
          <w:rFonts w:ascii="Times New Roman" w:hAnsi="Times New Roman" w:eastAsia="黑体" w:cs="黑体"/>
          <w:b/>
          <w:bCs/>
          <w:sz w:val="28"/>
          <w:szCs w:val="28"/>
        </w:rPr>
        <w:pict>
          <v:shape id="_x0000_s1026" o:spid="_x0000_s1026" o:spt="32" type="#_x0000_t32" style="position:absolute;left:0pt;margin-left:186.75pt;margin-top:15.45pt;height:0pt;width:196.5pt;z-index:251659264;mso-width-relative:page;mso-height-relative:page;" filled="f"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path arrowok="t"/>
            <v:fill on="f" focussize="0,0"/>
            <v:stroke/>
            <v:imagedata o:title=""/>
            <o:lock v:ext="edit"/>
          </v:shape>
        </w:pict>
      </w:r>
      <w:r>
        <w:rPr>
          <w:rFonts w:hint="eastAsia" w:ascii="Times New Roman" w:hAnsi="Times New Roman" w:eastAsia="黑体" w:cs="黑体"/>
          <w:b/>
          <w:bCs/>
          <w:sz w:val="28"/>
          <w:szCs w:val="28"/>
        </w:rPr>
        <w:t>部门名称（公章）：昆明市盘龙区残疾人联合会</w:t>
      </w:r>
    </w:p>
    <w:p>
      <w:pPr>
        <w:adjustRightInd w:val="0"/>
        <w:snapToGrid w:val="0"/>
        <w:ind w:left="1800" w:leftChars="600" w:firstLine="562"/>
        <w:rPr>
          <w:rFonts w:ascii="Times New Roman" w:hAnsi="Times New Roman" w:eastAsia="黑体" w:cs="黑体"/>
          <w:b/>
          <w:bCs/>
          <w:sz w:val="28"/>
          <w:szCs w:val="28"/>
        </w:rPr>
      </w:pPr>
      <w:r>
        <w:rPr>
          <w:rFonts w:ascii="Times New Roman" w:hAnsi="Times New Roman" w:eastAsia="黑体" w:cs="黑体"/>
          <w:b/>
          <w:bCs/>
          <w:sz w:val="28"/>
          <w:szCs w:val="28"/>
        </w:rPr>
        <w:pict>
          <v:shape id="_x0000_s2053" o:spid="_x0000_s2053" o:spt="32" type="#_x0000_t32" style="position:absolute;left:0pt;margin-left:135pt;margin-top:17.45pt;height:0pt;width:196.5pt;z-index:251660288;mso-width-relative:page;mso-height-relative:page;" filled="f"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v:path arrowok="t"/>
            <v:fill on="f" focussize="0,0"/>
            <v:stroke/>
            <v:imagedata o:title=""/>
            <o:lock v:ext="edit"/>
          </v:shape>
        </w:pict>
      </w:r>
      <w:r>
        <w:rPr>
          <w:rFonts w:hint="eastAsia" w:ascii="Times New Roman" w:hAnsi="Times New Roman" w:eastAsia="黑体" w:cs="黑体"/>
          <w:b/>
          <w:bCs/>
          <w:sz w:val="28"/>
          <w:szCs w:val="28"/>
        </w:rPr>
        <w:t>项目单位：昆明市盘龙区残疾人联合会</w:t>
      </w:r>
    </w:p>
    <w:p>
      <w:pPr>
        <w:adjustRightInd w:val="0"/>
        <w:snapToGrid w:val="0"/>
        <w:ind w:left="1800" w:leftChars="600" w:firstLine="562"/>
        <w:rPr>
          <w:rFonts w:ascii="Times New Roman" w:hAnsi="Times New Roman" w:eastAsia="黑体"/>
          <w:b/>
          <w:bCs/>
          <w:sz w:val="28"/>
          <w:szCs w:val="28"/>
        </w:rPr>
      </w:pPr>
      <w:r>
        <w:rPr>
          <w:rFonts w:ascii="Times New Roman" w:hAnsi="Times New Roman" w:eastAsia="黑体" w:cs="黑体"/>
          <w:b/>
          <w:bCs/>
          <w:sz w:val="28"/>
          <w:szCs w:val="28"/>
        </w:rPr>
        <w:pict>
          <v:shape id="_x0000_s2052" o:spid="_x0000_s2052" o:spt="32" type="#_x0000_t32" style="position:absolute;left:0pt;margin-left:135pt;margin-top:14.25pt;height:0pt;width:196.5pt;z-index:251661312;mso-width-relative:page;mso-height-relative:page;" filled="f"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Feilar8AQAA7AMAAA4AAAAAAAAAAQAgAAAAJgEAAGRycy9lMm9E&#10;b2MueG1sUEsFBgAAAAAGAAYAWQEAAJQFAAAAAA==&#10;">
            <v:path arrowok="t"/>
            <v:fill on="f" focussize="0,0"/>
            <v:stroke/>
            <v:imagedata o:title=""/>
            <o:lock v:ext="edit"/>
          </v:shape>
        </w:pict>
      </w:r>
      <w:r>
        <w:rPr>
          <w:rFonts w:hint="eastAsia" w:ascii="Times New Roman" w:hAnsi="Times New Roman" w:eastAsia="黑体" w:cs="黑体"/>
          <w:b/>
          <w:bCs/>
          <w:sz w:val="28"/>
          <w:szCs w:val="28"/>
        </w:rPr>
        <w:t>主管部门：</w:t>
      </w:r>
      <w:r>
        <w:rPr>
          <w:rFonts w:hint="eastAsia" w:ascii="Times New Roman" w:hAnsi="Times New Roman" w:eastAsia="黑体"/>
          <w:b/>
          <w:bCs/>
          <w:sz w:val="28"/>
          <w:szCs w:val="28"/>
        </w:rPr>
        <w:t>昆明市盘龙区残疾人联合会</w:t>
      </w:r>
    </w:p>
    <w:p>
      <w:pPr>
        <w:adjustRightInd w:val="0"/>
        <w:snapToGrid w:val="0"/>
        <w:ind w:left="1800" w:leftChars="600" w:firstLine="562"/>
        <w:rPr>
          <w:rFonts w:ascii="Times New Roman" w:hAnsi="Times New Roman" w:eastAsia="黑体"/>
          <w:b/>
          <w:bCs/>
          <w:sz w:val="28"/>
          <w:szCs w:val="28"/>
        </w:rPr>
      </w:pPr>
      <w:r>
        <w:rPr>
          <w:rFonts w:ascii="Times New Roman" w:hAnsi="Times New Roman" w:eastAsia="黑体" w:cs="黑体"/>
          <w:b/>
          <w:bCs/>
          <w:sz w:val="28"/>
          <w:szCs w:val="28"/>
        </w:rPr>
        <w:pict>
          <v:shape id="_x0000_s2051" o:spid="_x0000_s2051" o:spt="32" type="#_x0000_t32" style="position:absolute;left:0pt;margin-left:134.25pt;margin-top:14.25pt;height:0pt;width:196.5pt;z-index:251662336;mso-width-relative:page;mso-height-relative:page;" filled="f" coordsize="21600,21600" o:gfxdata="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Uub5W1QAAAAkBAAAPAAAAAAAAAAEAIAAAACIAAABkcnMvZG93bnJldi54&#10;bWxQSwECFAAUAAAACACHTuJAjd29Rf0BAADsAwAADgAAAAAAAAABACAAAAAkAQAAZHJzL2Uyb0Rv&#10;Yy54bWxQSwUGAAAAAAYABgBZAQAAkwUAAAAA&#10;">
            <v:path arrowok="t"/>
            <v:fill on="f" focussize="0,0"/>
            <v:stroke/>
            <v:imagedata o:title=""/>
            <o:lock v:ext="edit"/>
          </v:shape>
        </w:pict>
      </w:r>
      <w:r>
        <w:rPr>
          <w:rFonts w:hint="eastAsia" w:ascii="Times New Roman" w:hAnsi="Times New Roman" w:eastAsia="黑体" w:cs="黑体"/>
          <w:b/>
          <w:bCs/>
          <w:sz w:val="28"/>
          <w:szCs w:val="28"/>
        </w:rPr>
        <w:t>项目名称：</w:t>
      </w:r>
      <w:r>
        <w:rPr>
          <w:rFonts w:hint="eastAsia" w:ascii="Times New Roman" w:hAnsi="Times New Roman" w:eastAsia="黑体"/>
          <w:b/>
          <w:bCs/>
          <w:sz w:val="28"/>
          <w:szCs w:val="28"/>
        </w:rPr>
        <w:t>残疾人就业扶贫项目</w:t>
      </w:r>
    </w:p>
    <w:p>
      <w:pPr>
        <w:adjustRightInd w:val="0"/>
        <w:snapToGrid w:val="0"/>
        <w:ind w:left="1800" w:leftChars="600" w:firstLine="562"/>
        <w:rPr>
          <w:rFonts w:ascii="Times New Roman" w:hAnsi="Times New Roman" w:eastAsia="黑体"/>
          <w:b/>
          <w:bCs/>
          <w:sz w:val="28"/>
          <w:szCs w:val="28"/>
        </w:rPr>
      </w:pPr>
      <w:r>
        <w:rPr>
          <w:rFonts w:ascii="Times New Roman" w:hAnsi="Times New Roman" w:eastAsia="黑体" w:cs="黑体"/>
          <w:b/>
          <w:bCs/>
          <w:sz w:val="28"/>
          <w:szCs w:val="28"/>
        </w:rPr>
        <w:pict>
          <v:shape id="_x0000_s2050" o:spid="_x0000_s2050" o:spt="32" type="#_x0000_t32" style="position:absolute;left:0pt;margin-left:135pt;margin-top:14.25pt;height:0pt;width:196.5pt;z-index:251663360;mso-width-relative:page;mso-height-relative:page;" filled="f"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path arrowok="t"/>
            <v:fill on="f" focussize="0,0"/>
            <v:stroke/>
            <v:imagedata o:title=""/>
            <o:lock v:ext="edit"/>
          </v:shape>
        </w:pict>
      </w:r>
      <w:r>
        <w:rPr>
          <w:rFonts w:hint="eastAsia" w:ascii="Times New Roman" w:hAnsi="Times New Roman" w:eastAsia="黑体" w:cs="黑体"/>
          <w:b/>
          <w:bCs/>
          <w:sz w:val="28"/>
          <w:szCs w:val="28"/>
        </w:rPr>
        <w:t>绩效自评日期：</w:t>
      </w:r>
    </w:p>
    <w:p>
      <w:pPr>
        <w:ind w:left="1740" w:leftChars="580" w:firstLine="562"/>
        <w:rPr>
          <w:rFonts w:ascii="Times New Roman" w:hAnsi="Times New Roman" w:eastAsia="黑体"/>
          <w:b/>
          <w:bCs/>
          <w:sz w:val="28"/>
          <w:szCs w:val="28"/>
        </w:rPr>
      </w:pPr>
    </w:p>
    <w:p>
      <w:pPr>
        <w:ind w:firstLine="562"/>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w:t>
      </w:r>
      <w:r>
        <w:rPr>
          <w:rFonts w:hint="eastAsia" w:ascii="Times New Roman" w:hAnsi="Times New Roman" w:eastAsia="黑体"/>
          <w:b/>
          <w:bCs/>
          <w:sz w:val="28"/>
          <w:szCs w:val="28"/>
          <w:lang w:val="en-US" w:eastAsia="zh-CN"/>
        </w:rPr>
        <w:t>3</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4</w:t>
      </w:r>
      <w:r>
        <w:rPr>
          <w:rFonts w:hint="eastAsia" w:ascii="Times New Roman" w:hAnsi="Times New Roman" w:eastAsia="黑体" w:cs="黑体"/>
          <w:b/>
          <w:bCs/>
          <w:sz w:val="28"/>
          <w:szCs w:val="28"/>
        </w:rPr>
        <w:t>月</w:t>
      </w: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sectPr>
          <w:footerReference r:id="rId4" w:type="first"/>
          <w:footerReference r:id="rId3" w:type="default"/>
          <w:pgSz w:w="11906" w:h="16838"/>
          <w:pgMar w:top="1440" w:right="1800" w:bottom="1440" w:left="1800" w:header="851" w:footer="992" w:gutter="0"/>
          <w:pgNumType w:start="1"/>
          <w:cols w:space="425" w:num="1"/>
          <w:titlePg/>
          <w:docGrid w:type="lines" w:linePitch="312" w:charSpace="0"/>
        </w:sect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eastAsia="黑体" w:cs="黑体"/>
          <w:b/>
          <w:bCs/>
          <w:sz w:val="28"/>
          <w:szCs w:val="28"/>
        </w:rPr>
      </w:pPr>
    </w:p>
    <w:p>
      <w:pPr>
        <w:ind w:firstLine="562"/>
        <w:jc w:val="center"/>
        <w:rPr>
          <w:rFonts w:ascii="Times New Roman" w:hAnsi="Times New Roman"/>
          <w:b/>
          <w:bCs/>
          <w:sz w:val="28"/>
          <w:szCs w:val="28"/>
        </w:rPr>
      </w:pPr>
    </w:p>
    <w:p>
      <w:pPr>
        <w:widowControl/>
        <w:ind w:firstLine="562"/>
        <w:rPr>
          <w:rFonts w:ascii="Times New Roman" w:hAnsi="Times New Roman"/>
          <w:b/>
          <w:bCs/>
          <w:sz w:val="28"/>
          <w:szCs w:val="28"/>
        </w:rPr>
        <w:sectPr>
          <w:type w:val="continuous"/>
          <w:pgSz w:w="11906" w:h="16838"/>
          <w:pgMar w:top="1440" w:right="1800" w:bottom="1440" w:left="1800" w:header="851" w:footer="992" w:gutter="0"/>
          <w:pgNumType w:start="1"/>
          <w:cols w:space="425" w:num="1"/>
          <w:titlePg/>
          <w:docGrid w:type="lines" w:linePitch="312" w:charSpace="0"/>
        </w:sectPr>
      </w:pPr>
    </w:p>
    <w:p>
      <w:pPr>
        <w:pStyle w:val="9"/>
        <w:widowControl w:val="0"/>
        <w:spacing w:after="0" w:line="360" w:lineRule="auto"/>
        <w:ind w:left="600" w:leftChars="200"/>
        <w:jc w:val="both"/>
        <w:rPr>
          <w:rFonts w:ascii="Times New Roman" w:hAnsi="Times New Roman" w:eastAsia="黑体" w:cs="Times New Roman"/>
          <w:kern w:val="2"/>
          <w:sz w:val="28"/>
          <w:szCs w:val="28"/>
          <w:lang w:val="zh-TW" w:eastAsia="zh-TW"/>
        </w:rPr>
      </w:pPr>
      <w:r>
        <w:rPr>
          <w:rFonts w:hint="eastAsia" w:ascii="Times New Roman" w:hAnsi="Times New Roman" w:eastAsia="黑体" w:cs="黑体"/>
          <w:kern w:val="2"/>
          <w:sz w:val="28"/>
          <w:szCs w:val="28"/>
          <w:lang w:val="zh-TW" w:eastAsia="zh-TW"/>
        </w:rPr>
        <w:t>评价小组成员：</w:t>
      </w:r>
    </w:p>
    <w:tbl>
      <w:tblPr>
        <w:tblStyle w:val="8"/>
        <w:tblpPr w:leftFromText="180" w:rightFromText="180" w:vertAnchor="text" w:horzAnchor="margin" w:tblpXSpec="center" w:tblpY="72"/>
        <w:tblW w:w="81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479"/>
        <w:gridCol w:w="1485"/>
        <w:gridCol w:w="1897"/>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0" w:type="dxa"/>
            <w:vAlign w:val="center"/>
          </w:tcPr>
          <w:p>
            <w:pPr>
              <w:pStyle w:val="9"/>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评价小组</w:t>
            </w:r>
          </w:p>
          <w:p>
            <w:pPr>
              <w:pStyle w:val="9"/>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机构职位</w:t>
            </w:r>
          </w:p>
        </w:tc>
        <w:tc>
          <w:tcPr>
            <w:tcW w:w="1479" w:type="dxa"/>
            <w:vAlign w:val="center"/>
          </w:tcPr>
          <w:p>
            <w:pPr>
              <w:pStyle w:val="9"/>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姓名</w:t>
            </w:r>
          </w:p>
        </w:tc>
        <w:tc>
          <w:tcPr>
            <w:tcW w:w="1485" w:type="dxa"/>
            <w:vAlign w:val="center"/>
          </w:tcPr>
          <w:p>
            <w:pPr>
              <w:pStyle w:val="9"/>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职务/职称</w:t>
            </w:r>
          </w:p>
        </w:tc>
        <w:tc>
          <w:tcPr>
            <w:tcW w:w="1897" w:type="dxa"/>
            <w:vAlign w:val="center"/>
          </w:tcPr>
          <w:p>
            <w:pPr>
              <w:pStyle w:val="9"/>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所属</w:t>
            </w:r>
          </w:p>
          <w:p>
            <w:pPr>
              <w:pStyle w:val="9"/>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单位/处室</w:t>
            </w:r>
          </w:p>
        </w:tc>
        <w:tc>
          <w:tcPr>
            <w:tcW w:w="1621" w:type="dxa"/>
            <w:vAlign w:val="center"/>
          </w:tcPr>
          <w:p>
            <w:pPr>
              <w:pStyle w:val="9"/>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9" w:hRule="atLeast"/>
          <w:jc w:val="center"/>
        </w:trPr>
        <w:tc>
          <w:tcPr>
            <w:tcW w:w="1620" w:type="dxa"/>
            <w:vAlign w:val="center"/>
          </w:tcPr>
          <w:p>
            <w:pPr>
              <w:pStyle w:val="9"/>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组长</w:t>
            </w:r>
          </w:p>
        </w:tc>
        <w:tc>
          <w:tcPr>
            <w:tcW w:w="1479" w:type="dxa"/>
            <w:vAlign w:val="center"/>
          </w:tcPr>
          <w:p>
            <w:pPr>
              <w:pStyle w:val="9"/>
              <w:widowControl w:val="0"/>
              <w:spacing w:after="0" w:line="24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黎如珊</w:t>
            </w:r>
          </w:p>
        </w:tc>
        <w:tc>
          <w:tcPr>
            <w:tcW w:w="1485" w:type="dxa"/>
            <w:vAlign w:val="center"/>
          </w:tcPr>
          <w:p>
            <w:pPr>
              <w:pStyle w:val="9"/>
              <w:widowControl w:val="0"/>
              <w:spacing w:after="0" w:line="24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理事长</w:t>
            </w:r>
          </w:p>
        </w:tc>
        <w:tc>
          <w:tcPr>
            <w:tcW w:w="1897" w:type="dxa"/>
            <w:vAlign w:val="center"/>
          </w:tcPr>
          <w:p>
            <w:pPr>
              <w:pStyle w:val="9"/>
              <w:widowControl w:val="0"/>
              <w:spacing w:after="0" w:line="24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盘龙区残联</w:t>
            </w:r>
          </w:p>
        </w:tc>
        <w:tc>
          <w:tcPr>
            <w:tcW w:w="1621" w:type="dxa"/>
            <w:vAlign w:val="center"/>
          </w:tcPr>
          <w:p>
            <w:pPr>
              <w:pStyle w:val="9"/>
              <w:widowControl w:val="0"/>
              <w:spacing w:after="0" w:line="24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9" w:hRule="atLeast"/>
          <w:jc w:val="center"/>
        </w:trPr>
        <w:tc>
          <w:tcPr>
            <w:tcW w:w="1620"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副组长</w:t>
            </w:r>
          </w:p>
        </w:tc>
        <w:tc>
          <w:tcPr>
            <w:tcW w:w="1479"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杨超</w:t>
            </w:r>
          </w:p>
        </w:tc>
        <w:tc>
          <w:tcPr>
            <w:tcW w:w="1485"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副理事长</w:t>
            </w:r>
          </w:p>
        </w:tc>
        <w:tc>
          <w:tcPr>
            <w:tcW w:w="1897"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盘龙区残联</w:t>
            </w:r>
          </w:p>
        </w:tc>
        <w:tc>
          <w:tcPr>
            <w:tcW w:w="1621"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3" w:hRule="atLeast"/>
          <w:jc w:val="center"/>
        </w:trPr>
        <w:tc>
          <w:tcPr>
            <w:tcW w:w="1620"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479"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王海燕</w:t>
            </w:r>
          </w:p>
        </w:tc>
        <w:tc>
          <w:tcPr>
            <w:tcW w:w="1485"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eastAsia="zh-CN"/>
              </w:rPr>
              <w:t>综合业务科科长</w:t>
            </w:r>
          </w:p>
        </w:tc>
        <w:tc>
          <w:tcPr>
            <w:tcW w:w="1897"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盘龙区残联</w:t>
            </w:r>
          </w:p>
        </w:tc>
        <w:tc>
          <w:tcPr>
            <w:tcW w:w="1621"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jc w:val="center"/>
        </w:trPr>
        <w:tc>
          <w:tcPr>
            <w:tcW w:w="1620"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479"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rPr>
            </w:pPr>
            <w:r>
              <w:rPr>
                <w:rFonts w:hint="eastAsia" w:asciiTheme="majorEastAsia" w:hAnsiTheme="majorEastAsia" w:eastAsiaTheme="majorEastAsia" w:cstheme="majorEastAsia"/>
                <w:kern w:val="2"/>
                <w:sz w:val="28"/>
                <w:szCs w:val="28"/>
              </w:rPr>
              <w:t>赵荣玲</w:t>
            </w:r>
          </w:p>
        </w:tc>
        <w:tc>
          <w:tcPr>
            <w:tcW w:w="1485"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财务</w:t>
            </w:r>
          </w:p>
        </w:tc>
        <w:tc>
          <w:tcPr>
            <w:tcW w:w="1897"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盘龙区残联</w:t>
            </w:r>
          </w:p>
        </w:tc>
        <w:tc>
          <w:tcPr>
            <w:tcW w:w="1621" w:type="dxa"/>
            <w:vAlign w:val="center"/>
          </w:tcPr>
          <w:p>
            <w:pPr>
              <w:pStyle w:val="9"/>
              <w:widowControl w:val="0"/>
              <w:spacing w:after="0" w:line="360" w:lineRule="auto"/>
              <w:jc w:val="center"/>
              <w:rPr>
                <w:rFonts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1" w:hRule="atLeast"/>
          <w:jc w:val="center"/>
        </w:trPr>
        <w:tc>
          <w:tcPr>
            <w:tcW w:w="8102" w:type="dxa"/>
            <w:gridSpan w:val="5"/>
          </w:tcPr>
          <w:p>
            <w:pPr>
              <w:pStyle w:val="9"/>
              <w:widowControl w:val="0"/>
              <w:spacing w:after="0" w:line="360" w:lineRule="auto"/>
              <w:jc w:val="both"/>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报告撰写人（签字）：</w:t>
            </w:r>
          </w:p>
          <w:p>
            <w:pPr>
              <w:pStyle w:val="9"/>
              <w:widowControl w:val="0"/>
              <w:spacing w:after="0" w:line="360" w:lineRule="auto"/>
              <w:jc w:val="both"/>
              <w:rPr>
                <w:rFonts w:asciiTheme="majorEastAsia" w:hAnsiTheme="majorEastAsia" w:eastAsiaTheme="majorEastAsia" w:cstheme="majorEastAsia"/>
                <w:kern w:val="2"/>
                <w:sz w:val="28"/>
                <w:szCs w:val="28"/>
                <w:lang w:val="zh-TW"/>
              </w:rPr>
            </w:pPr>
          </w:p>
          <w:p>
            <w:pPr>
              <w:pStyle w:val="9"/>
              <w:widowControl w:val="0"/>
              <w:spacing w:after="0" w:line="360" w:lineRule="auto"/>
              <w:jc w:val="both"/>
              <w:rPr>
                <w:rFonts w:asciiTheme="majorEastAsia" w:hAnsiTheme="majorEastAsia" w:eastAsiaTheme="majorEastAsia" w:cstheme="majorEastAsia"/>
                <w:kern w:val="2"/>
                <w:sz w:val="28"/>
                <w:szCs w:val="28"/>
                <w:lang w:val="zh-TW"/>
              </w:rPr>
            </w:pPr>
          </w:p>
          <w:p>
            <w:pPr>
              <w:pStyle w:val="9"/>
              <w:widowControl w:val="0"/>
              <w:wordWrap w:val="0"/>
              <w:spacing w:after="0" w:line="360" w:lineRule="auto"/>
              <w:jc w:val="right"/>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6" w:hRule="atLeast"/>
          <w:jc w:val="center"/>
        </w:trPr>
        <w:tc>
          <w:tcPr>
            <w:tcW w:w="8102" w:type="dxa"/>
            <w:gridSpan w:val="5"/>
          </w:tcPr>
          <w:p>
            <w:pPr>
              <w:pStyle w:val="9"/>
              <w:widowControl w:val="0"/>
              <w:spacing w:after="0" w:line="360" w:lineRule="auto"/>
              <w:jc w:val="both"/>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评价工作负责人（签字）：</w:t>
            </w:r>
          </w:p>
          <w:p>
            <w:pPr>
              <w:pStyle w:val="9"/>
              <w:widowControl w:val="0"/>
              <w:spacing w:after="0" w:line="360" w:lineRule="auto"/>
              <w:jc w:val="both"/>
              <w:rPr>
                <w:rFonts w:asciiTheme="majorEastAsia" w:hAnsiTheme="majorEastAsia" w:eastAsiaTheme="majorEastAsia" w:cstheme="majorEastAsia"/>
                <w:kern w:val="2"/>
                <w:sz w:val="28"/>
                <w:szCs w:val="28"/>
                <w:lang w:val="zh-TW"/>
              </w:rPr>
            </w:pPr>
          </w:p>
          <w:p>
            <w:pPr>
              <w:pStyle w:val="9"/>
              <w:widowControl w:val="0"/>
              <w:spacing w:after="0" w:line="360" w:lineRule="auto"/>
              <w:jc w:val="both"/>
              <w:rPr>
                <w:rFonts w:asciiTheme="majorEastAsia" w:hAnsiTheme="majorEastAsia" w:eastAsiaTheme="majorEastAsia" w:cstheme="majorEastAsia"/>
                <w:kern w:val="2"/>
                <w:sz w:val="28"/>
                <w:szCs w:val="28"/>
                <w:lang w:val="zh-TW"/>
              </w:rPr>
            </w:pPr>
          </w:p>
          <w:p>
            <w:pPr>
              <w:pStyle w:val="9"/>
              <w:widowControl w:val="0"/>
              <w:wordWrap w:val="0"/>
              <w:spacing w:after="0" w:line="360" w:lineRule="auto"/>
              <w:jc w:val="right"/>
              <w:rPr>
                <w:rFonts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atLeast"/>
          <w:jc w:val="center"/>
        </w:trPr>
        <w:tc>
          <w:tcPr>
            <w:tcW w:w="8102" w:type="dxa"/>
            <w:gridSpan w:val="5"/>
          </w:tcPr>
          <w:p>
            <w:pPr>
              <w:pStyle w:val="9"/>
              <w:widowControl w:val="0"/>
              <w:wordWrap w:val="0"/>
              <w:spacing w:after="0" w:line="360" w:lineRule="auto"/>
              <w:jc w:val="right"/>
              <w:rPr>
                <w:rFonts w:asciiTheme="majorEastAsia" w:hAnsiTheme="majorEastAsia" w:eastAsiaTheme="majorEastAsia" w:cstheme="majorEastAsia"/>
                <w:kern w:val="2"/>
                <w:sz w:val="28"/>
                <w:szCs w:val="28"/>
                <w:lang w:val="zh-TW"/>
              </w:rPr>
            </w:pPr>
          </w:p>
        </w:tc>
      </w:tr>
    </w:tbl>
    <w:p>
      <w:pPr>
        <w:pStyle w:val="9"/>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9"/>
        <w:widowControl w:val="0"/>
        <w:spacing w:after="0" w:line="360" w:lineRule="auto"/>
        <w:jc w:val="both"/>
        <w:rPr>
          <w:rFonts w:ascii="Times New Roman" w:hAnsi="Times New Roman" w:cs="Times New Roman"/>
          <w:kern w:val="2"/>
          <w:sz w:val="24"/>
          <w:szCs w:val="24"/>
          <w:lang w:val="zh-TW"/>
        </w:rPr>
        <w:sectPr>
          <w:pgSz w:w="11906" w:h="16838"/>
          <w:pgMar w:top="1587" w:right="1587" w:bottom="1587" w:left="1587" w:header="851" w:footer="992" w:gutter="0"/>
          <w:cols w:space="425" w:num="1"/>
          <w:docGrid w:type="lines" w:linePitch="312" w:charSpace="0"/>
        </w:sectPr>
      </w:pPr>
    </w:p>
    <w:p>
      <w:pPr>
        <w:pStyle w:val="10"/>
        <w:pageBreakBefore w:val="0"/>
        <w:kinsoku/>
        <w:wordWrap/>
        <w:overflowPunct/>
        <w:topLinePunct w:val="0"/>
        <w:autoSpaceDE/>
        <w:autoSpaceDN/>
        <w:bidi w:val="0"/>
        <w:adjustRightInd/>
        <w:snapToGrid/>
        <w:spacing w:before="0" w:line="440" w:lineRule="exact"/>
        <w:ind w:firstLine="643"/>
        <w:jc w:val="center"/>
        <w:textAlignment w:val="auto"/>
        <w:rPr>
          <w:rFonts w:hint="eastAsia" w:ascii="黑体" w:hAnsi="黑体" w:eastAsia="黑体" w:cs="黑体"/>
          <w:b w:val="0"/>
          <w:bCs w:val="0"/>
          <w:color w:val="auto"/>
          <w:sz w:val="28"/>
          <w:szCs w:val="28"/>
        </w:rPr>
      </w:pPr>
      <w:r>
        <w:rPr>
          <w:rFonts w:hint="eastAsia" w:ascii="黑体" w:hAnsi="黑体" w:eastAsia="黑体" w:cs="黑体"/>
          <w:b w:val="0"/>
          <w:bCs w:val="0"/>
          <w:color w:val="auto"/>
          <w:sz w:val="28"/>
          <w:szCs w:val="28"/>
          <w:lang w:val="zh-CN"/>
        </w:rPr>
        <w:t>目录</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摘要</w:t>
      </w:r>
      <w:r>
        <w:rPr>
          <w:rFonts w:hint="eastAsia" w:ascii="黑体" w:hAnsi="黑体" w:eastAsia="黑体" w:cs="黑体"/>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一、 项目基本情况</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（一）项目立项背景</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 xml:space="preserve">（二）项目立项依据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（三）项目实施内容</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（四）项目实施计划及完成情况</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（五）项目的组织及管理</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 xml:space="preserve">（六）项目绩效目标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二、绩效评价工作情况</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评价的目的和依据</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绩效评价工作方案制定过程</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（三）</w:t>
      </w:r>
      <w:r>
        <w:rPr>
          <w:rFonts w:hint="eastAsia" w:ascii="仿宋_GB2312" w:hAnsi="仿宋_GB2312" w:eastAsia="仿宋_GB2312" w:cs="仿宋_GB2312"/>
          <w:b w:val="0"/>
          <w:bCs w:val="0"/>
          <w:sz w:val="28"/>
          <w:szCs w:val="28"/>
        </w:rPr>
        <w:t>绩效评价原则、评价方法等</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（四）</w:t>
      </w:r>
      <w:r>
        <w:rPr>
          <w:rFonts w:hint="eastAsia" w:ascii="仿宋_GB2312" w:hAnsi="仿宋_GB2312" w:eastAsia="仿宋_GB2312" w:cs="仿宋_GB2312"/>
          <w:b w:val="0"/>
          <w:bCs w:val="0"/>
          <w:sz w:val="28"/>
          <w:szCs w:val="28"/>
        </w:rPr>
        <w:t>绩效评价实施过程</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（五）</w:t>
      </w:r>
      <w:r>
        <w:rPr>
          <w:rFonts w:hint="eastAsia" w:ascii="仿宋_GB2312" w:hAnsi="仿宋_GB2312" w:eastAsia="仿宋_GB2312" w:cs="仿宋_GB2312"/>
          <w:b w:val="0"/>
          <w:bCs w:val="0"/>
          <w:sz w:val="28"/>
          <w:szCs w:val="28"/>
        </w:rPr>
        <w:t>绩效评价的局限性</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三、评价结论及绩效分析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评价结论</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绩效分析</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四、项目主要经验及做法、存在的问题和建议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（一）</w:t>
      </w:r>
      <w:r>
        <w:rPr>
          <w:rFonts w:hint="eastAsia" w:ascii="仿宋_GB2312" w:hAnsi="仿宋_GB2312" w:eastAsia="仿宋_GB2312" w:cs="仿宋_GB2312"/>
          <w:b w:val="0"/>
          <w:bCs w:val="0"/>
          <w:sz w:val="28"/>
          <w:szCs w:val="28"/>
        </w:rPr>
        <w:t>主要经验及做法</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（二）</w:t>
      </w:r>
      <w:r>
        <w:rPr>
          <w:rFonts w:hint="eastAsia" w:ascii="仿宋_GB2312" w:hAnsi="仿宋_GB2312" w:eastAsia="仿宋_GB2312" w:cs="仿宋_GB2312"/>
          <w:b w:val="0"/>
          <w:bCs w:val="0"/>
          <w:sz w:val="28"/>
          <w:szCs w:val="28"/>
        </w:rPr>
        <w:t>存在的问题</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eastAsia="zh-CN"/>
        </w:rPr>
        <w:t>（三）</w:t>
      </w:r>
      <w:r>
        <w:rPr>
          <w:rFonts w:hint="eastAsia" w:ascii="仿宋_GB2312" w:hAnsi="仿宋_GB2312" w:eastAsia="仿宋_GB2312" w:cs="仿宋_GB2312"/>
          <w:b w:val="0"/>
          <w:bCs w:val="0"/>
          <w:sz w:val="28"/>
          <w:szCs w:val="28"/>
        </w:rPr>
        <w:t xml:space="preserve">建议和改进措施 </w:t>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黑体" w:hAnsi="黑体" w:eastAsia="黑体" w:cs="黑体"/>
          <w:b w:val="0"/>
          <w:bCs w:val="0"/>
          <w:sz w:val="28"/>
          <w:szCs w:val="28"/>
        </w:rPr>
        <w:t>五、附件</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562"/>
        <w:jc w:val="left"/>
        <w:textAlignment w:val="auto"/>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bCs w:val="0"/>
          <w:sz w:val="28"/>
          <w:szCs w:val="28"/>
        </w:rPr>
        <w:t>附件</w:t>
      </w:r>
      <w:r>
        <w:rPr>
          <w:rFonts w:hint="eastAsia" w:ascii="仿宋_GB2312" w:hAnsi="仿宋_GB2312" w:cs="仿宋_GB2312"/>
          <w:b w:val="0"/>
          <w:bCs w:val="0"/>
          <w:sz w:val="28"/>
          <w:szCs w:val="28"/>
          <w:lang w:eastAsia="zh-CN"/>
        </w:rPr>
        <w:t>：</w:t>
      </w:r>
      <w:r>
        <w:rPr>
          <w:rFonts w:hint="eastAsia" w:ascii="仿宋_GB2312" w:hAnsi="仿宋_GB2312" w:eastAsia="仿宋_GB2312" w:cs="仿宋_GB2312"/>
          <w:b w:val="0"/>
          <w:bCs w:val="0"/>
          <w:sz w:val="28"/>
          <w:szCs w:val="28"/>
        </w:rPr>
        <w:t>1</w:t>
      </w:r>
      <w:r>
        <w:rPr>
          <w:rFonts w:hint="eastAsia" w:ascii="仿宋_GB2312" w:hAnsi="仿宋_GB2312" w:cs="仿宋_GB2312"/>
          <w:b w:val="0"/>
          <w:bCs w:val="0"/>
          <w:sz w:val="28"/>
          <w:szCs w:val="28"/>
          <w:lang w:val="en-US" w:eastAsia="zh-CN"/>
        </w:rPr>
        <w:t>.</w:t>
      </w:r>
      <w:r>
        <w:rPr>
          <w:rFonts w:hint="eastAsia" w:ascii="仿宋_GB2312" w:hAnsi="仿宋_GB2312" w:eastAsia="仿宋_GB2312" w:cs="仿宋_GB2312"/>
          <w:b w:val="0"/>
          <w:bCs w:val="0"/>
          <w:sz w:val="28"/>
          <w:szCs w:val="28"/>
        </w:rPr>
        <w:t>指标体系</w:t>
      </w:r>
      <w:r>
        <w:rPr>
          <w:rFonts w:hint="eastAsia" w:ascii="仿宋_GB2312" w:hAnsi="仿宋_GB2312" w:eastAsia="仿宋_GB2312" w:cs="仿宋_GB2312"/>
          <w:b w:val="0"/>
          <w:bCs w:val="0"/>
          <w:sz w:val="28"/>
          <w:szCs w:val="28"/>
        </w:rPr>
        <w:tab/>
      </w:r>
    </w:p>
    <w:p>
      <w:pPr>
        <w:pageBreakBefore w:val="0"/>
        <w:kinsoku/>
        <w:wordWrap/>
        <w:overflowPunct/>
        <w:topLinePunct w:val="0"/>
        <w:autoSpaceDE/>
        <w:autoSpaceDN/>
        <w:bidi w:val="0"/>
        <w:adjustRightInd/>
        <w:snapToGrid/>
        <w:spacing w:line="440" w:lineRule="exact"/>
        <w:ind w:firstLine="1400" w:firstLineChars="500"/>
        <w:jc w:val="left"/>
        <w:textAlignment w:val="auto"/>
        <w:rPr>
          <w:rFonts w:hint="eastAsia" w:ascii="仿宋_GB2312" w:hAnsi="仿宋_GB2312" w:eastAsia="仿宋_GB2312" w:cs="仿宋_GB2312"/>
          <w:b w:val="0"/>
          <w:bCs w:val="0"/>
          <w:sz w:val="28"/>
          <w:szCs w:val="28"/>
        </w:rPr>
      </w:pPr>
      <w:r>
        <w:rPr>
          <w:rFonts w:hint="eastAsia" w:ascii="仿宋_GB2312" w:hAnsi="仿宋_GB2312" w:cs="仿宋_GB2312"/>
          <w:b w:val="0"/>
          <w:bCs w:val="0"/>
          <w:sz w:val="28"/>
          <w:szCs w:val="28"/>
          <w:lang w:val="en-US" w:eastAsia="zh-CN"/>
        </w:rPr>
        <w:t>2.</w:t>
      </w:r>
      <w:r>
        <w:rPr>
          <w:rFonts w:hint="eastAsia" w:ascii="仿宋_GB2312" w:hAnsi="仿宋_GB2312" w:eastAsia="仿宋_GB2312" w:cs="仿宋_GB2312"/>
          <w:b w:val="0"/>
          <w:bCs w:val="0"/>
          <w:sz w:val="28"/>
          <w:szCs w:val="28"/>
        </w:rPr>
        <w:t>基础数据表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残疾人就业扶贫项目支出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绩效自评报告</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一、项目基本情况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（一）项目概况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立项背景及目的。</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四五”时期，残疾人事业发展不平衡不充分的矛盾依然突出。一是残疾人返贫致贫风险较高。残疾人家庭人均收入与社会人均平均水平有较大差距，社会保障制度和措施还不够完善，残疾人就业难、就业不稳定问题仍然存在。二是残疾人公共服务总量不足、质量不高。残疾人就学就医等多样化需求还不能得到有效满足。三是残疾人“平等、参与、共享”的权益还没有得到充分实现。做好新时代残疾人工作，推进残疾人事业高质量发展，是践行党的初心使命和根本宗旨的具体体现，是推动共同富裕、促进社会公平正义的必然要求。习近平总书记对残疾人工作作出系列重要指示批示，强调“残疾人是一个特殊困难群体，需要格外关心、格外关注”，“残疾人事业一定要继续推动”，要“不断健全残疾人权益保障制度”、“促进残疾人全面发展和共同富裕”，为新时代残疾人事业发展工作指明了前进方向、提供了根本遵循。李克强总理对保障残疾人权益、加强残疾人公共服务、促进残疾人就业创业等提出明确要求。2022年，盘龙区残联紧紧围绕国家、省、市、区关于“十四五”残疾人保障和发展规划要求，着重发挥残联“代表”、“服务”、“管理”职能，通过普惠性制度安排给予残疾人公平待遇，保障残疾人基本生存发展需求，通过特惠性制度安排给予残疾人特别扶助和优先保障，解决好他们的特殊困难和特殊需求。突出政府责任，确保残疾人公平享有基本民生保障和基本公共服务，依法维护好残疾人平等权益，同时充分发挥社会力量、残疾人组织和市场机制作用，满足残疾人多层次、多样化的需求，为残疾人就业增收和融合发展创造便利化条件和友好型环境。解决好残疾人最关心、最直接、最现实的利益问题，不断增进残疾人福祉，又要充分发挥残疾人的积极性、主动性和创造性，提高残疾人自我发展能力，帮助残疾人通过自身努力创造更加幸福的生活。强化兜底保障功能，不断建立健全辖区残疾人社会保障服务体系，确保辖区残疾人普遍享有基本养老、基本医疗、基本康复，生活有保障，居家有照料，出行更便利，残疾人平等权益得到更好保障，受教育水平明显提高，就业更加充分，文化体育生活更加丰富活跃，自身素质和能力不断增强，社会参与更加广泛深入。真正实现贫困残疾人“幼有所育、病有所医、弱有所扶、老有所养”，让辖区残疾人共享社会经济文化发展成果</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项目实施情况。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2022年，盘龙区有持证残疾人13021人，其中贫困残疾人有1893人，他们在教育、就业、住房、社会保障等方面均存在较大困难，盘龙区残联以《中共云南省委 云南省人民政府 关于促进残疾人事业发展的实施意见》、《中共昆明市委昆明市人民政府关于促进残疾人事业发展的实施意见》、《盘龙区残疾人联合会财务工作制度》、《盘龙区残疾人联合会内部管理制度》、《盘龙区残疾人联合会部门工作职责》《盘龙区残联工作人员守则》《残疾人保障法》、《昆明市残疾人创业扶持管理办法》（昆残联发[2016]11号）、《关于开展2022年大中专残疾学生及残疾人子女助学补助工作的通知》昆明市残疾人联合会转发《中国残联办公厅关于做好为行动不便重度残疾人开展残疾评定上门服务的通知》的通知、《关于开展2022年“昆明市（在校高中）阶段残疾学生及残疾人子女助学项目”工作的通知》《盘龙区贫困残疾人特殊困难临时生活、医疗救助工作实施方案》（盘残字〔2021〕16号）、《昆明市2021年“阳光家园计划”—智力 精神和重度肢体残疾人托养服务项目实施方案》、《关于转发《中国残联办公厅关于进一步做好残疾人参加城乡居民基本养老保险工作的通知》的通知（昆残发〔2018〕17号）、《关于严格落实城乡居民基本养老保险帮扶政策助力全面实施乡村振兴战略工作的通知》（盘人社〔2022〕5号）、《盘龙区残疾人托养服务办法》、《盘龙区上门开展残疾评定工作实施方案》等文件为依据，不断切实履行“代表、服务、管理”职责，做好残疾人就业扶贫工作。区残联就业扶贫项目包含残疾人就业安置、创业扶持、职业技能培训、教育补助、重大节日走访慰问、临时救助、托养服务、社会保险等具体工作。各项具体工作的开展，均依托“中国残疾人服务平台”，就残疾人需求及服务状况开展摸底调查工作，准确掌握每一位残疾人的需求，社区、街道、残联三级联动，精准落实残疾人社会保障服务需求，做好残疾人民生保障工作。服务过程中严格审批程序，公开办事程序、服务项目及办事纪律，使残疾人的各项救助事务公开化、透明化，接受群众监督。具体落实情况如下：</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做好残疾人基本社会保险工作。积极落实残疾人医疗保障政策，为全区7173名残疾人全额缴纳城乡居民基本医疗保险，实现残疾人医疗保障全覆盖。鼓励和帮助残疾人积极参加城乡居民社会养老保险,实现人人享有基本社会保障，做好三四级残疾人2022年城乡居民社会养老保险核定工作。截止11月，共为1043名残疾人发放城乡居民养老保险缴费补助20.86万元，鼓励广大残疾人积极参保，先缴后补，应补尽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2.积极做好各类节日慰问工作，春节、助残日、儿童节、中秋节期间，共对全区1248名困难残疾人和323名持证残疾儿童进行节日慰问。</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3.积极做好“阳光家园计划”——智力、精神和重度肢体残疾人托养服务项目工作。2022年，共投入经费61.8万元，为207名残疾人提供能够满足其意愿、需求的个别化支持的居家照料、日间照料和集中托养服务。</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4.做好高中残疾学生和残疾人子女教育助学工作。为符合条件的32名高中、大专阶段的残疾学生和贫困残疾人家庭子女提供帮助，发放助学金额7.05万元。</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5.多渠道安置残疾人就业。积极开发就业岗位40余个，做好残疾人按比例就业年审工作，228家用人单位安置残疾人就业422人。同时，辖区内10名残疾人通过自主创业实现就业。</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6.对辖区150名残疾人进行了免费的腌制品制作、居家卫生、中式烹饪等职业技能培训。</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优化第三代残疾人证申请和核发服务工作。实行代理代办制，为残疾人提供送证上门服务。受理了1522名残疾人证办理申请，其中跨省通办15件，省内通办35件。积极出台政策，联合区医院针对无法出门的21名重度肢体残疾人提供免费上门鉴定残疾情况服务。</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强化盲人保健按摩机构行业管理。不断加强行业的日常管理和检查，确保盲人保健按摩机构正常开办。今年备案盲人保健按摩机构45家；完成我区3家盲人按摩机构申报规范化建设和量化分级评定验收工作。组织18人参加2022年度云南省盲人医疗按摩人员国家级暨省级线上继续教育培训。做好盲人行业安全生产工作，向辖区内32家盲人保健按摩机构发放口罩、测温仪、灭火器等疫情防控物资及消防安全设备，持续巩固和稳定辖区内盲人按摩行业就业岗位和“助盲脱贫”行动成果。</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10.为10名残疾人发放创业补助资金10.4万元，为辖区内21名残疾人发放驾驶技能培训补助4.6万元。</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积极探索精神和心智障碍人群支持性就业和辅助性就业模式。有1名患有唐氏综合症的残疾人在社区从事清洁服务工作，4名智力残疾人稳定就业于云南京环盘宸有限公司，2名精神残疾人就业于云南省杨丽萍文化传播有限公司，3名心青年在力行心青年就业实训基地实现辅助性就业。</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资金来源。残疾人就业扶贫项目资金主要来源于上级转移支付专项资金（包括中央、省、市残疾人就业扶贫专项资金及彩票公益金）和区财政拨款资金。盘龙区残联2022年共取得残疾人就业扶贫项目资金346.25万元，其中上级转移支付专项资金总投入57.8万元（含省级补助12.28元、市级补助45.22万元），区财政拨款资金安排288.45万元，年初预算223.17万元，调剂追加预算65.28万元。</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（2）资金使用情况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盘龙区残联共计支出残疾人就业扶贫项目资金346.25万元。其中上级转移支付专项资金支出57.8万元，区级财政拨款资金支出288.45万元。用于开展残疾人就业工作31.49万元，残疾人职业技能培训15万元，开展扶残助学工作6.55万元，残疾人特殊困难临时救助17.17万元,开展困难残疾人节日慰问工作14.91万元，托养工作50.46万元，残疾人社会保险补助210.66万元。</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4.组织及管理情况。包括项目组织情况、项目实施流程、资金拨付流程。</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就业教育和扶贫项目组织管理过程中，盯紧目标，抓实基础，确保残疾人服务需求及时落实，积极完成区政府下达的各项任务；强化监管，严格专项资金专款专用，严禁截留、挤占、挪用、虚列支出，保证专项资金安全，让项目资金发挥最大效益。各项就业扶贫项目支出盯紧细节，建立事前审核、事中监控、事后检查制度，把好资金使用、管理、绩效考评等关口，从制度和程序上严格规范、堵塞漏洞、消除隐患。</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（二）绩效目标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目标。积极做好残疾人教育就业扶贫工作，完善残疾人教育体系，提高残疾人受教育水平，健全残疾人学生助学保障机制，同时大力推行残疾人集中就业、按比例就业、自主创业、庇护性就业，全面加强残疾人扶贫工作，确保残疾人有受公平教育的权利、有就业能力和就业愿望的残疾人实现充分稳定就业，着力保障残疾人基本生活，不断改善对残疾人的服务，积极促进残疾人全面发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2.年度目标。包括产出目标、效果目标。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1）产出目标：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（1）帮扶自主创业（企业）人数8人，帮扶自主创业（个体经营）人数 2人；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（2）残疾人职业技能培训人数80人；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（3）三四级残疾人城镇居民医疗保险缴费补助人数2000人；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（4）高中阶段受助残疾学生和残疾人子女数20人；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（5）三四级残疾人城乡居民社会养老保险缴费补助人数1600人；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（6）春节、国庆、儿童节期间慰问困难残疾人及残疾儿童1480人（户）；</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（7）为辖区内150名智力、精神、重度肢体残疾人提供托养服务。</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2）效果目标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社会效益指标：让残疾人切实感受到党的政策，有效控制社会不安定因素。</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（3）满意度指标：残疾人服务满意率≥90%。</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二、绩效评价工作情况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（一）绩效评价目的</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（二）绩效评价工作方案制定过程</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昆明市盘龙区财政局《关于开展2022年度区级预算支出绩效自评工作的通知》（盘财绩〔2023〕14号）和《盘龙区区级部门预算绩效自评管理暂行办法》文件精神，我会迅速组织开展了2022年度项目支出预算绩效自评工作。成立了以理事长为组长、副理事长为副组长、业务科室长及财务人员为成员的自评工作领导小组，制定了自评方案，财务、组联教就科和康复科人员全程参与自评。依据项目支出绩效自评指标计分表,逐条逐项对照评分，并进行综合评价，疏理问题，明确方向，以进一步发挥其他残疾人事业支出项目资金使用效益，更加扎实地做好残疾人工作。</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（三）绩效评价原则、评价方法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1.绩效评价原则。</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科学规范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开公正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绩效相关原则，项目在执行过程中，严格按照年度工作计划执行，确保残疾人工作有序推进，结合单位相关管理制度，做到与财务制度、部门管理制度及单位内部控制制度相适应。</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2.绩效评价方法。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在绩效评价过程中，采用了以下方法：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历史动态比较法：将2022年就业扶贫项目支出同历年支出历史数据历史数据进行对比分析，了解其历史数据的变化及效益波动情况。通过历史数据的排列，既可以看残疾人就业扶贫项目开展过程中投入及工作效益、效率变化趋势，以及工作改进方向。</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公众评判法：残疾人就业扶贫工作对象为困难残疾人及其家庭，对于就业扶贫项目财政支出，通过残疾人需求落实及服务满意度调查来评判项目效益，以社会公众认同度作为评价标准之一，具有民主性、公开性的特点。</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（3）费用—职能比较法：将残联所担负的就业、扶贫、教育、社会保障等社会职能与项目支出情况进行比较分析从而评估工作质量和效率。</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（4）目标评价法：将2022年就业扶贫项目所产生的社会效益水平与2022年区委区政府下达的预先目标标准时行对比分析。</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（四）绩效评价实施过程</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年终对就业扶贫项目进行工作总结，在对资料进行总结整理基础上实施绩效评价。以财务为主导，综合业务科协同配合形成评价小组，收集、汇总、整理项目资料，检查、核实项目资料中的数据后，评价小组采用座谈、走访、调研、查阅资料等方式对项目计划的合理性、可操作性、相关配套制度、档案管理、技术服务、数据指标完成的真实性、资金拨付的规范性、时效性、是否足额拨付资金、有无截留、挪用项目资金；有无另行安排项目管理经费，项目管理经费有无挤占专项资金等情况进行检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2.评价组在全面分析整理被检查项目的相关数据资料的基础上，总结检查情况，对照评价指标和标准，进行综合评议与打分，得出评价结论，撰写评价报告。</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（五）本次绩效评价的局限性</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1.保障制度缺乏。目前主要侧重于侧重于资金投入的管理和监督，而对资金产生的社会效益则缺乏相应的制度约束，使财政支出绩效评价工作缺乏制度保障。</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标准难以建立。残疾人就业扶贫项目更多的是追求公共目标，且其中多数目标都很难衡量，其评价标准难以建立。如何从科学角度,突破经济发展水平、技术手段、认知和主观决策限制,建立一套科学、系统和完整的绩效评价标准，综合评价财政支出的经济效益、社会效益、环境效益以及政府绩效,是财政资金绩效评价的重要目标，也是当前开展绩效评价的难点。</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三、评价结论和绩效分析</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评价结果</w:t>
      </w:r>
      <w:r>
        <w:rPr>
          <w:rFonts w:hint="eastAsia" w:ascii="仿宋_GB2312" w:hAnsi="仿宋_GB2312" w:cs="仿宋_GB2312"/>
          <w:sz w:val="32"/>
          <w:szCs w:val="32"/>
          <w:lang w:val="en-US"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2022年残疾人就业扶贫项目资金使用符合中央、省、市文件要求，财政资金的投入，进一步完善了我区残疾人教育体系，提高了残疾人受教育水平，健全了残疾人学生助学保障机制，多种形式促进了残疾人就业，以创业带动就业，确保残疾人有受公平教育的权利、有就业能力和就业愿望的残疾人实现充分稳定就业，着力保障残疾人基本生活，不断改善对残疾人的服务，积极促进残疾人全面发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（二）具体绩效分析</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A.项目决策</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A1.项目立项：项目立项与残联中长期规划目标相匹配，与省、市、区政府相关规划、决策相配，与残联部门承担的职责相适应，自评分8分；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A2.项目目标：绩效目标设定完整，与预算相匹配，绩效指标设定明确、量化，自评分12分。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B.项目管理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B1.投入管理：预算编制充分、合理，预计项目支出合理并完整反应，预算调整规范，预算执行率100%，自评分4分；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2.财务管理：项目资金使用符合预算批复的用途，没有截留、挤占、挪用、虚列支出等情况，财务制度健全、完善、有效，资金拨付有完整的审批程序和手续，符合相关制度规定，没有违反相关财务管理制度的情况，自评分6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B3.项目实施：项目管理制度健全、完善、有效，为保障项目顺利实施，采取相应的监管措施，风险得到控制，管理制度、监管制度有效执行，与项目相关的合同有效执行，台账记录规范，需要采买的服务符合政府采购规范，自评分10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C.项目绩效</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2021年，在年度、季度目标时限内完成就业扶贫工作任务，立足服务，不断提高了为残疾人服务的水平，有相关就业扶贫需求的残疾人均得到服务，扶持覆盖率达100%，并严格按照省、市、区指定的各项救助标准提供服务，成本得到有效控制，充分发挥了残疾人事业资金的使用效益，保障了残疾人基本生活、平等接受教育、劳动就业等各项权益，让残疾人切实感受到党和政府的政策，有效控制了社会不安定因素，增强理残疾人平等参与社会生活的能力，根据残联工作职责，残疾人就业扶贫项目一直长期持续开展，切实做到保底线、强保障、抓民生，残疾人服务满意率超过90%。自评分60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四、成本效益分析</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疾人就业和扶贫项目资金主要来源于中央、省、市残疾人就业和扶贫专项资金和彩票公益金及区财政拨款资金，盘龙区残联2021年中央、省、市就业扶贫专项资金及彩票公益金总投入75.63万元，区级投入105.44万元，共计181.07万元；2022年中央、省、市就业扶贫专项资金及彩票公益金总投入57.8万元，区级投入288.45万元，共计346.25万元，较2021年增加165.18万元，增长率为91.22%。2021年实际支出181.07万元，2022年实际支出346.25万元，增加了165.18万元，增长率为91.22%。增加原因为：2022重新开始发放残疾人居民医疗保险缴费补助。在资金使用过程中，区残联严格按照相关项目方案执行，保证资金使用的真实性和合理性，在促进残疾人接受教育、稳定残疾人就业、助力残疾人脱贫工作取得明显成效。总体来说，为提高残疾人服务水平，区残联在就业扶贫工作上投入的经费呈逐年增长的趋势。</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sz w:val="32"/>
          <w:szCs w:val="32"/>
        </w:rPr>
      </w:pPr>
      <w:r>
        <w:rPr>
          <w:rFonts w:hint="eastAsia" w:ascii="黑体" w:hAnsi="黑体" w:eastAsia="黑体" w:cs="黑体"/>
          <w:sz w:val="32"/>
          <w:szCs w:val="32"/>
        </w:rPr>
        <w:t>五、主要经验及做法、存在的问题和建议</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残联作为区委、区政府联系残疾人群众的桥梁和纽带，积极履职尽责，大胆实践，勇于开拓创新。一是加强工作宣传力度，增强社会公众对残联的认知和对残疾人群体的接纳程度；二是严格精细化管理，提供工作质量和效率，全面落实绩效管理目标责任制，多部门协作，共同推进项目各项任务指标的落实。三是根据实际救助人数进行费用结算，保证财政资金使用效率；四是强化资金用途监管，严格执行资金使用管理的相关规定。</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主要表现在：帮扶救助宣传力度需要进一步加强。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（三）建议和改进措施</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进一步完善适应当前社会经济发展的残疾人就业扶贫服务体系和运行机制。完善和巩固“行为规范、运转协调、公正透明、廉洁高效”的残疾人就业扶贫救助体系，形成一个政府监管到位，财政保障有力，救助行为规范的服务环境。</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2.加强人才队伍建设。不断优化人才结构，探索适合残疾人需求的服务模式，打造一支优质高效残疾人工作者队伍。</w:t>
      </w:r>
    </w:p>
    <w:p>
      <w:pPr>
        <w:spacing w:line="540" w:lineRule="exact"/>
        <w:ind w:firstLine="600"/>
        <w:rPr>
          <w:rFonts w:ascii="方正小标宋_GBK" w:hAnsi="黑体" w:eastAsia="方正小标宋_GBK"/>
          <w:szCs w:val="32"/>
        </w:rPr>
      </w:pPr>
    </w:p>
    <w:sectPr>
      <w:pgSz w:w="11906" w:h="16838"/>
      <w:pgMar w:top="1701"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A00002EF" w:usb1="4000004B" w:usb2="00000000" w:usb3="00000000" w:csb0="2000019F" w:csb1="00000000"/>
  </w:font>
  <w:font w:name="PMingLiU">
    <w:panose1 w:val="02020500000000000000"/>
    <w:charset w:val="88"/>
    <w:family w:val="roman"/>
    <w:pitch w:val="default"/>
    <w:sig w:usb0="A00002FF" w:usb1="28CFFCFA" w:usb2="00000016" w:usb3="00000000" w:csb0="0010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pict>
        <v:shape id="_x0000_s3073" o:spid="_x0000_s3073"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pPr>
                  <w:pStyle w:val="5"/>
                  <w:ind w:firstLine="360"/>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pict>
        <v:shape id="_x0000_s3074" o:spid="_x0000_s3074"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path/>
          <v:fill on="f" focussize="0,0"/>
          <v:stroke on="f" weight="0.5pt" joinstyle="miter"/>
          <v:imagedata o:title=""/>
          <o:lock v:ext="edit"/>
          <v:textbox inset="0mm,0mm,0mm,0mm" style="mso-fit-shape-to-text:t;">
            <w:txbxContent>
              <w:p>
                <w:pPr>
                  <w:ind w:firstLine="600"/>
                </w:pP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BhMmQ3NjRjNmRhYjg2N2Y4NDgyOTFhODcxNGM5NDUifQ=="/>
  </w:docVars>
  <w:rsids>
    <w:rsidRoot w:val="0082323B"/>
    <w:rsid w:val="002B2889"/>
    <w:rsid w:val="0082323B"/>
    <w:rsid w:val="00F0448B"/>
    <w:rsid w:val="029E65F0"/>
    <w:rsid w:val="043A37F2"/>
    <w:rsid w:val="068813A0"/>
    <w:rsid w:val="07681BA7"/>
    <w:rsid w:val="09A55D8B"/>
    <w:rsid w:val="0C0826DA"/>
    <w:rsid w:val="0D3E475C"/>
    <w:rsid w:val="0F417DAD"/>
    <w:rsid w:val="110D474E"/>
    <w:rsid w:val="110F1B9F"/>
    <w:rsid w:val="12B216B4"/>
    <w:rsid w:val="155148BC"/>
    <w:rsid w:val="161B2678"/>
    <w:rsid w:val="17E376FA"/>
    <w:rsid w:val="18D55BBC"/>
    <w:rsid w:val="19940504"/>
    <w:rsid w:val="1B967C20"/>
    <w:rsid w:val="1BF034AF"/>
    <w:rsid w:val="1D9A66D3"/>
    <w:rsid w:val="20713DA0"/>
    <w:rsid w:val="211367DC"/>
    <w:rsid w:val="21CE707C"/>
    <w:rsid w:val="23E47FDC"/>
    <w:rsid w:val="24607C3E"/>
    <w:rsid w:val="24A85021"/>
    <w:rsid w:val="25495E94"/>
    <w:rsid w:val="269C0895"/>
    <w:rsid w:val="28041710"/>
    <w:rsid w:val="2A69762D"/>
    <w:rsid w:val="2A812F54"/>
    <w:rsid w:val="2BD567CE"/>
    <w:rsid w:val="2BF12809"/>
    <w:rsid w:val="2C682708"/>
    <w:rsid w:val="2C724B7A"/>
    <w:rsid w:val="2FA31A3A"/>
    <w:rsid w:val="37575C82"/>
    <w:rsid w:val="37B2123F"/>
    <w:rsid w:val="389B55F0"/>
    <w:rsid w:val="39045588"/>
    <w:rsid w:val="39F66BC3"/>
    <w:rsid w:val="3B3C6826"/>
    <w:rsid w:val="3D7F420C"/>
    <w:rsid w:val="3F224E90"/>
    <w:rsid w:val="426E45A7"/>
    <w:rsid w:val="42B11023"/>
    <w:rsid w:val="42EA47E6"/>
    <w:rsid w:val="456F1726"/>
    <w:rsid w:val="459F7836"/>
    <w:rsid w:val="47F77885"/>
    <w:rsid w:val="4AEC55D9"/>
    <w:rsid w:val="4C64003C"/>
    <w:rsid w:val="4DDE1420"/>
    <w:rsid w:val="4E9E4AB0"/>
    <w:rsid w:val="50B6736D"/>
    <w:rsid w:val="51E85DF8"/>
    <w:rsid w:val="55D1603C"/>
    <w:rsid w:val="55F57F66"/>
    <w:rsid w:val="5A44489B"/>
    <w:rsid w:val="5AA57BFE"/>
    <w:rsid w:val="5B0F5105"/>
    <w:rsid w:val="6619694E"/>
    <w:rsid w:val="682F3B49"/>
    <w:rsid w:val="688104D3"/>
    <w:rsid w:val="68E10792"/>
    <w:rsid w:val="6AA71FC1"/>
    <w:rsid w:val="6DA93EEA"/>
    <w:rsid w:val="6DCC1511"/>
    <w:rsid w:val="6EF51493"/>
    <w:rsid w:val="71053D06"/>
    <w:rsid w:val="73C54E59"/>
    <w:rsid w:val="74ED3E2B"/>
    <w:rsid w:val="75F71710"/>
    <w:rsid w:val="779A407B"/>
    <w:rsid w:val="7862763C"/>
    <w:rsid w:val="79045FF6"/>
    <w:rsid w:val="79A706FC"/>
    <w:rsid w:val="79CB1B91"/>
    <w:rsid w:val="7BB22D06"/>
    <w:rsid w:val="7C4F119E"/>
    <w:rsid w:val="7CFF4247"/>
    <w:rsid w:val="7D12237E"/>
    <w:rsid w:val="7E206A24"/>
    <w:rsid w:val="7E3A5AD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rules v:ext="edit">
        <o:r id="V:Rule1" type="connector" idref="#_x0000_s1026"/>
        <o:r id="V:Rule2" type="connector" idref="#_x0000_s2050"/>
        <o:r id="V:Rule3" type="connector" idref="#_x0000_s2051"/>
        <o:r id="V:Rule4" type="connector" idref="#_x0000_s2052"/>
        <o:r id="V:Rule5" type="connector" idref="#_x0000_s205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outlineLvl w:val="1"/>
    </w:pPr>
    <w:rPr>
      <w:rFonts w:ascii="Arial" w:hAnsi="Arial" w:eastAsia="黑体"/>
    </w:rPr>
  </w:style>
  <w:style w:type="paragraph" w:styleId="4">
    <w:name w:val="heading 3"/>
    <w:basedOn w:val="1"/>
    <w:next w:val="1"/>
    <w:unhideWhenUsed/>
    <w:qFormat/>
    <w:uiPriority w:val="0"/>
    <w:pPr>
      <w:keepNext/>
      <w:keepLines/>
      <w:outlineLvl w:val="2"/>
    </w:pPr>
    <w:rPr>
      <w:rFonts w:eastAsia="楷体"/>
      <w:b/>
    </w:rPr>
  </w:style>
  <w:style w:type="character" w:default="1" w:styleId="7">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customStyle="1" w:styleId="9">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3073"/>
    <customShpInfo spid="_x0000_s3074"/>
    <customShpInfo spid="_x0000_s1026"/>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7595</Words>
  <Characters>7939</Characters>
  <Lines>60</Lines>
  <Paragraphs>17</Paragraphs>
  <TotalTime>0</TotalTime>
  <ScaleCrop>false</ScaleCrop>
  <LinksUpToDate>false</LinksUpToDate>
  <CharactersWithSpaces>7977</CharactersWithSpaces>
  <Application>WPS Office_11.1.0.8200_F1E327BC-269C-435d-A152-05C5408002CA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2023-04-27T09:19:00Z</cp:lastPrinted>
  <dcterms:modified xsi:type="dcterms:W3CDTF">2023-09-27T05:34:49Z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2052-11.1.0.8200</vt:lpwstr>
  </property>
  <property fmtid="{D5CDD505-2E9C-101B-9397-08002B2CF9AE}" pid="3" name="ICV">
    <vt:lpwstr>997307C404AE4C349DC4BFE82DDD0F19</vt:lpwstr>
  </property>
</Properties>
</file>