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eastAsia="zh-CN"/>
        </w:rPr>
        <w:t>其他残疾人事业支出</w:t>
      </w:r>
      <w:r>
        <w:rPr>
          <w:rFonts w:hint="eastAsia" w:ascii="方正小标宋简体" w:hAnsi="方正小标宋简体" w:eastAsia="方正小标宋简体" w:cs="方正小标宋简体"/>
          <w:bCs/>
          <w:sz w:val="44"/>
          <w:szCs w:val="44"/>
        </w:rPr>
        <w:t>项目支出绩效自评报告</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val="en-US" w:eastAsia="zh-CN"/>
        </w:rPr>
        <w:t>2022</w:t>
      </w:r>
      <w:r>
        <w:rPr>
          <w:rFonts w:hint="eastAsia" w:ascii="方正小标宋简体" w:hAnsi="方正小标宋简体" w:eastAsia="方正小标宋简体" w:cs="方正小标宋简体"/>
          <w:sz w:val="44"/>
          <w:szCs w:val="44"/>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XqXKDXAAAACQEA&#10;AA8AAAAAAAAAAQAgAAAAIgAAAGRycy9kb3ducmV2LnhtbFBLAQIUABQAAAAIAIdO4kBTqpAm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8YRdg1wAAAAkB&#10;AAAPAAAAAAAAAAEAIAAAACIAAABkcnMvZG93bnJldi54bWxQSwECFAAUAAAACACHTuJA2oKny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C+lQRR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ZOosv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其他残疾人事业支出项目</w:t>
      </w:r>
    </w:p>
    <w:p>
      <w:pPr>
        <w:adjustRightInd w:val="0"/>
        <w:snapToGrid w:val="0"/>
        <w:spacing w:line="360" w:lineRule="auto"/>
        <w:ind w:left="180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AA/Y8l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p>
    <w:p>
      <w:pPr>
        <w:spacing w:line="360" w:lineRule="auto"/>
        <w:ind w:left="1740"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widowControl/>
        <w:jc w:val="left"/>
        <w:rPr>
          <w:rFonts w:ascii="Times New Roman" w:hAnsi="Times New Roman" w:eastAsia="仿宋_GB2312"/>
          <w:b/>
          <w:bCs/>
          <w:sz w:val="28"/>
          <w:szCs w:val="28"/>
        </w:rPr>
        <w:sectPr>
          <w:pgSz w:w="11906" w:h="16838"/>
          <w:pgMar w:top="1701" w:right="1587" w:bottom="1587" w:left="1587" w:header="851" w:footer="992" w:gutter="0"/>
          <w:cols w:space="425" w:num="1"/>
          <w:titlePg/>
          <w:docGrid w:type="lines" w:linePitch="312" w:charSpace="0"/>
        </w:sectPr>
      </w:pPr>
    </w:p>
    <w:p>
      <w:pPr>
        <w:pStyle w:val="8"/>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7"/>
        <w:tblpPr w:leftFromText="180" w:rightFromText="180" w:vertAnchor="text" w:horzAnchor="margin" w:tblpXSpec="center" w:tblpY="72"/>
        <w:tblW w:w="81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5"/>
        <w:gridCol w:w="1620"/>
        <w:gridCol w:w="1620"/>
        <w:gridCol w:w="1621"/>
        <w:gridCol w:w="16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15" w:type="dxa"/>
            <w:vAlign w:val="center"/>
          </w:tcPr>
          <w:p>
            <w:pPr>
              <w:pStyle w:val="8"/>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评价小组</w:t>
            </w:r>
          </w:p>
          <w:p>
            <w:pPr>
              <w:pStyle w:val="8"/>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机构职位</w:t>
            </w:r>
          </w:p>
        </w:tc>
        <w:tc>
          <w:tcPr>
            <w:tcW w:w="1620" w:type="dxa"/>
            <w:vAlign w:val="center"/>
          </w:tcPr>
          <w:p>
            <w:pPr>
              <w:pStyle w:val="8"/>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姓名</w:t>
            </w:r>
          </w:p>
        </w:tc>
        <w:tc>
          <w:tcPr>
            <w:tcW w:w="1620" w:type="dxa"/>
            <w:vAlign w:val="center"/>
          </w:tcPr>
          <w:p>
            <w:pPr>
              <w:pStyle w:val="8"/>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职务/职称</w:t>
            </w:r>
          </w:p>
        </w:tc>
        <w:tc>
          <w:tcPr>
            <w:tcW w:w="1621" w:type="dxa"/>
            <w:vAlign w:val="center"/>
          </w:tcPr>
          <w:p>
            <w:pPr>
              <w:pStyle w:val="8"/>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所属</w:t>
            </w:r>
          </w:p>
          <w:p>
            <w:pPr>
              <w:pStyle w:val="8"/>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单位/处室</w:t>
            </w:r>
          </w:p>
        </w:tc>
        <w:tc>
          <w:tcPr>
            <w:tcW w:w="1626" w:type="dxa"/>
            <w:vAlign w:val="center"/>
          </w:tcPr>
          <w:p>
            <w:pPr>
              <w:pStyle w:val="8"/>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9" w:hRule="atLeast"/>
          <w:jc w:val="center"/>
        </w:trPr>
        <w:tc>
          <w:tcPr>
            <w:tcW w:w="1615" w:type="dxa"/>
            <w:vAlign w:val="center"/>
          </w:tcPr>
          <w:p>
            <w:pPr>
              <w:pStyle w:val="8"/>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组长</w:t>
            </w:r>
          </w:p>
        </w:tc>
        <w:tc>
          <w:tcPr>
            <w:tcW w:w="1620" w:type="dxa"/>
            <w:vAlign w:val="center"/>
          </w:tcPr>
          <w:p>
            <w:pPr>
              <w:pStyle w:val="8"/>
              <w:widowControl w:val="0"/>
              <w:spacing w:after="0" w:line="240" w:lineRule="auto"/>
              <w:jc w:val="center"/>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黎如珊</w:t>
            </w:r>
          </w:p>
        </w:tc>
        <w:tc>
          <w:tcPr>
            <w:tcW w:w="1620" w:type="dxa"/>
            <w:vAlign w:val="center"/>
          </w:tcPr>
          <w:p>
            <w:pPr>
              <w:pStyle w:val="8"/>
              <w:widowControl w:val="0"/>
              <w:spacing w:after="0" w:line="240" w:lineRule="auto"/>
              <w:jc w:val="center"/>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理事长</w:t>
            </w:r>
          </w:p>
        </w:tc>
        <w:tc>
          <w:tcPr>
            <w:tcW w:w="1621" w:type="dxa"/>
            <w:vAlign w:val="center"/>
          </w:tcPr>
          <w:p>
            <w:pPr>
              <w:pStyle w:val="8"/>
              <w:widowControl w:val="0"/>
              <w:spacing w:after="0" w:line="240" w:lineRule="auto"/>
              <w:jc w:val="center"/>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6" w:type="dxa"/>
            <w:vAlign w:val="center"/>
          </w:tcPr>
          <w:p>
            <w:pPr>
              <w:pStyle w:val="8"/>
              <w:widowControl w:val="0"/>
              <w:spacing w:after="0" w:line="240" w:lineRule="auto"/>
              <w:jc w:val="center"/>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4" w:hRule="atLeast"/>
          <w:jc w:val="center"/>
        </w:trPr>
        <w:tc>
          <w:tcPr>
            <w:tcW w:w="1615" w:type="dxa"/>
            <w:vAlign w:val="center"/>
          </w:tcPr>
          <w:p>
            <w:pPr>
              <w:pStyle w:val="8"/>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副组长</w:t>
            </w:r>
          </w:p>
        </w:tc>
        <w:tc>
          <w:tcPr>
            <w:tcW w:w="1620" w:type="dxa"/>
            <w:vAlign w:val="center"/>
          </w:tcPr>
          <w:p>
            <w:pPr>
              <w:pStyle w:val="8"/>
              <w:widowControl w:val="0"/>
              <w:spacing w:after="0" w:line="360" w:lineRule="auto"/>
              <w:jc w:val="center"/>
              <w:rPr>
                <w:rFonts w:hint="eastAsia" w:asciiTheme="minorEastAsia" w:hAnsiTheme="minorEastAsia" w:eastAsiaTheme="minorEastAsia" w:cstheme="minorEastAsia"/>
                <w:kern w:val="2"/>
                <w:sz w:val="28"/>
                <w:szCs w:val="28"/>
                <w:lang w:val="en-US" w:eastAsia="zh-CN"/>
              </w:rPr>
            </w:pPr>
            <w:r>
              <w:rPr>
                <w:rFonts w:hint="eastAsia" w:asciiTheme="minorEastAsia" w:hAnsiTheme="minorEastAsia" w:eastAsiaTheme="minorEastAsia" w:cstheme="minorEastAsia"/>
                <w:kern w:val="2"/>
                <w:sz w:val="28"/>
                <w:szCs w:val="28"/>
                <w:lang w:val="en-US" w:eastAsia="zh-CN"/>
              </w:rPr>
              <w:t>杨超</w:t>
            </w:r>
          </w:p>
        </w:tc>
        <w:tc>
          <w:tcPr>
            <w:tcW w:w="1620" w:type="dxa"/>
            <w:vAlign w:val="center"/>
          </w:tcPr>
          <w:p>
            <w:pPr>
              <w:pStyle w:val="8"/>
              <w:widowControl w:val="0"/>
              <w:spacing w:after="0" w:line="360" w:lineRule="auto"/>
              <w:jc w:val="center"/>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副理事长</w:t>
            </w:r>
          </w:p>
        </w:tc>
        <w:tc>
          <w:tcPr>
            <w:tcW w:w="1621" w:type="dxa"/>
            <w:vAlign w:val="center"/>
          </w:tcPr>
          <w:p>
            <w:pPr>
              <w:pStyle w:val="8"/>
              <w:widowControl w:val="0"/>
              <w:spacing w:after="0" w:line="360" w:lineRule="auto"/>
              <w:jc w:val="center"/>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6" w:type="dxa"/>
            <w:vAlign w:val="center"/>
          </w:tcPr>
          <w:p>
            <w:pPr>
              <w:pStyle w:val="8"/>
              <w:widowControl w:val="0"/>
              <w:spacing w:after="0" w:line="360" w:lineRule="auto"/>
              <w:jc w:val="center"/>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15" w:type="dxa"/>
            <w:vAlign w:val="center"/>
          </w:tcPr>
          <w:p>
            <w:pPr>
              <w:pStyle w:val="8"/>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成员</w:t>
            </w:r>
          </w:p>
        </w:tc>
        <w:tc>
          <w:tcPr>
            <w:tcW w:w="1620" w:type="dxa"/>
            <w:vAlign w:val="center"/>
          </w:tcPr>
          <w:p>
            <w:pPr>
              <w:pStyle w:val="8"/>
              <w:widowControl w:val="0"/>
              <w:spacing w:after="0" w:line="360" w:lineRule="auto"/>
              <w:jc w:val="center"/>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王海燕</w:t>
            </w:r>
          </w:p>
        </w:tc>
        <w:tc>
          <w:tcPr>
            <w:tcW w:w="1620" w:type="dxa"/>
            <w:vAlign w:val="center"/>
          </w:tcPr>
          <w:p>
            <w:pPr>
              <w:pStyle w:val="8"/>
              <w:widowControl w:val="0"/>
              <w:spacing w:after="0" w:line="360" w:lineRule="auto"/>
              <w:jc w:val="center"/>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综合业务科科科长</w:t>
            </w:r>
          </w:p>
        </w:tc>
        <w:tc>
          <w:tcPr>
            <w:tcW w:w="1621" w:type="dxa"/>
            <w:vAlign w:val="center"/>
          </w:tcPr>
          <w:p>
            <w:pPr>
              <w:pStyle w:val="8"/>
              <w:widowControl w:val="0"/>
              <w:spacing w:after="0" w:line="360" w:lineRule="auto"/>
              <w:jc w:val="center"/>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6" w:type="dxa"/>
            <w:vAlign w:val="center"/>
          </w:tcPr>
          <w:p>
            <w:pPr>
              <w:pStyle w:val="8"/>
              <w:widowControl w:val="0"/>
              <w:spacing w:after="0" w:line="360" w:lineRule="auto"/>
              <w:jc w:val="center"/>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8" w:hRule="atLeast"/>
          <w:jc w:val="center"/>
        </w:trPr>
        <w:tc>
          <w:tcPr>
            <w:tcW w:w="1615" w:type="dxa"/>
            <w:vAlign w:val="center"/>
          </w:tcPr>
          <w:p>
            <w:pPr>
              <w:pStyle w:val="8"/>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成员</w:t>
            </w:r>
          </w:p>
        </w:tc>
        <w:tc>
          <w:tcPr>
            <w:tcW w:w="1620" w:type="dxa"/>
            <w:vAlign w:val="center"/>
          </w:tcPr>
          <w:p>
            <w:pPr>
              <w:pStyle w:val="8"/>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eastAsia="zh-CN"/>
              </w:rPr>
              <w:t>赵荣玲</w:t>
            </w:r>
          </w:p>
        </w:tc>
        <w:tc>
          <w:tcPr>
            <w:tcW w:w="1620" w:type="dxa"/>
            <w:vAlign w:val="center"/>
          </w:tcPr>
          <w:p>
            <w:pPr>
              <w:pStyle w:val="8"/>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eastAsia="zh-CN"/>
              </w:rPr>
              <w:t>财务人员</w:t>
            </w:r>
          </w:p>
        </w:tc>
        <w:tc>
          <w:tcPr>
            <w:tcW w:w="1621" w:type="dxa"/>
            <w:vAlign w:val="center"/>
          </w:tcPr>
          <w:p>
            <w:pPr>
              <w:pStyle w:val="8"/>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盘龙区残联</w:t>
            </w:r>
          </w:p>
        </w:tc>
        <w:tc>
          <w:tcPr>
            <w:tcW w:w="1626" w:type="dxa"/>
            <w:vAlign w:val="center"/>
          </w:tcPr>
          <w:p>
            <w:pPr>
              <w:pStyle w:val="8"/>
              <w:widowControl w:val="0"/>
              <w:spacing w:after="0" w:line="360" w:lineRule="auto"/>
              <w:jc w:val="center"/>
              <w:rPr>
                <w:rFonts w:hint="eastAsia" w:asciiTheme="minorEastAsia" w:hAnsiTheme="minorEastAsia" w:eastAsiaTheme="minorEastAsia" w:cstheme="minorEastAsia"/>
                <w:kern w:val="2"/>
                <w:sz w:val="28"/>
                <w:szCs w:val="28"/>
                <w:lang w:val="zh-TW" w:eastAsia="zh-TW"/>
              </w:rPr>
            </w:pPr>
          </w:p>
          <w:p>
            <w:pPr>
              <w:pStyle w:val="8"/>
              <w:widowControl w:val="0"/>
              <w:spacing w:after="0" w:line="360" w:lineRule="auto"/>
              <w:jc w:val="center"/>
              <w:rPr>
                <w:rFonts w:hint="eastAsia" w:asciiTheme="minorEastAsia" w:hAnsiTheme="minorEastAsia" w:eastAsiaTheme="minorEastAsia" w:cstheme="minorEastAsia"/>
                <w:kern w:val="2"/>
                <w:sz w:val="28"/>
                <w:szCs w:val="28"/>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jc w:val="center"/>
        </w:trPr>
        <w:tc>
          <w:tcPr>
            <w:tcW w:w="8102" w:type="dxa"/>
            <w:gridSpan w:val="5"/>
            <w:vAlign w:val="top"/>
          </w:tcPr>
          <w:p>
            <w:pPr>
              <w:pStyle w:val="8"/>
              <w:widowControl w:val="0"/>
              <w:spacing w:after="0" w:line="360" w:lineRule="auto"/>
              <w:jc w:val="both"/>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报告撰写人（签字）：</w:t>
            </w:r>
          </w:p>
          <w:p>
            <w:pPr>
              <w:pStyle w:val="8"/>
              <w:widowControl w:val="0"/>
              <w:spacing w:after="0" w:line="360" w:lineRule="auto"/>
              <w:jc w:val="both"/>
              <w:rPr>
                <w:rFonts w:hint="eastAsia" w:asciiTheme="minorEastAsia" w:hAnsiTheme="minorEastAsia" w:eastAsiaTheme="minorEastAsia" w:cstheme="minorEastAsia"/>
                <w:kern w:val="2"/>
                <w:sz w:val="28"/>
                <w:szCs w:val="28"/>
                <w:lang w:val="zh-TW"/>
              </w:rPr>
            </w:pPr>
          </w:p>
          <w:p>
            <w:pPr>
              <w:pStyle w:val="8"/>
              <w:widowControl w:val="0"/>
              <w:spacing w:after="0" w:line="360" w:lineRule="auto"/>
              <w:jc w:val="both"/>
              <w:rPr>
                <w:rFonts w:hint="eastAsia" w:asciiTheme="minorEastAsia" w:hAnsiTheme="minorEastAsia" w:eastAsiaTheme="minorEastAsia" w:cstheme="minorEastAsia"/>
                <w:kern w:val="2"/>
                <w:sz w:val="28"/>
                <w:szCs w:val="28"/>
                <w:lang w:val="zh-TW"/>
              </w:rPr>
            </w:pPr>
          </w:p>
          <w:p>
            <w:pPr>
              <w:pStyle w:val="8"/>
              <w:widowControl w:val="0"/>
              <w:wordWrap w:val="0"/>
              <w:spacing w:after="0" w:line="360" w:lineRule="auto"/>
              <w:jc w:val="right"/>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jc w:val="center"/>
        </w:trPr>
        <w:tc>
          <w:tcPr>
            <w:tcW w:w="8102" w:type="dxa"/>
            <w:gridSpan w:val="5"/>
            <w:vAlign w:val="top"/>
          </w:tcPr>
          <w:p>
            <w:pPr>
              <w:pStyle w:val="8"/>
              <w:widowControl w:val="0"/>
              <w:spacing w:after="0" w:line="360" w:lineRule="auto"/>
              <w:jc w:val="both"/>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评价工作负责人（签字）：</w:t>
            </w:r>
          </w:p>
          <w:p>
            <w:pPr>
              <w:pStyle w:val="8"/>
              <w:widowControl w:val="0"/>
              <w:spacing w:after="0" w:line="360" w:lineRule="auto"/>
              <w:jc w:val="both"/>
              <w:rPr>
                <w:rFonts w:hint="eastAsia" w:asciiTheme="minorEastAsia" w:hAnsiTheme="minorEastAsia" w:eastAsiaTheme="minorEastAsia" w:cstheme="minorEastAsia"/>
                <w:kern w:val="2"/>
                <w:sz w:val="28"/>
                <w:szCs w:val="28"/>
                <w:lang w:val="zh-TW"/>
              </w:rPr>
            </w:pPr>
          </w:p>
          <w:p>
            <w:pPr>
              <w:pStyle w:val="8"/>
              <w:widowControl w:val="0"/>
              <w:spacing w:after="0" w:line="360" w:lineRule="auto"/>
              <w:jc w:val="both"/>
              <w:rPr>
                <w:rFonts w:hint="eastAsia" w:asciiTheme="minorEastAsia" w:hAnsiTheme="minorEastAsia" w:eastAsiaTheme="minorEastAsia" w:cstheme="minorEastAsia"/>
                <w:kern w:val="2"/>
                <w:sz w:val="28"/>
                <w:szCs w:val="28"/>
                <w:lang w:val="zh-TW"/>
              </w:rPr>
            </w:pPr>
          </w:p>
          <w:p>
            <w:pPr>
              <w:pStyle w:val="8"/>
              <w:widowControl w:val="0"/>
              <w:wordWrap w:val="0"/>
              <w:spacing w:after="0" w:line="360" w:lineRule="auto"/>
              <w:jc w:val="right"/>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年  月  日</w:t>
            </w:r>
          </w:p>
        </w:tc>
      </w:tr>
    </w:tbl>
    <w:p>
      <w:pPr>
        <w:pStyle w:val="8"/>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8"/>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9"/>
        <w:pageBreakBefore w:val="0"/>
        <w:kinsoku/>
        <w:wordWrap/>
        <w:overflowPunct/>
        <w:topLinePunct w:val="0"/>
        <w:autoSpaceDE/>
        <w:autoSpaceDN/>
        <w:bidi w:val="0"/>
        <w:adjustRightInd/>
        <w:snapToGrid/>
        <w:spacing w:before="0" w:line="440" w:lineRule="exact"/>
        <w:ind w:firstLine="643"/>
        <w:jc w:val="center"/>
        <w:textAlignment w:val="auto"/>
        <w:rPr>
          <w:rFonts w:hint="eastAsia" w:ascii="黑体" w:hAnsi="黑体" w:eastAsia="黑体" w:cs="黑体"/>
          <w:b w:val="0"/>
          <w:bCs w:val="0"/>
          <w:color w:val="auto"/>
          <w:sz w:val="28"/>
          <w:szCs w:val="28"/>
        </w:rPr>
      </w:pPr>
      <w:r>
        <w:rPr>
          <w:rFonts w:hint="eastAsia" w:ascii="黑体" w:hAnsi="黑体" w:eastAsia="黑体" w:cs="黑体"/>
          <w:b w:val="0"/>
          <w:bCs w:val="0"/>
          <w:color w:val="auto"/>
          <w:sz w:val="28"/>
          <w:szCs w:val="28"/>
          <w:lang w:val="zh-CN"/>
        </w:rPr>
        <w:t>目录</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摘要</w:t>
      </w:r>
      <w:r>
        <w:rPr>
          <w:rFonts w:hint="eastAsia" w:ascii="黑体" w:hAnsi="黑体" w:eastAsia="黑体" w:cs="黑体"/>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一、 项目基本情况</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（一）项目立项背景</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 xml:space="preserve">（二）项目立项依据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（三）项目实施内容</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（四）项目实施计划及完成情况</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（五）项目的组织及管理</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 xml:space="preserve">（六）项目绩效目标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二、绩效评价工作情况</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（一）</w:t>
      </w:r>
      <w:r>
        <w:rPr>
          <w:rFonts w:hint="eastAsia" w:ascii="仿宋_GB2312" w:hAnsi="仿宋_GB2312" w:eastAsia="仿宋_GB2312" w:cs="仿宋_GB2312"/>
          <w:b w:val="0"/>
          <w:bCs w:val="0"/>
          <w:sz w:val="28"/>
          <w:szCs w:val="28"/>
        </w:rPr>
        <w:t>评价的目的和依据</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（二）</w:t>
      </w:r>
      <w:r>
        <w:rPr>
          <w:rFonts w:hint="eastAsia" w:ascii="仿宋_GB2312" w:hAnsi="仿宋_GB2312" w:eastAsia="仿宋_GB2312" w:cs="仿宋_GB2312"/>
          <w:b w:val="0"/>
          <w:bCs w:val="0"/>
          <w:sz w:val="28"/>
          <w:szCs w:val="28"/>
        </w:rPr>
        <w:t>绩效评价工作方案制定过程</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（三）</w:t>
      </w:r>
      <w:r>
        <w:rPr>
          <w:rFonts w:hint="eastAsia" w:ascii="仿宋_GB2312" w:hAnsi="仿宋_GB2312" w:eastAsia="仿宋_GB2312" w:cs="仿宋_GB2312"/>
          <w:b w:val="0"/>
          <w:bCs w:val="0"/>
          <w:sz w:val="28"/>
          <w:szCs w:val="28"/>
        </w:rPr>
        <w:t>绩效评价原则、评价方法等</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（四）</w:t>
      </w:r>
      <w:r>
        <w:rPr>
          <w:rFonts w:hint="eastAsia" w:ascii="仿宋_GB2312" w:hAnsi="仿宋_GB2312" w:eastAsia="仿宋_GB2312" w:cs="仿宋_GB2312"/>
          <w:b w:val="0"/>
          <w:bCs w:val="0"/>
          <w:sz w:val="28"/>
          <w:szCs w:val="28"/>
        </w:rPr>
        <w:t>绩效评价实施过程</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（五）</w:t>
      </w:r>
      <w:r>
        <w:rPr>
          <w:rFonts w:hint="eastAsia" w:ascii="仿宋_GB2312" w:hAnsi="仿宋_GB2312" w:eastAsia="仿宋_GB2312" w:cs="仿宋_GB2312"/>
          <w:b w:val="0"/>
          <w:bCs w:val="0"/>
          <w:sz w:val="28"/>
          <w:szCs w:val="28"/>
        </w:rPr>
        <w:t>绩效评价的局限性</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 xml:space="preserve">三、评价结论及绩效分析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（一）</w:t>
      </w:r>
      <w:r>
        <w:rPr>
          <w:rFonts w:hint="eastAsia" w:ascii="仿宋_GB2312" w:hAnsi="仿宋_GB2312" w:eastAsia="仿宋_GB2312" w:cs="仿宋_GB2312"/>
          <w:b w:val="0"/>
          <w:bCs w:val="0"/>
          <w:sz w:val="28"/>
          <w:szCs w:val="28"/>
        </w:rPr>
        <w:t>评价结论</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（二）</w:t>
      </w:r>
      <w:r>
        <w:rPr>
          <w:rFonts w:hint="eastAsia" w:ascii="仿宋_GB2312" w:hAnsi="仿宋_GB2312" w:eastAsia="仿宋_GB2312" w:cs="仿宋_GB2312"/>
          <w:b w:val="0"/>
          <w:bCs w:val="0"/>
          <w:sz w:val="28"/>
          <w:szCs w:val="28"/>
        </w:rPr>
        <w:t>绩效分析</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 xml:space="preserve">四、项目主要经验及做法、存在的问题和建议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（一）</w:t>
      </w:r>
      <w:r>
        <w:rPr>
          <w:rFonts w:hint="eastAsia" w:ascii="仿宋_GB2312" w:hAnsi="仿宋_GB2312" w:eastAsia="仿宋_GB2312" w:cs="仿宋_GB2312"/>
          <w:b w:val="0"/>
          <w:bCs w:val="0"/>
          <w:sz w:val="28"/>
          <w:szCs w:val="28"/>
        </w:rPr>
        <w:t>主要经验及做法</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（二）</w:t>
      </w:r>
      <w:r>
        <w:rPr>
          <w:rFonts w:hint="eastAsia" w:ascii="仿宋_GB2312" w:hAnsi="仿宋_GB2312" w:eastAsia="仿宋_GB2312" w:cs="仿宋_GB2312"/>
          <w:b w:val="0"/>
          <w:bCs w:val="0"/>
          <w:sz w:val="28"/>
          <w:szCs w:val="28"/>
        </w:rPr>
        <w:t>存在的问题</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（三）</w:t>
      </w:r>
      <w:r>
        <w:rPr>
          <w:rFonts w:hint="eastAsia" w:ascii="仿宋_GB2312" w:hAnsi="仿宋_GB2312" w:eastAsia="仿宋_GB2312" w:cs="仿宋_GB2312"/>
          <w:b w:val="0"/>
          <w:bCs w:val="0"/>
          <w:sz w:val="28"/>
          <w:szCs w:val="28"/>
        </w:rPr>
        <w:t xml:space="preserve">建议和改进措施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黑体" w:hAnsi="黑体" w:eastAsia="黑体" w:cs="黑体"/>
          <w:b w:val="0"/>
          <w:bCs w:val="0"/>
          <w:sz w:val="28"/>
          <w:szCs w:val="28"/>
        </w:rPr>
        <w:t>五、附件</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附件</w:t>
      </w:r>
      <w:r>
        <w:rPr>
          <w:rFonts w:hint="eastAsia" w:ascii="仿宋_GB2312" w:hAnsi="仿宋_GB2312" w:cs="仿宋_GB2312"/>
          <w:b w:val="0"/>
          <w:bCs w:val="0"/>
          <w:sz w:val="28"/>
          <w:szCs w:val="28"/>
          <w:lang w:eastAsia="zh-CN"/>
        </w:rPr>
        <w:t>：</w:t>
      </w:r>
      <w:r>
        <w:rPr>
          <w:rFonts w:hint="eastAsia" w:ascii="仿宋_GB2312" w:hAnsi="仿宋_GB2312" w:eastAsia="仿宋_GB2312" w:cs="仿宋_GB2312"/>
          <w:b w:val="0"/>
          <w:bCs w:val="0"/>
          <w:sz w:val="28"/>
          <w:szCs w:val="28"/>
        </w:rPr>
        <w:t>1</w:t>
      </w:r>
      <w:r>
        <w:rPr>
          <w:rFonts w:hint="eastAsia" w:ascii="仿宋_GB2312" w:hAnsi="仿宋_GB2312" w:cs="仿宋_GB2312"/>
          <w:b w:val="0"/>
          <w:bCs w:val="0"/>
          <w:sz w:val="28"/>
          <w:szCs w:val="28"/>
          <w:lang w:val="en-US" w:eastAsia="zh-CN"/>
        </w:rPr>
        <w:t>.</w:t>
      </w:r>
      <w:r>
        <w:rPr>
          <w:rFonts w:hint="eastAsia" w:ascii="仿宋_GB2312" w:hAnsi="仿宋_GB2312" w:eastAsia="仿宋_GB2312" w:cs="仿宋_GB2312"/>
          <w:b w:val="0"/>
          <w:bCs w:val="0"/>
          <w:sz w:val="28"/>
          <w:szCs w:val="28"/>
        </w:rPr>
        <w:t>指标体系</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1400" w:firstLineChars="500"/>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val="en-US" w:eastAsia="zh-CN"/>
        </w:rPr>
        <w:t>2.</w:t>
      </w:r>
      <w:r>
        <w:rPr>
          <w:rFonts w:hint="eastAsia" w:ascii="仿宋_GB2312" w:hAnsi="仿宋_GB2312" w:eastAsia="仿宋_GB2312" w:cs="仿宋_GB2312"/>
          <w:b w:val="0"/>
          <w:bCs w:val="0"/>
          <w:sz w:val="28"/>
          <w:szCs w:val="28"/>
        </w:rPr>
        <w:t>基础数据表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其他残疾人事业支出项目支出绩效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自评报告</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一、项目基本情况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（一）项目概况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1.立项背景及目的</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盘龙区含12个街道，105个社区（村），持证残疾人有13021人。近年来，在区委、区政府的高度重视和大力支持下，在市残联的指导下，区残联进一步健全以区级残联为主导，街道残联为骨干，社区残协为基础的三级基层组织网络，紧密围绕残疾人的迫切需求，努力完善我区残疾人工作模式，推进了基层残疾人组织建设工作的较快发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不断提升残联服务残疾人的综合能力，盘龙区残联不断加强基层残疾人组织建设，夯实基层残疾人组织基础，以促进大中专毕业残疾学生就业为抓手，公开选聘热心参与基层人工作并胜任残疾人工作的优秀残疾毕业生加入专职委员的行列中来。目前，12家街道残联均配备了理事长、残疾人专干，同时配备了43名社区专职委员，43名村级联络员，协助开展残疾人教育、就业、康复、扶贫、救助、文体、宣传等工作，为盘龙基层残疾人工作的可持续发展创造了良好的条件。</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rPr>
        <w:t>项目实施情况。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（1）开展残疾人事业宣传活动。通过助残日、爱眼日、爱耳日等特殊节日契机，积极宣传残疾人事业及残疾预防相关知识，进一步营造关心、关注残疾人事业的良好社会氛围。</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（2）组织开展“阳光助残 携手筑梦”主题志愿服务活动。利用志愿者日、全国助残日、爱眼日、爱耳日等特殊节日和祖国传统节日契机，结合工作实际开展序列“阳光助残 携手筑梦”志愿服务活动8次，大力倡导“奉献、友爱、互助、进步”志愿精神，通过“关心一人、温暖一户、带动一片”的效应，让社会更加关心、关注残疾人。</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（3）展残疾人文化“五个一”活动。结合党史学习教育，突出“五个一”文化助残服务，组织辖区100余名开展“五个一”文化助残活动。</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（4）组织开展残疾人文体活动。结合我们的节日主题活动，组织残疾人开展元宵、清明、端午主题文化活动。积极推进残疾人群众文化活动，组织我区残疾人合唱团。</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（5）继续健全社区（村）残疾人协会组织，配置了43名社区残协专职委员，服务全区持证残疾人。</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（6）向4个涉农街道43名村级联络员按月发放村级联络员工作补贴。</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（7）丰富协会活动，全年分别组织盲人协会、肢残协会、聋人协会、智力残疾人及亲友协会累计开展活动4次。</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（8）加大基层残联建设力度，为辖区内105个社区拨付社区社区工作经费。</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（9）完成全区13021名残疾人信息采集调查。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（10）组织开展专职委员业务素质培训1期。</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（11）切实做好贫困残疾人突发性、临时性生活困难救助工作。对89名贫困残疾人给予困难补助21.97万元。</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（12）为辖区14户残疾人家庭提供家庭无障碍改造，投入经费8.82万元。</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资金来源。其他残疾人事业支出项目资金主要来源于上级转移支付专项资金（包括中央、省、市专项资金）和区财政拨款资金。盘龙区残联2022年共取得其他残疾人事业支出资金134.69万元，其中上级转移支付专项资金总投入21.27万元（含中央补助0.7万元、省级补助3.75万元、市级补助17.42万元），区财政拨款资金安排113.42万元，年初预算132.37万元，调整预算追减资金18.95万元。</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（2）资金使用情况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20221年盘龙区残联共计支出其他残疾人事业支出项目资金134.69万元。其中上级转移支付专项资金支出21.27万元，执行进度为100%；区级财政拨款资金支出113.42万元，支出进度为100%。用于残疾人就业0.33万元，村级联络员补贴11.61万元，残疾人法律救助2.6万元，残疾人基层组织建设26.22万元，残疾人特殊困难临时救助4.8万元，残疾人机动轮椅车燃油补贴0.7万元，残疾人节日慰问35.0.万元，残协活动1.59万元，残疾人宣传文化活动23.52万元，残疾人支持性服务19.36万元。</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4.组织及管理情况</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跟踪工作主要由财务和综合业务科协同开展，按月度跟进项目经费执行情况，按季度对残疾人就业和扶贫项目进行绩效跟踪。财务按月度、季度提供经费支出情况，组联教就科根据项目实际开展情况进行分析，收集、汇总、整理项目资料，检查、核实项目资料中的数据后，跟踪项目实施过程是否与计划偏离。对跟踪结果进行反馈和及时调整，如有项目实施与计划目标发生偏离，及时汇报给单位领导，提出有效措施，对已偏离的项目进行实时调整。</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（二）绩效目标</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1.总目标。</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（1）全面推开基层残疾人工作规范化建设。继续完善乡镇（街道）一级的残疾人组织建设，建立健全村（社区）残疾人协会组织，合理安排配置社区残疾人专职委员。</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（2）加大残疾人事业宣传力度，促进残疾人社会融合。</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2.年度目标。</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1）产出目标：</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（1）多形式开展残疾人事业宣传活动，全年利用“助残日”等特殊节日开展残疾人事业宣传活动不少于2次。</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（2）继续推进残疾人文化进家庭“五个一”项目，全年不少于20人次。</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（3）全年组织开展残疾人文艺体育活动不少于2次。</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（4）全面推开基层残疾人工作规范化建设，经常性服务的残疾人人数每年不低于3800人次；</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（5）建立健全村（社区）残疾人协会组织，合理安排配置社区残疾人专职委员。</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（6）为43名村级联络员发放残疾人工作补贴。</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（7）组织开展五类残疾人专门协会残疾人交流活动不少于4次。</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（8）加大基层残联建设力度，为辖区内105个社区给予经费补助。</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（9）做好全区11000名残疾人专项服务与需求调查后期动态数据更新管理监测，按时上报月报、年报。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2）效果目标：</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（1）社会效益指标：让残疾人切实感受到党的政策，有效控制社会不安定因素。</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（2）服务对象满意度指标：接受服务的残疾人满意度满意率≥85%。</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二、绩效评价工作情况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（一）绩效评价目的</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（二）绩效评价工作方案制定过程</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昆明市盘龙区财政局《关于开展2022年度区级预算支出绩效自评工作的通知》（盘财绩〔2023〕14号）和《盘龙区区级部门预算绩效自评管理暂行办法》文件精神，我会迅速组织开展了2022年度项目支出预算绩效自评工作。成立了以理事长为组长、副理事长为副组长、业务科室长及财务人员为成员的自评工作领导小组，制定了自评方案,财务、综合业务科人员全程参与自评。依据项目支出绩效自评指标计分表,逐条逐项对照评分，并进行综合评价,疏理问题，明确方向，以进一步发挥其他残疾人事业支出项目资金使用效益，更加扎实地做好残疾人工作。</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（三）绩效评价原则、评价方法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1.绩效评价原则</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科学规范原则，严格落实《预算法》、《盘龙区区级部门预算绩效自评管理暂行办法》及省、市绩效管理工作有关规定，客观评价资金使用绩效，进一步强化财政支出绩效理念，提升部门责任意识，规范财政资金管理，加强财政资金使用监督，提高资金使用社会效益，防止财经违纪问题发生，促进残疾人事业的发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开公正原则，绩效评价工作全程公开，我会将绩效评价的标准、考评的程序、考评的方法及时间进行公开宣布，使员工心理有数，积极参与到考评中来。同时，考评过程及结果也将按照要求全面向社会公众公开，自觉接受群众监督。</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绩效相关原则，项目在执行过程中，严格按照年度工作计划执行，确保残疾人工作有序推进，结合单位相关管理制度，做到与财务制度、部门管理制度及单位内部控制制度相适应。</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2.绩效评价方法</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在绩效评价过程中，采用了以下方法：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（1）费用—职能比较法：将残疾人工作者服务水平、基层组织建设情况与项目支出情况进行比较分析从而评估工作质量和效率。</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（4）目标评价法：将2022年其他残疾人事业支出项目所产生的社会效益水平与残疾人基层组织建设标准行对比分析。</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（四）绩效评价实施过程</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1.绩效评价主要通过给类项目支出资料收集对资金拨付的规范性、时效性、是否足额拨付资金、有无截留、挪用项目资金；有无另行安排项目管理经费，项目管理经费有无挤占专项资金等情况进行检查。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2.在全面分析整理被检查项目的相关数据资料的基础上，总结检查情况，对照评价指标和标准，进行综合评议与打分，得出评价结论，撰写评价报告。</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（五）本次绩效评价的局限性</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标准难以建立。残疾人就业扶贫项目更多的是追求公共目标，且其中多数目标都很难衡量，其评价标准难以建立。如何从科学角度,突破经济发展水平、技术手段、认知和主观决策限制,建立一套科学、系统和完整的绩效评价标准，综合评价财政支出的经济效益、社会效益、环境效益以及政府绩效,是财政资金绩效评价的重要目标，也是当前开展绩效评价的难点。</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三、评价结论和绩效分析</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（一）评价结论</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评价结果</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其他残疾人事业支出项目资金使用符合中央、省、市文件要求，财政资金的投入，从基层组织建设短板入手，进一步健全以区级残联为主导，街道残联为骨干，社区残协为基础的三级基层组织网络，紧密围绕残疾人的迫切需求，努力完善我区残疾人工作模式，推进了基层残疾人组织建设工作、宣传工作的较快发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（二）具体绩效分析</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A.项目决策</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A1.项目立项：项目立项与残联中长期规划目标相匹配，与省、市、区政府相关规划、决策相配，与残联部门承担的职责相适应，自评分8分；</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A2.项目目标：绩效目标设定完整，与预算相匹配，绩效指标设定明确、量化，自评分12分。</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B.项目管理</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B1.投入管理：预算编制充分、合理，预计项目支出合理并完整反应，预算调整规范，预算执行率100%，自评分4分；</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2.财务管理：项目资金使用符合预算批复的用途，没有截留、挤占、挪用、虚列支出等情况，财务制度健全、完善、有效，资金拨付有完整的审批程序和手续，符合相关制度规定，没有违反相关财务管理制度的情况，自评分6分；</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3.项目实施：项目管理制度健全、完善、有效，为保障项目顺利实施，采取相应的监管措施，风险得到控制，管理制度、监管制度有效执行，与项目相关的合同有效执行，台账记录规范，需要采买的服务符合政府采购规范，自评分10分；</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C.项目绩效</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2021年，区残联借助全国助残日、残疾预防日等重大特殊节日契机组织开展残疾人事业宣传活动，积极组织残疾人协会活动和“五个一”残疾人文体活动，丰富残疾人文化生活，提高残疾人参与社会的能力。通过开展专职委员业务培训，提高残疾人服务工作水平，在时限内完成了全区残疾人专项服务与需求调查后期动态数据更新管理监测，资金使用及拨付规范，为精准服务残疾人奠定基础，残疾人服务满意率超过90%。自评分60分。</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四、成本效益分析</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残疾人事业支出项目资金主要来源于中央、省、市其他残疾人事业支出专项资金和彩票公益金及区财政拨款资金，盘龙区残联2021年中央、省、市、康复专项资金及彩票公益金总投入47.18万元，区级财政投入204.41万元，共计251.59万元；2022年中央、省、市、康复专项资金及彩票公益金总投入21.27万元，区级财政投入113.42万元，共计134.69万元，较2021年减少116.9万元，增长率为-46.46%。2021年资金支出251.59万元；2022年资金支出134.69万元，较2021年减少116.9万元，增长率为-46.46%，减少原因：一是2021年下半年残疾人社区专职委员下沉社区后，减少区残联预算支出。二是残疾人动态更新需求调查经费推迟至2023年发放。总体来说，区残联按实际需求申请残疾人服务经费，提高基层残疾人服务水平，本着厉行节约的原则对有需求的残疾人提供优质服务。</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五、主要经验及做法、存在的问题和建议</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（一）主要经验及做法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联作为区委、区政府联系残疾人群众的桥梁和纽带，积极履职尽责，大胆实践，勇于开拓创新。一是加强工作宣传力度，增强社会公众对残联的认知和对残疾人群体的接纳程度；二是严格精细化管理，提高工作质量和效率。三是全面落实绩效管理目标责任制，多部门协作，共同推进项目各项任务指标的落实。四强化资金用途监管，是严格执行资金使用管理的相关规定。</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（二）存在的问题</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主要表现在：残疾人工作者服务能力需要进一步提升。</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（三）建议和改进措施</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进一步加大残疾人工作者培训力度，提升为残疾人服务的本领和水平。</w:t>
      </w:r>
    </w:p>
    <w:p>
      <w:pPr>
        <w:spacing w:line="540" w:lineRule="exact"/>
        <w:rPr>
          <w:rFonts w:hint="eastAsia" w:ascii="方正小标宋_GBK" w:hAnsi="黑体" w:eastAsia="方正小标宋_GBK"/>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A00002EF" w:usb1="4000004B" w:usb2="00000000" w:usb3="00000000" w:csb0="2000019F" w:csb1="00000000"/>
  </w:font>
  <w:font w:name="PMingLiU">
    <w:panose1 w:val="02020500000000000000"/>
    <w:charset w:val="88"/>
    <w:family w:val="roman"/>
    <w:pitch w:val="default"/>
    <w:sig w:usb0="A00002FF" w:usb1="28CFFCFA" w:usb2="00000016" w:usb3="00000000" w:csb0="00100001"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hMmQ3NjRjNmRhYjg2N2Y4NDgyOTFhODcxNGM5NDUifQ=="/>
  </w:docVars>
  <w:rsids>
    <w:rsidRoot w:val="00000000"/>
    <w:rsid w:val="02DE6982"/>
    <w:rsid w:val="031113E0"/>
    <w:rsid w:val="03121B75"/>
    <w:rsid w:val="043075BD"/>
    <w:rsid w:val="07536E2F"/>
    <w:rsid w:val="085C1736"/>
    <w:rsid w:val="0B3B3038"/>
    <w:rsid w:val="0E702F35"/>
    <w:rsid w:val="0F4223FE"/>
    <w:rsid w:val="0F965D88"/>
    <w:rsid w:val="110D474E"/>
    <w:rsid w:val="112929BE"/>
    <w:rsid w:val="13B15C35"/>
    <w:rsid w:val="161B2678"/>
    <w:rsid w:val="187776EF"/>
    <w:rsid w:val="19940504"/>
    <w:rsid w:val="19FD2AE4"/>
    <w:rsid w:val="1B9F5DF4"/>
    <w:rsid w:val="1BEB3710"/>
    <w:rsid w:val="1D7E099C"/>
    <w:rsid w:val="1D9A66D3"/>
    <w:rsid w:val="20336A6E"/>
    <w:rsid w:val="20C617F2"/>
    <w:rsid w:val="218D2C21"/>
    <w:rsid w:val="24601205"/>
    <w:rsid w:val="28942082"/>
    <w:rsid w:val="297F3F8E"/>
    <w:rsid w:val="2C3135E2"/>
    <w:rsid w:val="2D69328C"/>
    <w:rsid w:val="36E01D7D"/>
    <w:rsid w:val="37645527"/>
    <w:rsid w:val="38352123"/>
    <w:rsid w:val="3908008C"/>
    <w:rsid w:val="3C2D47EF"/>
    <w:rsid w:val="3CA86E58"/>
    <w:rsid w:val="3E316EB2"/>
    <w:rsid w:val="3E810A78"/>
    <w:rsid w:val="3EF36CAF"/>
    <w:rsid w:val="4048468C"/>
    <w:rsid w:val="42EA47E6"/>
    <w:rsid w:val="44432177"/>
    <w:rsid w:val="446A722C"/>
    <w:rsid w:val="459F7836"/>
    <w:rsid w:val="4721197D"/>
    <w:rsid w:val="47F77885"/>
    <w:rsid w:val="48AD4E97"/>
    <w:rsid w:val="48C7518E"/>
    <w:rsid w:val="4D4D4BC7"/>
    <w:rsid w:val="51A72AF0"/>
    <w:rsid w:val="51E85DF8"/>
    <w:rsid w:val="536A1CBB"/>
    <w:rsid w:val="54664182"/>
    <w:rsid w:val="562C0817"/>
    <w:rsid w:val="58944C00"/>
    <w:rsid w:val="5B0F5105"/>
    <w:rsid w:val="5E002C72"/>
    <w:rsid w:val="5F6226BA"/>
    <w:rsid w:val="60E40A0A"/>
    <w:rsid w:val="60ED426F"/>
    <w:rsid w:val="624663F1"/>
    <w:rsid w:val="625C3E83"/>
    <w:rsid w:val="63776AE8"/>
    <w:rsid w:val="63CF7E97"/>
    <w:rsid w:val="647770EE"/>
    <w:rsid w:val="66A149A3"/>
    <w:rsid w:val="698F4CF2"/>
    <w:rsid w:val="6AC2362E"/>
    <w:rsid w:val="6E0804D0"/>
    <w:rsid w:val="762752C3"/>
    <w:rsid w:val="76B36D29"/>
    <w:rsid w:val="77D77351"/>
    <w:rsid w:val="78D55889"/>
    <w:rsid w:val="79045FF6"/>
    <w:rsid w:val="7AB36416"/>
    <w:rsid w:val="7AF872BD"/>
    <w:rsid w:val="7F2C4E7E"/>
    <w:rsid w:val="7F4F3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both"/>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360" w:lineRule="auto"/>
      <w:jc w:val="left"/>
      <w:outlineLvl w:val="1"/>
    </w:pPr>
    <w:rPr>
      <w:rFonts w:ascii="Arial" w:hAnsi="Arial" w:eastAsia="黑体"/>
    </w:rPr>
  </w:style>
  <w:style w:type="paragraph" w:styleId="4">
    <w:name w:val="heading 3"/>
    <w:basedOn w:val="1"/>
    <w:next w:val="1"/>
    <w:unhideWhenUsed/>
    <w:qFormat/>
    <w:uiPriority w:val="0"/>
    <w:pPr>
      <w:keepNext/>
      <w:keepLines/>
      <w:spacing w:beforeLines="0" w:beforeAutospacing="0" w:afterLines="0" w:afterAutospacing="0" w:line="360" w:lineRule="auto"/>
      <w:jc w:val="left"/>
      <w:outlineLvl w:val="2"/>
    </w:pPr>
    <w:rPr>
      <w:rFonts w:eastAsia="楷体"/>
      <w:b/>
      <w:sz w:val="30"/>
    </w:rPr>
  </w:style>
  <w:style w:type="character" w:default="1" w:styleId="6">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customStyle="1" w:styleId="8">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9">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5263</Words>
  <Characters>5535</Characters>
  <Lines>0</Lines>
  <Paragraphs>0</Paragraphs>
  <TotalTime>0</TotalTime>
  <ScaleCrop>false</ScaleCrop>
  <LinksUpToDate>false</LinksUpToDate>
  <CharactersWithSpaces>5597</CharactersWithSpaces>
  <Application>WPS Office_11.1.0.8200_F1E327BC-269C-435d-A152-05C5408002CA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2023-04-26T06:04:00Z</cp:lastPrinted>
  <dcterms:modified xsi:type="dcterms:W3CDTF">2023-09-27T05:34:16Z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2052-11.1.0.8200</vt:lpwstr>
  </property>
  <property fmtid="{D5CDD505-2E9C-101B-9397-08002B2CF9AE}" pid="3" name="ICV">
    <vt:lpwstr>B5A0DBF2EA6F49B8809235F5FA3EADAF</vt:lpwstr>
  </property>
</Properties>
</file>