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default" w:ascii="Times New Roman" w:hAnsi="Times New Roman" w:eastAsia="方正小标宋_GBK" w:cs="Times New Roman"/>
          <w:sz w:val="28"/>
          <w:szCs w:val="28"/>
          <w:highlight w:val="none"/>
        </w:rPr>
      </w:pPr>
      <w:r>
        <w:rPr>
          <w:rFonts w:hint="default" w:ascii="Times New Roman" w:hAnsi="Times New Roman" w:eastAsia="方正小标宋_GBK" w:cs="Times New Roman"/>
          <w:sz w:val="28"/>
          <w:szCs w:val="28"/>
          <w:highlight w:val="none"/>
        </w:rPr>
        <w:t>项目支出绩效评价共性指标体系框架</w:t>
      </w:r>
    </w:p>
    <w:tbl>
      <w:tblPr>
        <w:tblStyle w:val="4"/>
        <w:tblpPr w:leftFromText="180" w:rightFromText="180" w:vertAnchor="text" w:horzAnchor="page" w:tblpX="1201" w:tblpY="383"/>
        <w:tblW w:w="10412" w:type="dxa"/>
        <w:tblInd w:w="0" w:type="dxa"/>
        <w:tblLayout w:type="fixed"/>
        <w:tblCellMar>
          <w:top w:w="0" w:type="dxa"/>
          <w:left w:w="108" w:type="dxa"/>
          <w:bottom w:w="0" w:type="dxa"/>
          <w:right w:w="108" w:type="dxa"/>
        </w:tblCellMar>
      </w:tblPr>
      <w:tblGrid>
        <w:gridCol w:w="846"/>
        <w:gridCol w:w="971"/>
        <w:gridCol w:w="1143"/>
        <w:gridCol w:w="1091"/>
        <w:gridCol w:w="499"/>
        <w:gridCol w:w="568"/>
        <w:gridCol w:w="2101"/>
        <w:gridCol w:w="1975"/>
        <w:gridCol w:w="1218"/>
      </w:tblGrid>
      <w:tr>
        <w:tblPrEx>
          <w:tblLayout w:type="fixed"/>
          <w:tblCellMar>
            <w:top w:w="0" w:type="dxa"/>
            <w:left w:w="108" w:type="dxa"/>
            <w:bottom w:w="0" w:type="dxa"/>
            <w:right w:w="108" w:type="dxa"/>
          </w:tblCellMar>
        </w:tblPrEx>
        <w:trPr>
          <w:trHeight w:val="540" w:hRule="atLeast"/>
        </w:trPr>
        <w:tc>
          <w:tcPr>
            <w:tcW w:w="84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一级</w:t>
            </w:r>
          </w:p>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指标</w:t>
            </w:r>
          </w:p>
        </w:tc>
        <w:tc>
          <w:tcPr>
            <w:tcW w:w="971"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二级指标</w:t>
            </w:r>
          </w:p>
        </w:tc>
        <w:tc>
          <w:tcPr>
            <w:tcW w:w="1143"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三级指标</w:t>
            </w:r>
          </w:p>
        </w:tc>
        <w:tc>
          <w:tcPr>
            <w:tcW w:w="1091"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四级指标</w:t>
            </w:r>
          </w:p>
        </w:tc>
        <w:tc>
          <w:tcPr>
            <w:tcW w:w="499"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分值</w:t>
            </w:r>
          </w:p>
        </w:tc>
        <w:tc>
          <w:tcPr>
            <w:tcW w:w="568"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得分</w:t>
            </w:r>
          </w:p>
        </w:tc>
        <w:tc>
          <w:tcPr>
            <w:tcW w:w="2101"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指标解释</w:t>
            </w:r>
          </w:p>
        </w:tc>
        <w:tc>
          <w:tcPr>
            <w:tcW w:w="1975"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评分标准</w:t>
            </w:r>
          </w:p>
        </w:tc>
        <w:tc>
          <w:tcPr>
            <w:tcW w:w="1218"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数据来源</w:t>
            </w:r>
          </w:p>
        </w:tc>
      </w:tr>
      <w:tr>
        <w:tblPrEx>
          <w:tblLayout w:type="fixed"/>
          <w:tblCellMar>
            <w:top w:w="0" w:type="dxa"/>
            <w:left w:w="108" w:type="dxa"/>
            <w:bottom w:w="0" w:type="dxa"/>
            <w:right w:w="108" w:type="dxa"/>
          </w:tblCellMar>
        </w:tblPrEx>
        <w:trPr>
          <w:trHeight w:val="900" w:hRule="atLeast"/>
        </w:trPr>
        <w:tc>
          <w:tcPr>
            <w:tcW w:w="846"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A.项目决策（20%）</w:t>
            </w: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A1.项目立项（8%）</w:t>
            </w: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A11.与部门中长期规划目标适应性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A111.与部门中长期规划目标匹配性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考察项目与部门中长期目标是否匹配</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匹配，得满分；不匹配，不得分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部门中长期规划目标</w:t>
            </w:r>
          </w:p>
        </w:tc>
      </w:tr>
      <w:tr>
        <w:tblPrEx>
          <w:tblLayout w:type="fixed"/>
          <w:tblCellMar>
            <w:top w:w="0" w:type="dxa"/>
            <w:left w:w="108" w:type="dxa"/>
            <w:bottom w:w="0" w:type="dxa"/>
            <w:right w:w="108" w:type="dxa"/>
          </w:tblCellMar>
        </w:tblPrEx>
        <w:trPr>
          <w:trHeight w:val="105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A12.立项依据充分性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A121.与市政府相关规划、决策匹配性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考察项目是否符合区政府相关发展规划和政府决策</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符合，得满分；不符合，不得分。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区政府相关规划、决策、批复</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A122.与部门职责适应性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考察项目是否与部门职责密切相关。</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部门职责文件</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A13.项目立项规范性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A131.前期调研情况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考察项目立项是否经过前期调研。</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调研报告</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A132.立项程序规范性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考察项目的申请、设立过程是否符合相关要求。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立项申请、批复文件</w:t>
            </w:r>
          </w:p>
        </w:tc>
      </w:tr>
      <w:tr>
        <w:tblPrEx>
          <w:tblLayout w:type="fixed"/>
          <w:tblCellMar>
            <w:top w:w="0" w:type="dxa"/>
            <w:left w:w="108" w:type="dxa"/>
            <w:bottom w:w="0" w:type="dxa"/>
            <w:right w:w="108" w:type="dxa"/>
          </w:tblCellMar>
        </w:tblPrEx>
        <w:trPr>
          <w:trHeight w:val="91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A2.项目目标（12%）</w:t>
            </w: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A21.绩效目标设定的合理性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A211.绩效目标相关性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考察设定的绩效目标是否与事业发展规划相关。</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绩效目标申报表、部门规划、年度工作目标</w:t>
            </w:r>
          </w:p>
        </w:tc>
      </w:tr>
      <w:tr>
        <w:tblPrEx>
          <w:tblLayout w:type="fixed"/>
          <w:tblCellMar>
            <w:top w:w="0" w:type="dxa"/>
            <w:left w:w="108" w:type="dxa"/>
            <w:bottom w:w="0" w:type="dxa"/>
            <w:right w:w="108" w:type="dxa"/>
          </w:tblCellMar>
        </w:tblPrEx>
        <w:trPr>
          <w:trHeight w:val="108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A212.绩效目标完整性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考察设定的绩效目标是否完整地反应预期产出和效果</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绩效目标申报表、年度工作目标、立项申请、批复文件</w:t>
            </w:r>
          </w:p>
        </w:tc>
      </w:tr>
      <w:tr>
        <w:tblPrEx>
          <w:tblLayout w:type="fixed"/>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A213.目标与预算的匹配性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考察设定的绩效目标是否与年度预算相匹配。</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绩效目标申报表、立项申请、批复文件</w:t>
            </w:r>
          </w:p>
        </w:tc>
      </w:tr>
      <w:tr>
        <w:tblPrEx>
          <w:tblLayout w:type="fixed"/>
          <w:tblCellMar>
            <w:top w:w="0" w:type="dxa"/>
            <w:left w:w="108" w:type="dxa"/>
            <w:bottom w:w="0" w:type="dxa"/>
            <w:right w:w="108" w:type="dxa"/>
          </w:tblCellMar>
        </w:tblPrEx>
        <w:trPr>
          <w:trHeight w:val="79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A22.绩效指标设定的明确性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A221.指标细化分解情况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3</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3</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考察是否将绩效目标细化分解为清晰、可衡量的绩效指标。</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绩效目标申报表、立项申请、批复文件</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A222.指标与目标的匹配性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3</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3</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考察设定的绩效指标是否与年度工作任务相对应。</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绩效目标申报表、年度工作任务</w:t>
            </w:r>
          </w:p>
        </w:tc>
      </w:tr>
      <w:tr>
        <w:tblPrEx>
          <w:tblLayout w:type="fixed"/>
          <w:tblCellMar>
            <w:top w:w="0" w:type="dxa"/>
            <w:left w:w="108" w:type="dxa"/>
            <w:bottom w:w="0" w:type="dxa"/>
            <w:right w:w="108" w:type="dxa"/>
          </w:tblCellMar>
        </w:tblPrEx>
        <w:trPr>
          <w:trHeight w:val="720" w:hRule="atLeast"/>
        </w:trPr>
        <w:tc>
          <w:tcPr>
            <w:tcW w:w="846"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B.项目管理（20%）</w:t>
            </w: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B1.投入管理（4%）</w:t>
            </w: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B11.预算编制合理性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考察预算编制是否充分、合理的预计项目支出并完整反应</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合理得满分；存在一项不合理，扣0.5分，扣完为止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预算分析、预算批复</w:t>
            </w:r>
          </w:p>
        </w:tc>
      </w:tr>
      <w:tr>
        <w:tblPrEx>
          <w:tblLayout w:type="fixed"/>
          <w:tblCellMar>
            <w:top w:w="0" w:type="dxa"/>
            <w:left w:w="108" w:type="dxa"/>
            <w:bottom w:w="0" w:type="dxa"/>
            <w:right w:w="108" w:type="dxa"/>
          </w:tblCellMar>
        </w:tblPrEx>
        <w:trPr>
          <w:trHeight w:val="81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B12.预算调整规范性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考察存在预算调整时是否按照相关规定执行调整程序。</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规范，得满分；部分规范，扣0.5分；不规范，不得分。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预算调整文件</w:t>
            </w:r>
          </w:p>
        </w:tc>
      </w:tr>
      <w:tr>
        <w:tblPrEx>
          <w:tblLayout w:type="fixed"/>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B13.预算执行率</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eastAsia" w:ascii="Times New Roman" w:hAnsi="Times New Roman" w:cs="Times New Roman"/>
                <w:color w:val="000000"/>
                <w:kern w:val="0"/>
                <w:sz w:val="18"/>
                <w:szCs w:val="18"/>
                <w:highlight w:val="none"/>
                <w:lang w:val="en-US" w:eastAsia="zh-CN"/>
              </w:rPr>
              <w:t>2</w:t>
            </w:r>
            <w:r>
              <w:rPr>
                <w:rFonts w:hint="default" w:ascii="Times New Roman" w:hAnsi="Times New Roman" w:cs="Times New Roman"/>
                <w:color w:val="000000"/>
                <w:kern w:val="0"/>
                <w:sz w:val="18"/>
                <w:szCs w:val="18"/>
                <w:highlight w:val="none"/>
              </w:rPr>
              <w:t>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考察项目预算执行的进度。预算执行率=实际支出金额/项目预算金额×100%</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预算执行率95%以上，得满分；低于95%，每下降1%扣权重的1%；预算执行率60%以下，不计分。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绩效目标申报表、支付指令、合同、财务凭证</w:t>
            </w:r>
          </w:p>
        </w:tc>
      </w:tr>
      <w:tr>
        <w:tblPrEx>
          <w:tblLayout w:type="fixed"/>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B2.财务管理（6%）</w:t>
            </w: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B21.资金使用情况</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考察项目资金使用是否符合预算批复的用途，是否存在截留、挤占、挪用、虚列支出等情况。</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合规，得满分；存在一项不合规，扣1分，扣完为止。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绩效目标申报表、支付指令，合同、财务凭证</w:t>
            </w:r>
          </w:p>
        </w:tc>
      </w:tr>
      <w:tr>
        <w:tblPrEx>
          <w:tblLayout w:type="fixed"/>
          <w:tblCellMar>
            <w:top w:w="0" w:type="dxa"/>
            <w:left w:w="108" w:type="dxa"/>
            <w:bottom w:w="0" w:type="dxa"/>
            <w:right w:w="108" w:type="dxa"/>
          </w:tblCellMar>
        </w:tblPrEx>
        <w:trPr>
          <w:trHeight w:val="228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B22.财务管理制度健全性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考察项目的财务制度是否健全、完善、有效。</w:t>
            </w:r>
          </w:p>
        </w:tc>
        <w:tc>
          <w:tcPr>
            <w:tcW w:w="1975" w:type="dxa"/>
            <w:tcBorders>
              <w:top w:val="nil"/>
              <w:left w:val="nil"/>
              <w:bottom w:val="single" w:color="auto" w:sz="4" w:space="0"/>
              <w:right w:val="single" w:color="auto" w:sz="4" w:space="0"/>
            </w:tcBorders>
            <w:shd w:val="clear" w:color="auto" w:fill="auto"/>
            <w:noWrap w:val="0"/>
            <w:vAlign w:val="top"/>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a.是否已制定或具有相应的财务管理办法；                         b.项目财务管理办法是否符合相关财务会计制度的规定；                                              c.是否存在需要完善的风险控制环节。                            符合所有条件，得满分； 一项不符合，扣0.5分，扣完为止。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财务管理制度</w:t>
            </w:r>
          </w:p>
        </w:tc>
      </w:tr>
      <w:tr>
        <w:tblPrEx>
          <w:tblLayout w:type="fixed"/>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B23.财务监控有效性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B231.资金拨付程序完整性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考察资金拨付是否具有完整的审批程序和手续，是否符合相关制度规定。</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资金拨付申请、审批手续完整，得满分；存在一例手续不完整，不得分。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支付申请单、支付指令</w:t>
            </w:r>
          </w:p>
        </w:tc>
      </w:tr>
      <w:tr>
        <w:tblPrEx>
          <w:tblLayout w:type="fixed"/>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B232财务制度执行有效性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考察是否存在违反相关财务管理制度的情况。</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不存在，得满分；存在1例，不得分。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财务管理制度、访谈、会计凭证</w:t>
            </w:r>
          </w:p>
        </w:tc>
      </w:tr>
      <w:tr>
        <w:tblPrEx>
          <w:tblLayout w:type="fixed"/>
          <w:tblCellMar>
            <w:top w:w="0" w:type="dxa"/>
            <w:left w:w="108" w:type="dxa"/>
            <w:bottom w:w="0" w:type="dxa"/>
            <w:right w:w="108" w:type="dxa"/>
          </w:tblCellMar>
        </w:tblPrEx>
        <w:trPr>
          <w:trHeight w:val="120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B3.项目实施（10%）</w:t>
            </w: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B31.项目管理制度健全性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B311.项目实施单位管理制度健全性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项目实施单位为保障项目顺利实施制订的与项目直接相关的业务管理制度是否健全、完善和有效。</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制订相关制度或采取措施，得满分；制度不完善或者措施不明确，得权重的60%；没有相关制度或措施，不得分。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项目实施单位管理制度、访谈、现场调查</w:t>
            </w:r>
          </w:p>
        </w:tc>
      </w:tr>
      <w:tr>
        <w:tblPrEx>
          <w:tblLayout w:type="fixed"/>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B312.管理方监管措施健全性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考察项目主管部门为保障项目顺利实施采取的监管措施是否明确，是否存在需要完善的风险控制环节。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监管措施明确、完善，得满分；每存在一项需要完善的风险控制点，扣权重的30%，扣完为止。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管理制度、访谈、现场调查</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B32.项目管理制度执行有效性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B321.项目实施单位管理制度执行情况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考察项目实施单位制订的管理制度是否有效执行。</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项目实施单位管理制度、现场调查</w:t>
            </w:r>
          </w:p>
        </w:tc>
      </w:tr>
      <w:tr>
        <w:tblPrEx>
          <w:tblLayout w:type="fixed"/>
          <w:tblCellMar>
            <w:top w:w="0" w:type="dxa"/>
            <w:left w:w="108" w:type="dxa"/>
            <w:bottom w:w="0" w:type="dxa"/>
            <w:right w:w="108" w:type="dxa"/>
          </w:tblCellMar>
        </w:tblPrEx>
        <w:trPr>
          <w:trHeight w:val="94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B322.监管措施执行情况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项目主管部门所制订的监管措施是否有效执行。</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管理制度、现场调查</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B323.合同执行情况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考察与项目相关的合同是否有效执行。</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合同、现场调查</w:t>
            </w:r>
          </w:p>
        </w:tc>
      </w:tr>
      <w:tr>
        <w:tblPrEx>
          <w:tblLayout w:type="fixed"/>
          <w:tblCellMar>
            <w:top w:w="0" w:type="dxa"/>
            <w:left w:w="108" w:type="dxa"/>
            <w:bottom w:w="0" w:type="dxa"/>
            <w:right w:w="108" w:type="dxa"/>
          </w:tblCellMar>
        </w:tblPrEx>
        <w:trPr>
          <w:trHeight w:val="78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B324.台账记录规范性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eastAsia="宋体" w:cs="Times New Roman"/>
                <w:color w:val="000000"/>
                <w:kern w:val="0"/>
                <w:sz w:val="18"/>
                <w:szCs w:val="18"/>
                <w:highlight w:val="none"/>
                <w:lang w:val="en-US" w:eastAsia="zh-CN"/>
              </w:rPr>
            </w:pPr>
            <w:r>
              <w:rPr>
                <w:rFonts w:hint="eastAsia" w:ascii="Times New Roman" w:hAnsi="Times New Roman" w:cs="Times New Roman"/>
                <w:color w:val="000000"/>
                <w:kern w:val="0"/>
                <w:sz w:val="18"/>
                <w:szCs w:val="18"/>
                <w:highlight w:val="none"/>
                <w:lang w:val="en-US" w:eastAsia="zh-CN"/>
              </w:rPr>
              <w:t>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考察项目实施过程中的相关台账记录是否完整，并符合要求。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规范，得满分；部分规范，得权重的60%；不规范，不得分。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台账记录</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B33.政府采购规范性</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B331.采购方式合规性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考察采购方式是否符合中央、省、市、区的相关要求。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符合相关要求，得满分；一项不符合，不得分。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政府采购相关材料</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B332.采购流程规范性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考察采购流程是否符合相关规定。</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符合相关要求，得满分；一项不符合，不得分。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color w:val="000000"/>
                <w:kern w:val="0"/>
                <w:sz w:val="18"/>
                <w:szCs w:val="18"/>
                <w:highlight w:val="none"/>
              </w:rPr>
            </w:pPr>
            <w:r>
              <w:rPr>
                <w:rFonts w:hint="default" w:ascii="Times New Roman" w:hAnsi="Times New Roman" w:cs="Times New Roman"/>
                <w:color w:val="000000"/>
                <w:kern w:val="0"/>
                <w:sz w:val="18"/>
                <w:szCs w:val="18"/>
                <w:highlight w:val="none"/>
              </w:rPr>
              <w:t>政府采购相关材料</w:t>
            </w:r>
          </w:p>
        </w:tc>
      </w:tr>
      <w:tr>
        <w:tblPrEx>
          <w:tblLayout w:type="fixed"/>
          <w:tblCellMar>
            <w:top w:w="0" w:type="dxa"/>
            <w:left w:w="108" w:type="dxa"/>
            <w:bottom w:w="0" w:type="dxa"/>
            <w:right w:w="108" w:type="dxa"/>
          </w:tblCellMar>
        </w:tblPrEx>
        <w:trPr>
          <w:trHeight w:val="1200" w:hRule="atLeast"/>
        </w:trPr>
        <w:tc>
          <w:tcPr>
            <w:tcW w:w="846" w:type="dxa"/>
            <w:vMerge w:val="restart"/>
            <w:tcBorders>
              <w:top w:val="nil"/>
              <w:left w:val="single" w:color="auto" w:sz="4" w:space="0"/>
              <w:bottom w:val="single" w:color="000000" w:sz="4" w:space="0"/>
              <w:right w:val="single" w:color="auto"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u w:val="none"/>
                <w:lang w:val="en-US" w:eastAsia="zh-CN" w:bidi="ar"/>
              </w:rPr>
              <w:t>C.项目绩效（60%）</w:t>
            </w:r>
          </w:p>
        </w:tc>
        <w:tc>
          <w:tcPr>
            <w:tcW w:w="971" w:type="dxa"/>
            <w:tcBorders>
              <w:top w:val="nil"/>
              <w:left w:val="single" w:color="auto" w:sz="4" w:space="0"/>
              <w:bottom w:val="single" w:color="000000"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u w:val="none"/>
                <w:lang w:val="en-US" w:eastAsia="zh-CN" w:bidi="ar"/>
              </w:rPr>
              <w:t>C1.项目产出（30%）（说明：该指标主要反映部门（单位）项目工作任务的完成情况。</w:t>
            </w:r>
          </w:p>
        </w:tc>
        <w:tc>
          <w:tcPr>
            <w:tcW w:w="1143" w:type="dxa"/>
            <w:tcBorders>
              <w:top w:val="nil"/>
              <w:left w:val="single" w:color="auto" w:sz="4" w:space="0"/>
              <w:bottom w:val="single" w:color="000000" w:sz="4" w:space="0"/>
              <w:right w:val="single" w:color="auto"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u w:val="none"/>
                <w:lang w:val="en-US" w:eastAsia="zh-CN" w:bidi="ar"/>
              </w:rPr>
              <w:t>C20.质量指标</w:t>
            </w:r>
          </w:p>
        </w:tc>
        <w:tc>
          <w:tcPr>
            <w:tcW w:w="1091"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eastAsia" w:ascii="Times New Roman" w:hAnsi="Times New Roman" w:eastAsia="宋体" w:cs="Times New Roman"/>
                <w:color w:val="000000"/>
                <w:kern w:val="0"/>
                <w:sz w:val="18"/>
                <w:szCs w:val="18"/>
                <w:highlight w:val="none"/>
                <w:lang w:val="en-US" w:eastAsia="zh-CN"/>
              </w:rPr>
            </w:pPr>
            <w:r>
              <w:rPr>
                <w:rFonts w:hint="eastAsia" w:ascii="Times New Roman" w:hAnsi="Times New Roman" w:cs="Times New Roman"/>
                <w:color w:val="000000"/>
                <w:kern w:val="0"/>
                <w:sz w:val="18"/>
                <w:szCs w:val="18"/>
                <w:highlight w:val="none"/>
                <w:lang w:val="en-US" w:eastAsia="zh-CN"/>
              </w:rPr>
              <w:t>用于经营性资产托管</w:t>
            </w:r>
          </w:p>
        </w:tc>
        <w:tc>
          <w:tcPr>
            <w:tcW w:w="499"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u w:val="none"/>
                <w:lang w:val="en-US" w:eastAsia="zh-CN" w:bidi="ar"/>
              </w:rPr>
              <w:t>30</w:t>
            </w:r>
          </w:p>
        </w:tc>
        <w:tc>
          <w:tcPr>
            <w:tcW w:w="568"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18"/>
                <w:szCs w:val="18"/>
                <w:highlight w:val="none"/>
                <w:lang w:val="en-US" w:eastAsia="zh-CN"/>
              </w:rPr>
            </w:pPr>
            <w:r>
              <w:rPr>
                <w:rFonts w:hint="eastAsia" w:ascii="Times New Roman" w:hAnsi="Times New Roman" w:cs="Times New Roman"/>
                <w:i w:val="0"/>
                <w:color w:val="000000"/>
                <w:kern w:val="0"/>
                <w:sz w:val="18"/>
                <w:szCs w:val="18"/>
                <w:u w:val="none"/>
                <w:lang w:val="en-US" w:eastAsia="zh-CN" w:bidi="ar"/>
              </w:rPr>
              <w:t>28</w:t>
            </w:r>
          </w:p>
        </w:tc>
        <w:tc>
          <w:tcPr>
            <w:tcW w:w="2101"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eastAsia" w:ascii="Times New Roman" w:hAnsi="Times New Roman" w:cs="Times New Roman"/>
                <w:i w:val="0"/>
                <w:color w:val="000000"/>
                <w:kern w:val="0"/>
                <w:sz w:val="18"/>
                <w:szCs w:val="18"/>
                <w:u w:val="none"/>
                <w:lang w:val="en-US" w:eastAsia="zh-CN" w:bidi="ar"/>
              </w:rPr>
              <w:t>通过区属国有企业</w:t>
            </w:r>
            <w:r>
              <w:rPr>
                <w:rFonts w:hint="default" w:ascii="Times New Roman" w:hAnsi="Times New Roman" w:eastAsia="宋体" w:cs="Times New Roman"/>
                <w:i w:val="0"/>
                <w:color w:val="000000"/>
                <w:kern w:val="0"/>
                <w:sz w:val="18"/>
                <w:szCs w:val="18"/>
                <w:u w:val="none"/>
                <w:lang w:val="en-US" w:eastAsia="zh-CN" w:bidi="ar"/>
              </w:rPr>
              <w:t>的监管从而提高</w:t>
            </w:r>
            <w:r>
              <w:rPr>
                <w:rFonts w:hint="eastAsia" w:ascii="Times New Roman" w:hAnsi="Times New Roman" w:cs="Times New Roman"/>
                <w:i w:val="0"/>
                <w:color w:val="000000"/>
                <w:kern w:val="0"/>
                <w:sz w:val="18"/>
                <w:szCs w:val="18"/>
                <w:u w:val="none"/>
                <w:lang w:val="en-US" w:eastAsia="zh-CN" w:bidi="ar"/>
              </w:rPr>
              <w:t>托管资产的经营质量。</w:t>
            </w:r>
          </w:p>
        </w:tc>
        <w:tc>
          <w:tcPr>
            <w:tcW w:w="1975"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u w:val="none"/>
                <w:lang w:val="en-US" w:eastAsia="zh-CN" w:bidi="ar"/>
              </w:rPr>
              <w:t>满足要求得满分，可根据提供的服务扣减相应的分数，扣完为止。</w:t>
            </w:r>
          </w:p>
        </w:tc>
        <w:tc>
          <w:tcPr>
            <w:tcW w:w="1218"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u w:val="none"/>
                <w:lang w:val="en-US" w:eastAsia="zh-CN" w:bidi="ar"/>
              </w:rPr>
              <w:t>台账记录</w:t>
            </w:r>
          </w:p>
        </w:tc>
      </w:tr>
      <w:tr>
        <w:tblPrEx>
          <w:tblLayout w:type="fixed"/>
          <w:tblCellMar>
            <w:top w:w="0" w:type="dxa"/>
            <w:left w:w="108" w:type="dxa"/>
            <w:bottom w:w="0" w:type="dxa"/>
            <w:right w:w="108" w:type="dxa"/>
          </w:tblCellMar>
        </w:tblPrEx>
        <w:trPr>
          <w:trHeight w:val="271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jc w:val="center"/>
              <w:rPr>
                <w:rFonts w:hint="default" w:ascii="Times New Roman" w:hAnsi="Times New Roman" w:cs="Times New Roman"/>
                <w:color w:val="000000"/>
                <w:kern w:val="0"/>
                <w:sz w:val="18"/>
                <w:szCs w:val="18"/>
                <w:highlight w:val="none"/>
              </w:rPr>
            </w:pPr>
          </w:p>
        </w:tc>
        <w:tc>
          <w:tcPr>
            <w:tcW w:w="971" w:type="dxa"/>
            <w:tcBorders>
              <w:top w:val="nil"/>
              <w:left w:val="single" w:color="auto" w:sz="4" w:space="0"/>
              <w:bottom w:val="single" w:color="000000"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u w:val="none"/>
                <w:lang w:val="en-US" w:eastAsia="zh-CN" w:bidi="ar"/>
              </w:rPr>
              <w:t>C2.项目效益（30%）（说明：该指标主要反映部门（单位）项目的实施效果。</w:t>
            </w:r>
          </w:p>
        </w:tc>
        <w:tc>
          <w:tcPr>
            <w:tcW w:w="1143"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u w:val="none"/>
                <w:lang w:val="en-US" w:eastAsia="zh-CN" w:bidi="ar"/>
              </w:rPr>
              <w:t>C21.社会效益</w:t>
            </w:r>
          </w:p>
        </w:tc>
        <w:tc>
          <w:tcPr>
            <w:tcW w:w="1091"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u w:val="none"/>
                <w:lang w:val="en-US" w:eastAsia="zh-CN" w:bidi="ar"/>
              </w:rPr>
              <w:t>通过</w:t>
            </w:r>
            <w:r>
              <w:rPr>
                <w:rFonts w:hint="eastAsia" w:ascii="Times New Roman" w:hAnsi="Times New Roman" w:cs="Times New Roman"/>
                <w:i w:val="0"/>
                <w:color w:val="000000"/>
                <w:kern w:val="0"/>
                <w:sz w:val="18"/>
                <w:szCs w:val="18"/>
                <w:u w:val="none"/>
                <w:lang w:val="en-US" w:eastAsia="zh-CN" w:bidi="ar"/>
              </w:rPr>
              <w:t>区属国有企业代管经营性资产，实现国有资产保值增值</w:t>
            </w:r>
            <w:r>
              <w:rPr>
                <w:rStyle w:val="9"/>
                <w:rFonts w:hint="default" w:ascii="Times New Roman" w:hAnsi="Times New Roman" w:cs="Times New Roman"/>
                <w:lang w:val="en-US" w:eastAsia="zh-CN" w:bidi="ar"/>
              </w:rPr>
              <w:t>。</w:t>
            </w:r>
          </w:p>
        </w:tc>
        <w:tc>
          <w:tcPr>
            <w:tcW w:w="499"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u w:val="none"/>
                <w:lang w:val="en-US" w:eastAsia="zh-CN" w:bidi="ar"/>
              </w:rPr>
              <w:t>30</w:t>
            </w:r>
          </w:p>
        </w:tc>
        <w:tc>
          <w:tcPr>
            <w:tcW w:w="568"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kern w:val="0"/>
                <w:sz w:val="18"/>
                <w:szCs w:val="18"/>
                <w:highlight w:val="none"/>
                <w:lang w:val="en-US" w:eastAsia="zh-CN"/>
              </w:rPr>
            </w:pPr>
            <w:r>
              <w:rPr>
                <w:rFonts w:hint="eastAsia" w:ascii="Times New Roman" w:hAnsi="Times New Roman" w:cs="Times New Roman"/>
                <w:color w:val="000000"/>
                <w:kern w:val="0"/>
                <w:sz w:val="18"/>
                <w:szCs w:val="18"/>
                <w:highlight w:val="none"/>
                <w:lang w:val="en-US" w:eastAsia="zh-CN"/>
              </w:rPr>
              <w:t>29</w:t>
            </w:r>
          </w:p>
        </w:tc>
        <w:tc>
          <w:tcPr>
            <w:tcW w:w="2101"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u w:val="none"/>
                <w:lang w:val="en-US" w:eastAsia="zh-CN" w:bidi="ar"/>
              </w:rPr>
              <w:t>通过购买服务，是否加强了国有资本和全区国有资产的监管及促进国有资产保值增值</w:t>
            </w:r>
            <w:r>
              <w:rPr>
                <w:rStyle w:val="9"/>
                <w:rFonts w:hint="default" w:ascii="Times New Roman" w:hAnsi="Times New Roman" w:cs="Times New Roman"/>
                <w:lang w:val="en-US" w:eastAsia="zh-CN" w:bidi="ar"/>
              </w:rPr>
              <w:t>。</w:t>
            </w:r>
          </w:p>
        </w:tc>
        <w:tc>
          <w:tcPr>
            <w:tcW w:w="1975"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u w:val="none"/>
                <w:lang w:val="en-US" w:eastAsia="zh-CN" w:bidi="ar"/>
              </w:rPr>
              <w:t>满足要求得满分，可根据提供的服务扣减相应的分数，扣完为止。</w:t>
            </w:r>
          </w:p>
        </w:tc>
        <w:tc>
          <w:tcPr>
            <w:tcW w:w="1218" w:type="dxa"/>
            <w:tcBorders>
              <w:top w:val="nil"/>
              <w:left w:val="nil"/>
              <w:bottom w:val="single" w:color="auto" w:sz="4" w:space="0"/>
              <w:right w:val="single" w:color="auto" w:sz="4" w:space="0"/>
            </w:tcBorders>
            <w:shd w:val="clear" w:color="auto" w:fill="auto"/>
            <w:noWrap w:val="0"/>
            <w:vAlign w:val="center"/>
          </w:tcPr>
          <w:p>
            <w:pPr>
              <w:keepNext w:val="0"/>
              <w:keepLines w:val="0"/>
              <w:widowControl/>
              <w:suppressLineNumbers w:val="0"/>
              <w:jc w:val="left"/>
              <w:textAlignment w:val="center"/>
              <w:rPr>
                <w:rFonts w:hint="default" w:ascii="Times New Roman" w:hAnsi="Times New Roman" w:cs="Times New Roman"/>
                <w:color w:val="000000"/>
                <w:kern w:val="0"/>
                <w:sz w:val="18"/>
                <w:szCs w:val="18"/>
                <w:highlight w:val="none"/>
              </w:rPr>
            </w:pPr>
            <w:r>
              <w:rPr>
                <w:rFonts w:hint="default" w:ascii="Times New Roman" w:hAnsi="Times New Roman" w:eastAsia="宋体" w:cs="Times New Roman"/>
                <w:i w:val="0"/>
                <w:color w:val="000000"/>
                <w:kern w:val="0"/>
                <w:sz w:val="18"/>
                <w:szCs w:val="18"/>
                <w:u w:val="none"/>
                <w:lang w:val="en-US" w:eastAsia="zh-CN" w:bidi="ar"/>
              </w:rPr>
              <w:t>台账记录</w:t>
            </w:r>
          </w:p>
        </w:tc>
      </w:tr>
      <w:tr>
        <w:tblPrEx>
          <w:tblLayout w:type="fixed"/>
          <w:tblCellMar>
            <w:top w:w="0" w:type="dxa"/>
            <w:left w:w="108" w:type="dxa"/>
            <w:bottom w:w="0" w:type="dxa"/>
            <w:right w:w="108" w:type="dxa"/>
          </w:tblCellMar>
        </w:tblPrEx>
        <w:trPr>
          <w:trHeight w:val="540" w:hRule="atLeast"/>
        </w:trPr>
        <w:tc>
          <w:tcPr>
            <w:tcW w:w="846" w:type="dxa"/>
            <w:tcBorders>
              <w:top w:val="nil"/>
              <w:left w:val="single" w:color="auto" w:sz="4" w:space="0"/>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合计</w:t>
            </w:r>
          </w:p>
        </w:tc>
        <w:tc>
          <w:tcPr>
            <w:tcW w:w="97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100%</w:t>
            </w:r>
          </w:p>
        </w:tc>
        <w:tc>
          <w:tcPr>
            <w:tcW w:w="1143"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　</w:t>
            </w:r>
          </w:p>
        </w:tc>
        <w:tc>
          <w:tcPr>
            <w:tcW w:w="109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100分</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b/>
                <w:bCs/>
                <w:color w:val="000000"/>
                <w:kern w:val="0"/>
                <w:sz w:val="18"/>
                <w:szCs w:val="18"/>
                <w:highlight w:val="none"/>
              </w:rPr>
            </w:pPr>
            <w:r>
              <w:rPr>
                <w:rFonts w:hint="eastAsia" w:ascii="Times New Roman" w:hAnsi="Times New Roman" w:cs="Times New Roman"/>
                <w:b/>
                <w:bCs/>
                <w:color w:val="000000"/>
                <w:kern w:val="0"/>
                <w:sz w:val="18"/>
                <w:szCs w:val="18"/>
                <w:highlight w:val="none"/>
                <w:lang w:val="en-US" w:eastAsia="zh-CN"/>
              </w:rPr>
              <w:t>97</w:t>
            </w:r>
            <w:r>
              <w:rPr>
                <w:rFonts w:hint="default" w:ascii="Times New Roman" w:hAnsi="Times New Roman" w:cs="Times New Roman"/>
                <w:b/>
                <w:bCs/>
                <w:color w:val="000000"/>
                <w:kern w:val="0"/>
                <w:sz w:val="18"/>
                <w:szCs w:val="18"/>
                <w:highlight w:val="none"/>
              </w:rPr>
              <w:t>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　</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　</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default" w:ascii="Times New Roman" w:hAnsi="Times New Roman" w:cs="Times New Roman"/>
                <w:b/>
                <w:bCs/>
                <w:color w:val="000000"/>
                <w:kern w:val="0"/>
                <w:sz w:val="18"/>
                <w:szCs w:val="18"/>
                <w:highlight w:val="none"/>
              </w:rPr>
            </w:pPr>
            <w:r>
              <w:rPr>
                <w:rFonts w:hint="default" w:ascii="Times New Roman" w:hAnsi="Times New Roman" w:cs="Times New Roman"/>
                <w:b/>
                <w:bCs/>
                <w:color w:val="000000"/>
                <w:kern w:val="0"/>
                <w:sz w:val="18"/>
                <w:szCs w:val="18"/>
                <w:highlight w:val="none"/>
              </w:rPr>
              <w:t>　</w:t>
            </w:r>
          </w:p>
        </w:tc>
      </w:tr>
    </w:tbl>
    <w:p>
      <w:pPr>
        <w:jc w:val="center"/>
        <w:rPr>
          <w:rFonts w:hint="default" w:ascii="Times New Roman" w:hAnsi="Times New Roman" w:eastAsia="黑体" w:cs="Times New Roman"/>
          <w:bCs/>
          <w:sz w:val="52"/>
          <w:szCs w:val="52"/>
          <w:highlight w:val="none"/>
        </w:rPr>
      </w:pPr>
    </w:p>
    <w:p>
      <w:pPr>
        <w:jc w:val="center"/>
        <w:rPr>
          <w:rFonts w:hint="default" w:ascii="Times New Roman" w:hAnsi="Times New Roman" w:eastAsia="黑体" w:cs="Times New Roman"/>
          <w:bCs/>
          <w:sz w:val="52"/>
          <w:szCs w:val="52"/>
          <w:highlight w:val="none"/>
        </w:rPr>
      </w:pPr>
    </w:p>
    <w:p>
      <w:pPr>
        <w:jc w:val="center"/>
        <w:rPr>
          <w:rFonts w:hint="default" w:ascii="Times New Roman" w:hAnsi="Times New Roman" w:eastAsia="黑体" w:cs="Times New Roman"/>
          <w:bCs/>
          <w:sz w:val="52"/>
          <w:szCs w:val="52"/>
          <w:highlight w:val="none"/>
        </w:rPr>
      </w:pPr>
    </w:p>
    <w:p>
      <w:pPr>
        <w:jc w:val="center"/>
        <w:rPr>
          <w:rFonts w:hint="default" w:ascii="Times New Roman" w:hAnsi="Times New Roman" w:eastAsia="黑体" w:cs="Times New Roman"/>
          <w:bCs/>
          <w:sz w:val="52"/>
          <w:szCs w:val="52"/>
          <w:highlight w:val="none"/>
        </w:rPr>
      </w:pPr>
    </w:p>
    <w:p>
      <w:pPr>
        <w:jc w:val="center"/>
        <w:rPr>
          <w:rFonts w:hint="default" w:ascii="Times New Roman" w:hAnsi="Times New Roman" w:eastAsia="黑体" w:cs="Times New Roman"/>
          <w:bCs/>
          <w:sz w:val="52"/>
          <w:szCs w:val="52"/>
          <w:highlight w:val="none"/>
        </w:rPr>
      </w:pPr>
      <w:r>
        <w:rPr>
          <w:rFonts w:hint="eastAsia" w:ascii="Times New Roman" w:hAnsi="Times New Roman" w:eastAsia="黑体" w:cs="Times New Roman"/>
          <w:bCs/>
          <w:sz w:val="52"/>
          <w:szCs w:val="52"/>
          <w:highlight w:val="none"/>
          <w:lang w:eastAsia="zh-CN"/>
        </w:rPr>
        <w:t>国有资本经营预算</w:t>
      </w:r>
      <w:r>
        <w:rPr>
          <w:rFonts w:hint="default" w:ascii="Times New Roman" w:hAnsi="Times New Roman" w:eastAsia="黑体" w:cs="Times New Roman"/>
          <w:bCs/>
          <w:sz w:val="52"/>
          <w:szCs w:val="52"/>
          <w:highlight w:val="none"/>
        </w:rPr>
        <w:t>项目支出绩效自评报告</w:t>
      </w:r>
    </w:p>
    <w:p>
      <w:pPr>
        <w:jc w:val="center"/>
        <w:rPr>
          <w:rFonts w:hint="default" w:ascii="Times New Roman" w:hAnsi="Times New Roman" w:eastAsia="黑体" w:cs="Times New Roman"/>
          <w:bCs/>
          <w:sz w:val="52"/>
          <w:szCs w:val="52"/>
          <w:highlight w:val="none"/>
        </w:rPr>
      </w:pPr>
      <w:r>
        <w:rPr>
          <w:rFonts w:hint="default" w:ascii="Times New Roman" w:hAnsi="Times New Roman" w:eastAsia="黑体" w:cs="Times New Roman"/>
          <w:bCs/>
          <w:sz w:val="52"/>
          <w:szCs w:val="52"/>
          <w:highlight w:val="none"/>
        </w:rPr>
        <w:t>（</w:t>
      </w:r>
      <w:r>
        <w:rPr>
          <w:rFonts w:hint="default" w:ascii="Times New Roman" w:hAnsi="Times New Roman" w:eastAsia="黑体" w:cs="Times New Roman"/>
          <w:bCs/>
          <w:sz w:val="52"/>
          <w:szCs w:val="52"/>
          <w:highlight w:val="none"/>
          <w:lang w:val="en-US" w:eastAsia="zh-CN"/>
        </w:rPr>
        <w:t>2022</w:t>
      </w:r>
      <w:r>
        <w:rPr>
          <w:rFonts w:hint="default" w:ascii="Times New Roman" w:hAnsi="Times New Roman" w:eastAsia="黑体" w:cs="Times New Roman"/>
          <w:bCs/>
          <w:sz w:val="52"/>
          <w:szCs w:val="52"/>
          <w:highlight w:val="none"/>
        </w:rPr>
        <w:t>年度）</w:t>
      </w:r>
    </w:p>
    <w:p>
      <w:pPr>
        <w:spacing w:before="120" w:after="120" w:line="480" w:lineRule="auto"/>
        <w:jc w:val="center"/>
        <w:rPr>
          <w:rFonts w:hint="default" w:ascii="Times New Roman" w:hAnsi="Times New Roman" w:eastAsia="黑体" w:cs="Times New Roman"/>
          <w:b/>
          <w:bCs/>
          <w:sz w:val="52"/>
          <w:szCs w:val="52"/>
          <w:highlight w:val="none"/>
        </w:rPr>
      </w:pPr>
    </w:p>
    <w:p>
      <w:pPr>
        <w:spacing w:before="120" w:after="120" w:line="480" w:lineRule="auto"/>
        <w:jc w:val="center"/>
        <w:rPr>
          <w:rFonts w:hint="default" w:ascii="Times New Roman" w:hAnsi="Times New Roman" w:cs="Times New Roman"/>
          <w:b/>
          <w:bCs/>
          <w:sz w:val="44"/>
          <w:szCs w:val="44"/>
          <w:highlight w:val="none"/>
        </w:rPr>
      </w:pPr>
    </w:p>
    <w:p>
      <w:pPr>
        <w:spacing w:before="120" w:after="120" w:line="480" w:lineRule="auto"/>
        <w:jc w:val="center"/>
        <w:rPr>
          <w:rFonts w:hint="default" w:ascii="Times New Roman" w:hAnsi="Times New Roman" w:cs="Times New Roman"/>
          <w:b/>
          <w:bCs/>
          <w:sz w:val="44"/>
          <w:szCs w:val="44"/>
          <w:highlight w:val="none"/>
        </w:rPr>
      </w:pPr>
    </w:p>
    <w:p>
      <w:pPr>
        <w:spacing w:before="120" w:after="120" w:line="480" w:lineRule="auto"/>
        <w:jc w:val="center"/>
        <w:rPr>
          <w:rFonts w:hint="default" w:ascii="Times New Roman" w:hAnsi="Times New Roman" w:eastAsia="黑体" w:cs="Times New Roman"/>
          <w:b/>
          <w:bCs/>
          <w:sz w:val="44"/>
          <w:szCs w:val="44"/>
          <w:highlight w:val="none"/>
        </w:rPr>
      </w:pPr>
    </w:p>
    <w:p>
      <w:pPr>
        <w:adjustRightInd w:val="0"/>
        <w:snapToGrid w:val="0"/>
        <w:spacing w:line="360" w:lineRule="auto"/>
        <w:ind w:left="1260" w:leftChars="600"/>
        <w:rPr>
          <w:rFonts w:hint="default" w:ascii="Times New Roman" w:hAnsi="Times New Roman" w:eastAsia="黑体" w:cs="Times New Roman"/>
          <w:b/>
          <w:bCs/>
          <w:sz w:val="28"/>
          <w:szCs w:val="28"/>
          <w:highlight w:val="none"/>
        </w:rPr>
      </w:pPr>
      <w:r>
        <w:rPr>
          <w:rFonts w:hint="default" w:ascii="Times New Roman" w:hAnsi="Times New Roman" w:eastAsia="黑体" w:cs="Times New Roman"/>
          <w:b/>
          <w:bCs/>
          <w:sz w:val="28"/>
          <w:szCs w:val="28"/>
          <w:highlight w:val="none"/>
        </w:rPr>
        <mc:AlternateContent>
          <mc:Choice Requires="wps">
            <w:drawing>
              <wp:anchor distT="0" distB="0" distL="114300" distR="114300" simplePos="0" relativeHeight="251658240"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8240;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XqXKDXAAAACQEA&#10;AA8AAAAAAAAAAQAgAAAAIgAAAGRycy9kb3ducmV2LnhtbFBLAQIUABQAAAAIAIdO4kBTqpAm4gEA&#10;AJ4DAAAOAAAAAAAAAAEAIAAAACYBAABkcnMvZTJvRG9jLnhtbFBLBQYAAAAABgAGAFkBAAB6BQAA&#10;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highlight w:val="none"/>
        </w:rPr>
        <w:t>部门名称（公章）：</w:t>
      </w:r>
      <w:r>
        <w:rPr>
          <w:rFonts w:hint="default" w:ascii="Times New Roman" w:hAnsi="Times New Roman" w:eastAsia="黑体" w:cs="Times New Roman"/>
          <w:b/>
          <w:bCs/>
          <w:w w:val="80"/>
          <w:sz w:val="28"/>
          <w:szCs w:val="28"/>
          <w:highlight w:val="none"/>
        </w:rPr>
        <w:t>昆明市盘龙区人民政府国有资产监督管理委员会</w:t>
      </w:r>
    </w:p>
    <w:p>
      <w:pPr>
        <w:adjustRightInd w:val="0"/>
        <w:snapToGrid w:val="0"/>
        <w:spacing w:line="360" w:lineRule="auto"/>
        <w:ind w:left="1260" w:leftChars="600"/>
        <w:rPr>
          <w:rFonts w:hint="default" w:ascii="Times New Roman" w:hAnsi="Times New Roman" w:eastAsia="黑体" w:cs="Times New Roman"/>
          <w:b/>
          <w:bCs/>
          <w:sz w:val="28"/>
          <w:szCs w:val="28"/>
          <w:highlight w:val="none"/>
        </w:rPr>
      </w:pPr>
      <w:r>
        <w:rPr>
          <w:rFonts w:hint="default" w:ascii="Times New Roman" w:hAnsi="Times New Roman" w:eastAsia="黑体" w:cs="Times New Roman"/>
          <w:b/>
          <w:bCs/>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59264;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DxhF2DXAAAACQEA&#10;AA8AAAAAAAAAAQAgAAAAIgAAAGRycy9kb3ducmV2LnhtbFBLAQIUABQAAAAIAIdO4kC+lQRR4gEA&#10;AJ4DAAAOAAAAAAAAAAEAIAAAACYBAABkcnMvZTJvRG9jLnhtbFBLBQYAAAAABgAGAFkBAAB6BQAA&#10;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highlight w:val="none"/>
        </w:rPr>
        <w:t xml:space="preserve">项目单位： </w:t>
      </w:r>
      <w:r>
        <w:rPr>
          <w:rFonts w:hint="default" w:ascii="Times New Roman" w:hAnsi="Times New Roman" w:eastAsia="黑体" w:cs="Times New Roman"/>
          <w:b/>
          <w:bCs/>
          <w:w w:val="80"/>
          <w:sz w:val="28"/>
          <w:szCs w:val="28"/>
          <w:highlight w:val="none"/>
        </w:rPr>
        <w:t>昆明市盘龙区人民政府国有资产监督管理委员会</w:t>
      </w:r>
    </w:p>
    <w:p>
      <w:pPr>
        <w:adjustRightInd w:val="0"/>
        <w:snapToGrid w:val="0"/>
        <w:spacing w:line="360" w:lineRule="auto"/>
        <w:ind w:left="1260" w:leftChars="600"/>
        <w:jc w:val="both"/>
        <w:rPr>
          <w:rFonts w:hint="default" w:ascii="Times New Roman" w:hAnsi="Times New Roman" w:eastAsia="黑体" w:cs="Times New Roman"/>
          <w:b/>
          <w:bCs/>
          <w:sz w:val="28"/>
          <w:szCs w:val="28"/>
          <w:highlight w:val="none"/>
        </w:rPr>
      </w:pPr>
      <w:r>
        <w:rPr>
          <w:rFonts w:hint="default" w:ascii="Times New Roman" w:hAnsi="Times New Roman" w:eastAsia="黑体" w:cs="Times New Roman"/>
          <w:b/>
          <w:bCs/>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0288;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AA/Y8l4gEA&#10;AJ4DAAAOAAAAAAAAAAEAIAAAACYBAABkcnMvZTJvRG9jLnhtbFBLBQYAAAAABgAGAFkBAAB6BQAA&#10;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highlight w:val="none"/>
        </w:rPr>
        <w:t xml:space="preserve">主管部门： </w:t>
      </w:r>
      <w:r>
        <w:rPr>
          <w:rFonts w:hint="default" w:ascii="Times New Roman" w:hAnsi="Times New Roman" w:eastAsia="黑体" w:cs="Times New Roman"/>
          <w:b/>
          <w:bCs/>
          <w:w w:val="80"/>
          <w:sz w:val="28"/>
          <w:szCs w:val="28"/>
          <w:highlight w:val="none"/>
        </w:rPr>
        <w:t>昆明市盘龙区人民政府国有资产监督管理委员会</w:t>
      </w:r>
      <w:r>
        <w:rPr>
          <w:rFonts w:hint="default" w:ascii="Times New Roman" w:hAnsi="Times New Roman" w:eastAsia="黑体" w:cs="Times New Roman"/>
          <w:b/>
          <w:bCs/>
          <w:sz w:val="28"/>
          <w:szCs w:val="28"/>
          <w:highlight w:val="none"/>
        </w:rPr>
        <w:t xml:space="preserve"> </w:t>
      </w:r>
    </w:p>
    <w:p>
      <w:pPr>
        <w:adjustRightInd w:val="0"/>
        <w:snapToGrid w:val="0"/>
        <w:spacing w:line="360" w:lineRule="auto"/>
        <w:ind w:left="1260" w:leftChars="600"/>
        <w:rPr>
          <w:rFonts w:hint="eastAsia" w:ascii="Times New Roman" w:hAnsi="Times New Roman" w:eastAsia="黑体" w:cs="Times New Roman"/>
          <w:b/>
          <w:bCs/>
          <w:sz w:val="28"/>
          <w:szCs w:val="28"/>
          <w:highlight w:val="none"/>
          <w:lang w:eastAsia="zh-CN"/>
        </w:rPr>
      </w:pPr>
      <w:r>
        <w:rPr>
          <w:rFonts w:hint="default" w:ascii="Times New Roman" w:hAnsi="Times New Roman" w:eastAsia="黑体" w:cs="Times New Roman"/>
          <w:b/>
          <w:bCs/>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2oKnyuMB&#10;AACeAwAADgAAAAAAAAABACAAAAAmAQAAZHJzL2Uyb0RvYy54bWxQSwUGAAAAAAYABgBZAQAAewUA&#10;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highlight w:val="none"/>
        </w:rPr>
        <w:t xml:space="preserve">项目名称： </w:t>
      </w:r>
      <w:r>
        <w:rPr>
          <w:rFonts w:hint="eastAsia" w:ascii="Times New Roman" w:hAnsi="Times New Roman" w:eastAsia="黑体" w:cs="Times New Roman"/>
          <w:b/>
          <w:bCs/>
          <w:sz w:val="28"/>
          <w:szCs w:val="28"/>
          <w:highlight w:val="none"/>
          <w:lang w:eastAsia="zh-CN"/>
        </w:rPr>
        <w:t>国有资本经营预算</w:t>
      </w:r>
    </w:p>
    <w:p>
      <w:pPr>
        <w:adjustRightInd w:val="0"/>
        <w:snapToGrid w:val="0"/>
        <w:spacing w:line="360" w:lineRule="auto"/>
        <w:ind w:left="1260" w:leftChars="600"/>
        <w:rPr>
          <w:rFonts w:hint="default" w:ascii="Times New Roman" w:hAnsi="Times New Roman" w:eastAsia="黑体" w:cs="Times New Roman"/>
          <w:b/>
          <w:bCs/>
          <w:sz w:val="28"/>
          <w:szCs w:val="28"/>
          <w:highlight w:val="none"/>
        </w:rPr>
      </w:pPr>
      <w:r>
        <w:rPr>
          <w:rFonts w:hint="default" w:ascii="Times New Roman" w:hAnsi="Times New Roman" w:eastAsia="黑体" w:cs="Times New Roman"/>
          <w:b/>
          <w:bCs/>
          <w:sz w:val="28"/>
          <w:szCs w:val="28"/>
          <w:highlight w:val="none"/>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ZOosvuMB&#10;AACeAwAADgAAAAAAAAABACAAAAAmAQAAZHJzL2Uyb0RvYy54bWxQSwUGAAAAAAYABgBZAQAAewUA&#10;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highlight w:val="none"/>
        </w:rPr>
        <w:t>绩效自评日期：</w:t>
      </w:r>
      <w:r>
        <w:rPr>
          <w:rFonts w:hint="default" w:ascii="Times New Roman" w:hAnsi="Times New Roman" w:eastAsia="黑体" w:cs="Times New Roman"/>
          <w:b/>
          <w:bCs/>
          <w:sz w:val="28"/>
          <w:szCs w:val="28"/>
          <w:highlight w:val="none"/>
          <w:lang w:val="en-US" w:eastAsia="zh-CN"/>
        </w:rPr>
        <w:t>2023</w:t>
      </w:r>
      <w:r>
        <w:rPr>
          <w:rFonts w:hint="default" w:ascii="Times New Roman" w:hAnsi="Times New Roman" w:eastAsia="黑体" w:cs="Times New Roman"/>
          <w:b/>
          <w:bCs/>
          <w:sz w:val="28"/>
          <w:szCs w:val="28"/>
          <w:highlight w:val="none"/>
        </w:rPr>
        <w:t>年</w:t>
      </w:r>
      <w:r>
        <w:rPr>
          <w:rFonts w:hint="default" w:ascii="Times New Roman" w:hAnsi="Times New Roman" w:eastAsia="黑体" w:cs="Times New Roman"/>
          <w:b/>
          <w:bCs/>
          <w:sz w:val="28"/>
          <w:szCs w:val="28"/>
          <w:highlight w:val="none"/>
          <w:lang w:val="en-US" w:eastAsia="zh-CN"/>
        </w:rPr>
        <w:t>4</w:t>
      </w:r>
      <w:r>
        <w:rPr>
          <w:rFonts w:hint="default" w:ascii="Times New Roman" w:hAnsi="Times New Roman" w:eastAsia="黑体" w:cs="Times New Roman"/>
          <w:b/>
          <w:bCs/>
          <w:sz w:val="28"/>
          <w:szCs w:val="28"/>
          <w:highlight w:val="none"/>
        </w:rPr>
        <w:t xml:space="preserve">月 </w:t>
      </w:r>
    </w:p>
    <w:p>
      <w:pPr>
        <w:spacing w:line="360" w:lineRule="auto"/>
        <w:ind w:left="1218" w:leftChars="580"/>
        <w:rPr>
          <w:rFonts w:hint="default" w:ascii="Times New Roman" w:hAnsi="Times New Roman" w:eastAsia="黑体" w:cs="Times New Roman"/>
          <w:b/>
          <w:bCs/>
          <w:sz w:val="28"/>
          <w:szCs w:val="28"/>
          <w:highlight w:val="none"/>
        </w:rPr>
      </w:pPr>
    </w:p>
    <w:p>
      <w:pPr>
        <w:jc w:val="center"/>
        <w:rPr>
          <w:rFonts w:hint="default" w:ascii="Times New Roman" w:hAnsi="Times New Roman" w:eastAsia="黑体" w:cs="Times New Roman"/>
          <w:b/>
          <w:bCs/>
          <w:sz w:val="28"/>
          <w:szCs w:val="28"/>
          <w:highlight w:val="none"/>
        </w:rPr>
      </w:pPr>
      <w:r>
        <w:rPr>
          <w:rFonts w:hint="default" w:ascii="Times New Roman" w:hAnsi="Times New Roman" w:eastAsia="黑体" w:cs="Times New Roman"/>
          <w:b/>
          <w:bCs/>
          <w:sz w:val="28"/>
          <w:szCs w:val="28"/>
          <w:highlight w:val="none"/>
        </w:rPr>
        <w:t>20</w:t>
      </w:r>
      <w:r>
        <w:rPr>
          <w:rFonts w:hint="default" w:ascii="Times New Roman" w:hAnsi="Times New Roman" w:eastAsia="黑体" w:cs="Times New Roman"/>
          <w:b/>
          <w:bCs/>
          <w:sz w:val="28"/>
          <w:szCs w:val="28"/>
          <w:highlight w:val="none"/>
          <w:lang w:val="en-US" w:eastAsia="zh-CN"/>
        </w:rPr>
        <w:t>23</w:t>
      </w:r>
      <w:r>
        <w:rPr>
          <w:rFonts w:hint="default" w:ascii="Times New Roman" w:hAnsi="Times New Roman" w:eastAsia="黑体" w:cs="Times New Roman"/>
          <w:b/>
          <w:bCs/>
          <w:sz w:val="28"/>
          <w:szCs w:val="28"/>
          <w:highlight w:val="none"/>
        </w:rPr>
        <w:t>年</w:t>
      </w:r>
      <w:r>
        <w:rPr>
          <w:rFonts w:hint="default" w:ascii="Times New Roman" w:hAnsi="Times New Roman" w:eastAsia="黑体" w:cs="Times New Roman"/>
          <w:b/>
          <w:bCs/>
          <w:sz w:val="28"/>
          <w:szCs w:val="28"/>
          <w:highlight w:val="none"/>
          <w:lang w:val="en-US" w:eastAsia="zh-CN"/>
        </w:rPr>
        <w:t>4</w:t>
      </w:r>
      <w:r>
        <w:rPr>
          <w:rFonts w:hint="default" w:ascii="Times New Roman" w:hAnsi="Times New Roman" w:eastAsia="黑体" w:cs="Times New Roman"/>
          <w:b/>
          <w:bCs/>
          <w:sz w:val="28"/>
          <w:szCs w:val="28"/>
          <w:highlight w:val="none"/>
        </w:rPr>
        <w:t>月</w:t>
      </w:r>
    </w:p>
    <w:p>
      <w:pPr>
        <w:jc w:val="center"/>
        <w:rPr>
          <w:rFonts w:hint="default" w:ascii="Times New Roman" w:hAnsi="Times New Roman" w:eastAsia="黑体" w:cs="Times New Roman"/>
          <w:b/>
          <w:bCs/>
          <w:sz w:val="28"/>
          <w:szCs w:val="28"/>
          <w:highlight w:val="none"/>
        </w:rPr>
      </w:pPr>
    </w:p>
    <w:p>
      <w:pPr>
        <w:jc w:val="center"/>
        <w:rPr>
          <w:rFonts w:hint="default" w:ascii="Times New Roman" w:hAnsi="Times New Roman" w:eastAsia="黑体" w:cs="Times New Roman"/>
          <w:b/>
          <w:bCs/>
          <w:sz w:val="28"/>
          <w:szCs w:val="28"/>
          <w:highlight w:val="none"/>
        </w:rPr>
      </w:pPr>
    </w:p>
    <w:p>
      <w:pPr>
        <w:jc w:val="center"/>
        <w:rPr>
          <w:rFonts w:hint="default" w:ascii="Times New Roman" w:hAnsi="Times New Roman" w:eastAsia="黑体" w:cs="Times New Roman"/>
          <w:b/>
          <w:bCs/>
          <w:sz w:val="28"/>
          <w:szCs w:val="28"/>
          <w:highlight w:val="none"/>
        </w:rPr>
      </w:pPr>
    </w:p>
    <w:p>
      <w:pPr>
        <w:jc w:val="center"/>
        <w:rPr>
          <w:rFonts w:hint="default" w:ascii="Times New Roman" w:hAnsi="Times New Roman" w:eastAsia="黑体" w:cs="Times New Roman"/>
          <w:b/>
          <w:bCs/>
          <w:sz w:val="28"/>
          <w:szCs w:val="28"/>
          <w:highlight w:val="none"/>
        </w:rPr>
      </w:pPr>
    </w:p>
    <w:p>
      <w:pPr>
        <w:jc w:val="center"/>
        <w:rPr>
          <w:rFonts w:hint="default" w:ascii="Times New Roman" w:hAnsi="Times New Roman" w:eastAsia="仿宋_GB2312" w:cs="Times New Roman"/>
          <w:b/>
          <w:bCs/>
          <w:sz w:val="28"/>
          <w:szCs w:val="28"/>
          <w:highlight w:val="none"/>
        </w:rPr>
      </w:pPr>
    </w:p>
    <w:p>
      <w:pPr>
        <w:widowControl/>
        <w:jc w:val="left"/>
        <w:rPr>
          <w:rFonts w:hint="default" w:ascii="Times New Roman" w:hAnsi="Times New Roman" w:eastAsia="仿宋_GB2312" w:cs="Times New Roman"/>
          <w:b/>
          <w:bCs/>
          <w:sz w:val="28"/>
          <w:szCs w:val="28"/>
          <w:highlight w:val="none"/>
        </w:rPr>
        <w:sectPr>
          <w:pgSz w:w="11906" w:h="16838"/>
          <w:pgMar w:top="1440" w:right="1800" w:bottom="1440" w:left="1800" w:header="851" w:footer="992" w:gutter="0"/>
          <w:cols w:space="425" w:num="1"/>
          <w:titlePg/>
          <w:docGrid w:type="lines" w:linePitch="312" w:charSpace="0"/>
        </w:sectPr>
      </w:pPr>
    </w:p>
    <w:p>
      <w:pPr>
        <w:pStyle w:val="6"/>
        <w:widowControl w:val="0"/>
        <w:spacing w:after="0" w:line="360" w:lineRule="auto"/>
        <w:ind w:left="420" w:leftChars="200"/>
        <w:jc w:val="both"/>
        <w:rPr>
          <w:rFonts w:hint="default" w:ascii="Times New Roman" w:hAnsi="Times New Roman" w:eastAsia="黑体" w:cs="Times New Roman"/>
          <w:kern w:val="2"/>
          <w:sz w:val="24"/>
          <w:szCs w:val="24"/>
          <w:highlight w:val="none"/>
          <w:lang w:val="zh-TW" w:eastAsia="zh-TW"/>
        </w:rPr>
      </w:pPr>
      <w:r>
        <w:rPr>
          <w:rFonts w:hint="default" w:ascii="Times New Roman" w:hAnsi="Times New Roman" w:eastAsia="黑体" w:cs="Times New Roman"/>
          <w:kern w:val="2"/>
          <w:sz w:val="24"/>
          <w:szCs w:val="24"/>
          <w:highlight w:val="none"/>
          <w:lang w:val="zh-TW" w:eastAsia="zh-TW"/>
        </w:rPr>
        <w:t>评价小组成员：</w:t>
      </w:r>
    </w:p>
    <w:tbl>
      <w:tblPr>
        <w:tblStyle w:val="4"/>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6"/>
              <w:widowControl w:val="0"/>
              <w:spacing w:after="0" w:line="24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评价小组</w:t>
            </w:r>
          </w:p>
          <w:p>
            <w:pPr>
              <w:pStyle w:val="6"/>
              <w:widowControl w:val="0"/>
              <w:spacing w:after="0" w:line="24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机构职位</w:t>
            </w:r>
          </w:p>
        </w:tc>
        <w:tc>
          <w:tcPr>
            <w:tcW w:w="1620" w:type="dxa"/>
            <w:noWrap w:val="0"/>
            <w:vAlign w:val="center"/>
          </w:tcPr>
          <w:p>
            <w:pPr>
              <w:pStyle w:val="6"/>
              <w:widowControl w:val="0"/>
              <w:spacing w:after="0" w:line="24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姓名</w:t>
            </w:r>
          </w:p>
        </w:tc>
        <w:tc>
          <w:tcPr>
            <w:tcW w:w="1620" w:type="dxa"/>
            <w:noWrap w:val="0"/>
            <w:vAlign w:val="center"/>
          </w:tcPr>
          <w:p>
            <w:pPr>
              <w:pStyle w:val="6"/>
              <w:widowControl w:val="0"/>
              <w:spacing w:after="0" w:line="24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职务/职称</w:t>
            </w:r>
          </w:p>
        </w:tc>
        <w:tc>
          <w:tcPr>
            <w:tcW w:w="1621" w:type="dxa"/>
            <w:noWrap w:val="0"/>
            <w:vAlign w:val="center"/>
          </w:tcPr>
          <w:p>
            <w:pPr>
              <w:pStyle w:val="6"/>
              <w:widowControl w:val="0"/>
              <w:spacing w:after="0" w:line="24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所属</w:t>
            </w:r>
          </w:p>
          <w:p>
            <w:pPr>
              <w:pStyle w:val="6"/>
              <w:widowControl w:val="0"/>
              <w:spacing w:after="0" w:line="24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单位/处室</w:t>
            </w:r>
          </w:p>
        </w:tc>
        <w:tc>
          <w:tcPr>
            <w:tcW w:w="1621" w:type="dxa"/>
            <w:noWrap w:val="0"/>
            <w:vAlign w:val="center"/>
          </w:tcPr>
          <w:p>
            <w:pPr>
              <w:pStyle w:val="6"/>
              <w:widowControl w:val="0"/>
              <w:spacing w:after="0" w:line="24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6"/>
              <w:widowControl w:val="0"/>
              <w:spacing w:after="0" w:line="24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组长</w:t>
            </w:r>
          </w:p>
        </w:tc>
        <w:tc>
          <w:tcPr>
            <w:tcW w:w="1620" w:type="dxa"/>
            <w:noWrap w:val="0"/>
            <w:vAlign w:val="top"/>
          </w:tcPr>
          <w:p>
            <w:pPr>
              <w:pStyle w:val="6"/>
              <w:widowControl w:val="0"/>
              <w:spacing w:after="0" w:line="240" w:lineRule="auto"/>
              <w:jc w:val="both"/>
              <w:rPr>
                <w:rFonts w:hint="default" w:ascii="Times New Roman" w:hAnsi="Times New Roman" w:eastAsia="黑体" w:cs="Times New Roman"/>
                <w:kern w:val="2"/>
                <w:sz w:val="24"/>
                <w:szCs w:val="24"/>
                <w:highlight w:val="none"/>
                <w:lang w:val="zh-TW" w:eastAsia="zh-TW"/>
              </w:rPr>
            </w:pPr>
          </w:p>
        </w:tc>
        <w:tc>
          <w:tcPr>
            <w:tcW w:w="1620" w:type="dxa"/>
            <w:noWrap w:val="0"/>
            <w:vAlign w:val="top"/>
          </w:tcPr>
          <w:p>
            <w:pPr>
              <w:pStyle w:val="6"/>
              <w:widowControl w:val="0"/>
              <w:spacing w:after="0" w:line="240" w:lineRule="auto"/>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6"/>
              <w:widowControl w:val="0"/>
              <w:spacing w:after="0" w:line="240" w:lineRule="auto"/>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6"/>
              <w:widowControl w:val="0"/>
              <w:spacing w:after="0" w:line="240" w:lineRule="auto"/>
              <w:jc w:val="both"/>
              <w:rPr>
                <w:rFonts w:hint="default" w:ascii="Times New Roman" w:hAnsi="Times New Roman" w:eastAsia="黑体" w:cs="Times New Roman"/>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6"/>
              <w:widowControl w:val="0"/>
              <w:spacing w:after="0" w:line="36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副组长</w:t>
            </w:r>
          </w:p>
        </w:tc>
        <w:tc>
          <w:tcPr>
            <w:tcW w:w="1620"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c>
          <w:tcPr>
            <w:tcW w:w="1620"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6"/>
              <w:widowControl w:val="0"/>
              <w:spacing w:after="0" w:line="36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成员</w:t>
            </w:r>
          </w:p>
        </w:tc>
        <w:tc>
          <w:tcPr>
            <w:tcW w:w="1620"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c>
          <w:tcPr>
            <w:tcW w:w="1620"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6"/>
              <w:widowControl w:val="0"/>
              <w:spacing w:after="0" w:line="360" w:lineRule="auto"/>
              <w:jc w:val="center"/>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w:t>
            </w:r>
          </w:p>
        </w:tc>
        <w:tc>
          <w:tcPr>
            <w:tcW w:w="1620"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c>
          <w:tcPr>
            <w:tcW w:w="1620"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报告撰写人（签字）：</w:t>
            </w:r>
          </w:p>
          <w:p>
            <w:pPr>
              <w:pStyle w:val="6"/>
              <w:widowControl w:val="0"/>
              <w:spacing w:after="0" w:line="360" w:lineRule="auto"/>
              <w:jc w:val="both"/>
              <w:rPr>
                <w:rFonts w:hint="default" w:ascii="Times New Roman" w:hAnsi="Times New Roman" w:eastAsia="黑体" w:cs="Times New Roman"/>
                <w:kern w:val="2"/>
                <w:sz w:val="24"/>
                <w:szCs w:val="24"/>
                <w:highlight w:val="none"/>
                <w:lang w:val="zh-TW"/>
              </w:rPr>
            </w:pPr>
          </w:p>
          <w:p>
            <w:pPr>
              <w:pStyle w:val="6"/>
              <w:widowControl w:val="0"/>
              <w:spacing w:after="0" w:line="360" w:lineRule="auto"/>
              <w:jc w:val="both"/>
              <w:rPr>
                <w:rFonts w:hint="default" w:ascii="Times New Roman" w:hAnsi="Times New Roman" w:eastAsia="黑体" w:cs="Times New Roman"/>
                <w:kern w:val="2"/>
                <w:sz w:val="24"/>
                <w:szCs w:val="24"/>
                <w:highlight w:val="none"/>
                <w:lang w:val="zh-TW"/>
              </w:rPr>
            </w:pPr>
          </w:p>
          <w:p>
            <w:pPr>
              <w:pStyle w:val="6"/>
              <w:widowControl w:val="0"/>
              <w:wordWrap w:val="0"/>
              <w:spacing w:after="0" w:line="360" w:lineRule="auto"/>
              <w:jc w:val="right"/>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noWrap w:val="0"/>
            <w:vAlign w:val="top"/>
          </w:tcPr>
          <w:p>
            <w:pPr>
              <w:pStyle w:val="6"/>
              <w:widowControl w:val="0"/>
              <w:spacing w:after="0" w:line="360" w:lineRule="auto"/>
              <w:jc w:val="both"/>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评价工作负责人（签字）：</w:t>
            </w:r>
          </w:p>
          <w:p>
            <w:pPr>
              <w:pStyle w:val="6"/>
              <w:widowControl w:val="0"/>
              <w:spacing w:after="0" w:line="360" w:lineRule="auto"/>
              <w:jc w:val="both"/>
              <w:rPr>
                <w:rFonts w:hint="default" w:ascii="Times New Roman" w:hAnsi="Times New Roman" w:eastAsia="黑体" w:cs="Times New Roman"/>
                <w:kern w:val="2"/>
                <w:sz w:val="24"/>
                <w:szCs w:val="24"/>
                <w:highlight w:val="none"/>
                <w:lang w:val="zh-TW"/>
              </w:rPr>
            </w:pPr>
          </w:p>
          <w:p>
            <w:pPr>
              <w:pStyle w:val="6"/>
              <w:widowControl w:val="0"/>
              <w:spacing w:after="0" w:line="360" w:lineRule="auto"/>
              <w:jc w:val="both"/>
              <w:rPr>
                <w:rFonts w:hint="default" w:ascii="Times New Roman" w:hAnsi="Times New Roman" w:eastAsia="黑体" w:cs="Times New Roman"/>
                <w:kern w:val="2"/>
                <w:sz w:val="24"/>
                <w:szCs w:val="24"/>
                <w:highlight w:val="none"/>
                <w:lang w:val="zh-TW"/>
              </w:rPr>
            </w:pPr>
          </w:p>
          <w:p>
            <w:pPr>
              <w:pStyle w:val="6"/>
              <w:widowControl w:val="0"/>
              <w:wordWrap w:val="0"/>
              <w:spacing w:after="0" w:line="360" w:lineRule="auto"/>
              <w:jc w:val="right"/>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年  月  日</w:t>
            </w:r>
          </w:p>
        </w:tc>
      </w:tr>
    </w:tbl>
    <w:p>
      <w:pPr>
        <w:pStyle w:val="6"/>
        <w:widowControl w:val="0"/>
        <w:spacing w:after="0" w:line="360" w:lineRule="auto"/>
        <w:ind w:firstLine="566" w:firstLineChars="236"/>
        <w:jc w:val="both"/>
        <w:rPr>
          <w:rFonts w:hint="default" w:ascii="Times New Roman" w:hAnsi="Times New Roman" w:eastAsia="PMingLiU" w:cs="Times New Roman"/>
          <w:kern w:val="2"/>
          <w:sz w:val="24"/>
          <w:szCs w:val="24"/>
          <w:highlight w:val="none"/>
          <w:lang w:val="zh-TW" w:eastAsia="zh-TW"/>
        </w:rPr>
      </w:pPr>
    </w:p>
    <w:p>
      <w:pPr>
        <w:pStyle w:val="6"/>
        <w:widowControl w:val="0"/>
        <w:spacing w:after="0" w:line="360" w:lineRule="auto"/>
        <w:jc w:val="both"/>
        <w:rPr>
          <w:rFonts w:hint="default" w:ascii="Times New Roman" w:hAnsi="Times New Roman" w:cs="Times New Roman"/>
          <w:kern w:val="2"/>
          <w:sz w:val="24"/>
          <w:szCs w:val="24"/>
          <w:highlight w:val="none"/>
          <w:lang w:val="zh-TW"/>
        </w:rPr>
        <w:sectPr>
          <w:pgSz w:w="11906" w:h="16838"/>
          <w:pgMar w:top="1440" w:right="1800" w:bottom="1440" w:left="1800" w:header="851" w:footer="992" w:gutter="0"/>
          <w:cols w:space="425" w:num="1"/>
          <w:docGrid w:type="lines" w:linePitch="312" w:charSpace="0"/>
        </w:sectPr>
      </w:pPr>
    </w:p>
    <w:p>
      <w:pPr>
        <w:pStyle w:val="7"/>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zh-CN"/>
        </w:rPr>
        <w:t>目录</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摘要</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一、 项目基本情况</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（一）项目立项背景</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 xml:space="preserve">（二）项目立项依据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（三）项目实施内容</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（四）项目实施计划及完成情况</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（五）项目的组织及管理</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 xml:space="preserve">（六）项目绩效目标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二、绩效评价工作情况</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(一)评价的目的和依据</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(二)绩效评价工作方案制定过程</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(三)绩效评价原则、评价方法等</w:t>
      </w:r>
      <w:r>
        <w:rPr>
          <w:rFonts w:hint="default" w:ascii="Times New Roman" w:hAnsi="Times New Roman" w:eastAsia="黑体" w:cs="Times New Roman"/>
          <w:szCs w:val="32"/>
          <w:highlight w:val="none"/>
        </w:rPr>
        <w:tab/>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(四)绩效评价实施过程</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(五)绩效评价的局限性</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 xml:space="preserve">三、评价结论及绩效分析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(一)评价结论</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(二)绩效分析</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 xml:space="preserve">四、项目主要经验及做法、存在的问题和建议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(一)主要经验及做法</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(二)存在的问题</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 xml:space="preserve">(三)建议和改进措施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五、附件</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附件一：昆明市盘龙区2021年地方财政预算执行和2022年地方财政预算草案的报告</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附件二：盘龙区2021年预算执行情况及2022年预算草案附表</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 xml:space="preserve">附件三：区国资委拨付区开投集团公司2022年国有资本经营预算支出资料 </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left"/>
        <w:rPr>
          <w:rFonts w:hint="default" w:ascii="Times New Roman" w:hAnsi="Times New Roman" w:eastAsia="黑体" w:cs="Times New Roman"/>
          <w:szCs w:val="32"/>
          <w:highlight w:val="none"/>
        </w:rPr>
      </w:pPr>
    </w:p>
    <w:p>
      <w:pPr>
        <w:spacing w:line="440" w:lineRule="exact"/>
        <w:ind w:firstLine="420" w:firstLineChars="200"/>
        <w:jc w:val="left"/>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540" w:lineRule="exact"/>
        <w:rPr>
          <w:rFonts w:hint="default" w:ascii="Times New Roman" w:hAnsi="Times New Roman" w:eastAsia="方正小标宋_GBK" w:cs="Times New Roman"/>
          <w:szCs w:val="32"/>
          <w:highlight w:val="none"/>
        </w:rPr>
      </w:pPr>
    </w:p>
    <w:p>
      <w:pPr>
        <w:keepNext w:val="0"/>
        <w:keepLines w:val="0"/>
        <w:pageBreakBefore w:val="0"/>
        <w:kinsoku/>
        <w:wordWrap/>
        <w:overflowPunct/>
        <w:bidi w:val="0"/>
        <w:adjustRightInd w:val="0"/>
        <w:snapToGrid w:val="0"/>
        <w:spacing w:line="600" w:lineRule="exact"/>
        <w:ind w:firstLine="880" w:firstLineChars="200"/>
        <w:jc w:val="center"/>
        <w:textAlignment w:val="auto"/>
        <w:rPr>
          <w:rFonts w:hint="default" w:ascii="Times New Roman" w:hAnsi="Times New Roman" w:eastAsia="方正小标宋简体" w:cs="Times New Roman"/>
          <w:sz w:val="44"/>
          <w:szCs w:val="44"/>
          <w:highlight w:val="none"/>
        </w:rPr>
      </w:pPr>
      <w:r>
        <w:rPr>
          <w:rFonts w:hint="eastAsia" w:ascii="Times New Roman" w:hAnsi="Times New Roman" w:eastAsia="方正小标宋简体" w:cs="Times New Roman"/>
          <w:sz w:val="44"/>
          <w:szCs w:val="44"/>
          <w:highlight w:val="none"/>
          <w:lang w:eastAsia="zh-CN"/>
        </w:rPr>
        <w:t>国有资本经营预算</w:t>
      </w:r>
      <w:r>
        <w:rPr>
          <w:rFonts w:hint="default" w:ascii="Times New Roman" w:hAnsi="Times New Roman" w:eastAsia="方正小标宋简体" w:cs="Times New Roman"/>
          <w:sz w:val="44"/>
          <w:szCs w:val="44"/>
          <w:highlight w:val="none"/>
        </w:rPr>
        <w:t>项目支出</w:t>
      </w:r>
    </w:p>
    <w:p>
      <w:pPr>
        <w:keepNext w:val="0"/>
        <w:keepLines w:val="0"/>
        <w:pageBreakBefore w:val="0"/>
        <w:kinsoku/>
        <w:wordWrap/>
        <w:overflowPunct/>
        <w:bidi w:val="0"/>
        <w:adjustRightInd w:val="0"/>
        <w:snapToGrid w:val="0"/>
        <w:spacing w:line="600" w:lineRule="exact"/>
        <w:ind w:firstLine="880" w:firstLineChars="200"/>
        <w:jc w:val="center"/>
        <w:textAlignment w:val="auto"/>
        <w:rPr>
          <w:rFonts w:hint="default" w:ascii="Times New Roman" w:hAnsi="Times New Roman" w:eastAsia="方正小标宋_GBK" w:cs="Times New Roman"/>
          <w:sz w:val="44"/>
          <w:szCs w:val="44"/>
          <w:highlight w:val="none"/>
        </w:rPr>
      </w:pPr>
      <w:r>
        <w:rPr>
          <w:rFonts w:hint="default" w:ascii="Times New Roman" w:hAnsi="Times New Roman" w:eastAsia="方正小标宋简体" w:cs="Times New Roman"/>
          <w:sz w:val="44"/>
          <w:szCs w:val="44"/>
          <w:highlight w:val="none"/>
        </w:rPr>
        <w:t>绩效自评报告</w:t>
      </w:r>
    </w:p>
    <w:p>
      <w:pPr>
        <w:keepNext w:val="0"/>
        <w:keepLines w:val="0"/>
        <w:pageBreakBefore w:val="0"/>
        <w:kinsoku/>
        <w:wordWrap/>
        <w:overflowPunct/>
        <w:bidi w:val="0"/>
        <w:adjustRightInd w:val="0"/>
        <w:snapToGrid w:val="0"/>
        <w:spacing w:line="600" w:lineRule="exact"/>
        <w:ind w:firstLine="420" w:firstLineChars="200"/>
        <w:jc w:val="left"/>
        <w:textAlignment w:val="auto"/>
        <w:rPr>
          <w:rFonts w:hint="default" w:ascii="Times New Roman" w:hAnsi="Times New Roman" w:eastAsia="黑体" w:cs="Times New Roman"/>
          <w:szCs w:val="32"/>
          <w:highlight w:val="none"/>
        </w:rPr>
      </w:pP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一、项目基本情况</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highlight w:val="none"/>
        </w:rPr>
        <w:t>2022年根据国有资本经营预算安排，收缴区属国有企业国有资本经营收益913.83万元，于2022年5月收缴入库。</w:t>
      </w:r>
      <w:r>
        <w:rPr>
          <w:rFonts w:hint="default" w:ascii="Times New Roman" w:hAnsi="Times New Roman" w:eastAsia="仿宋_GB2312" w:cs="Times New Roman"/>
          <w:sz w:val="32"/>
          <w:szCs w:val="32"/>
        </w:rPr>
        <w:t>截止</w:t>
      </w:r>
      <w:r>
        <w:rPr>
          <w:rFonts w:hint="default" w:ascii="Times New Roman" w:hAnsi="Times New Roman" w:eastAsia="仿宋_GB2312" w:cs="Times New Roman"/>
          <w:sz w:val="32"/>
          <w:szCs w:val="32"/>
          <w:lang w:val="en-US" w:eastAsia="zh-CN"/>
        </w:rPr>
        <w:t>2022</w:t>
      </w:r>
      <w:r>
        <w:rPr>
          <w:rFonts w:hint="default" w:ascii="Times New Roman" w:hAnsi="Times New Roman" w:eastAsia="仿宋_GB2312" w:cs="Times New Roman"/>
          <w:sz w:val="32"/>
          <w:szCs w:val="32"/>
        </w:rPr>
        <w:t>年12月31日</w:t>
      </w:r>
      <w:r>
        <w:rPr>
          <w:rFonts w:hint="default" w:ascii="Times New Roman" w:hAnsi="Times New Roman" w:eastAsia="仿宋_GB2312" w:cs="Times New Roman"/>
          <w:sz w:val="32"/>
          <w:szCs w:val="32"/>
          <w:lang w:eastAsia="zh-CN"/>
        </w:rPr>
        <w:t>国有资本经营预算总支出</w:t>
      </w:r>
      <w:r>
        <w:rPr>
          <w:rFonts w:hint="default" w:ascii="Times New Roman" w:hAnsi="Times New Roman" w:eastAsia="仿宋_GB2312" w:cs="Times New Roman"/>
          <w:sz w:val="32"/>
          <w:szCs w:val="32"/>
          <w:lang w:val="en-US" w:eastAsia="zh-CN"/>
        </w:rPr>
        <w:t>913.83万元，其中，</w:t>
      </w:r>
      <w:r>
        <w:rPr>
          <w:rFonts w:hint="default" w:ascii="Times New Roman" w:hAnsi="Times New Roman" w:eastAsia="仿宋_GB2312" w:cs="Times New Roman"/>
          <w:sz w:val="32"/>
          <w:szCs w:val="32"/>
          <w:lang w:eastAsia="zh-CN"/>
        </w:rPr>
        <w:t>按</w:t>
      </w:r>
      <w:r>
        <w:rPr>
          <w:rFonts w:hint="default" w:ascii="Times New Roman" w:hAnsi="Times New Roman" w:eastAsia="仿宋_GB2312" w:cs="Times New Roman"/>
          <w:sz w:val="32"/>
          <w:szCs w:val="32"/>
          <w:lang w:val="en-US" w:eastAsia="zh-CN"/>
        </w:rPr>
        <w:t>2022</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预算收入合计数的</w:t>
      </w:r>
      <w:r>
        <w:rPr>
          <w:rFonts w:hint="default" w:ascii="Times New Roman" w:hAnsi="Times New Roman" w:eastAsia="仿宋_GB2312" w:cs="Times New Roman"/>
          <w:sz w:val="32"/>
          <w:szCs w:val="32"/>
        </w:rPr>
        <w:t>35%</w:t>
      </w:r>
      <w:r>
        <w:rPr>
          <w:rFonts w:hint="default" w:ascii="Times New Roman" w:hAnsi="Times New Roman" w:eastAsia="仿宋_GB2312" w:cs="Times New Roman"/>
          <w:sz w:val="32"/>
          <w:szCs w:val="32"/>
          <w:lang w:eastAsia="zh-CN"/>
        </w:rPr>
        <w:t>共计</w:t>
      </w:r>
      <w:r>
        <w:rPr>
          <w:rFonts w:hint="default" w:ascii="Times New Roman" w:hAnsi="Times New Roman" w:eastAsia="仿宋_GB2312" w:cs="Times New Roman"/>
          <w:sz w:val="32"/>
          <w:szCs w:val="32"/>
          <w:lang w:val="en-US" w:eastAsia="zh-CN"/>
        </w:rPr>
        <w:t>320</w:t>
      </w:r>
      <w:r>
        <w:rPr>
          <w:rFonts w:hint="default" w:ascii="Times New Roman" w:hAnsi="Times New Roman" w:eastAsia="仿宋_GB2312" w:cs="Times New Roman"/>
          <w:sz w:val="32"/>
          <w:szCs w:val="32"/>
        </w:rPr>
        <w:t>万元调入一般公共预算</w:t>
      </w:r>
      <w:r>
        <w:rPr>
          <w:rFonts w:hint="default" w:ascii="Times New Roman" w:hAnsi="Times New Roman" w:eastAsia="仿宋_GB2312" w:cs="Times New Roman"/>
          <w:sz w:val="32"/>
          <w:szCs w:val="32"/>
          <w:lang w:eastAsia="zh-CN"/>
        </w:rPr>
        <w:t>，剩余</w:t>
      </w:r>
      <w:r>
        <w:rPr>
          <w:rFonts w:hint="default" w:ascii="Times New Roman" w:hAnsi="Times New Roman" w:eastAsia="仿宋_GB2312" w:cs="Times New Roman"/>
          <w:sz w:val="32"/>
          <w:szCs w:val="32"/>
          <w:lang w:val="en-US" w:eastAsia="zh-CN"/>
        </w:rPr>
        <w:t>65%共计593.83万元</w:t>
      </w:r>
      <w:r>
        <w:rPr>
          <w:rFonts w:hint="default" w:ascii="Times New Roman" w:hAnsi="Times New Roman" w:eastAsia="仿宋_GB2312" w:cs="Times New Roman"/>
          <w:sz w:val="32"/>
          <w:szCs w:val="32"/>
        </w:rPr>
        <w:t>用于支持企业托管</w:t>
      </w:r>
      <w:r>
        <w:rPr>
          <w:rFonts w:hint="default" w:ascii="Times New Roman" w:hAnsi="Times New Roman" w:eastAsia="仿宋_GB2312" w:cs="Times New Roman"/>
          <w:sz w:val="32"/>
          <w:szCs w:val="32"/>
          <w:lang w:eastAsia="zh-CN"/>
        </w:rPr>
        <w:t>经营性</w:t>
      </w:r>
      <w:r>
        <w:rPr>
          <w:rFonts w:hint="default" w:ascii="Times New Roman" w:hAnsi="Times New Roman" w:eastAsia="仿宋_GB2312" w:cs="Times New Roman"/>
          <w:sz w:val="32"/>
          <w:szCs w:val="32"/>
        </w:rPr>
        <w:t>资产成本支出</w:t>
      </w:r>
      <w:r>
        <w:rPr>
          <w:rFonts w:hint="default" w:ascii="Times New Roman" w:hAnsi="Times New Roman" w:eastAsia="仿宋_GB2312" w:cs="Times New Roman"/>
          <w:sz w:val="32"/>
          <w:szCs w:val="32"/>
          <w:lang w:eastAsia="zh-CN"/>
        </w:rPr>
        <w:t>。</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eastAsia" w:ascii="楷体" w:hAnsi="楷体" w:eastAsia="楷体" w:cs="楷体"/>
          <w:sz w:val="32"/>
          <w:szCs w:val="32"/>
          <w:highlight w:val="none"/>
          <w:lang w:eastAsia="zh-CN"/>
        </w:rPr>
      </w:pPr>
      <w:r>
        <w:rPr>
          <w:rFonts w:hint="eastAsia" w:ascii="楷体" w:hAnsi="楷体" w:eastAsia="楷体" w:cs="楷体"/>
          <w:sz w:val="32"/>
          <w:szCs w:val="32"/>
          <w:lang w:eastAsia="zh-CN"/>
        </w:rPr>
        <w:t>（一）</w:t>
      </w:r>
      <w:r>
        <w:rPr>
          <w:rFonts w:hint="eastAsia" w:ascii="楷体" w:hAnsi="楷体" w:eastAsia="楷体" w:cs="楷体"/>
          <w:sz w:val="32"/>
          <w:szCs w:val="32"/>
          <w:highlight w:val="none"/>
          <w:lang w:eastAsia="zh-CN"/>
        </w:rPr>
        <w:t>项目实施情况</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2022年5月区国资委</w:t>
      </w:r>
      <w:r>
        <w:rPr>
          <w:rFonts w:hint="default" w:ascii="Times New Roman" w:hAnsi="Times New Roman" w:eastAsia="仿宋_GB2312" w:cs="Times New Roman"/>
          <w:sz w:val="32"/>
          <w:szCs w:val="32"/>
          <w:highlight w:val="none"/>
        </w:rPr>
        <w:t>收缴区属国有企业国有资本经营收益913.83万元</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rPr>
        <w:t>截止</w:t>
      </w:r>
      <w:r>
        <w:rPr>
          <w:rFonts w:hint="default" w:ascii="Times New Roman" w:hAnsi="Times New Roman" w:eastAsia="仿宋_GB2312" w:cs="Times New Roman"/>
          <w:sz w:val="32"/>
          <w:szCs w:val="32"/>
          <w:lang w:val="en-US" w:eastAsia="zh-CN"/>
        </w:rPr>
        <w:t>2022</w:t>
      </w:r>
      <w:r>
        <w:rPr>
          <w:rFonts w:hint="default" w:ascii="Times New Roman" w:hAnsi="Times New Roman" w:eastAsia="仿宋_GB2312" w:cs="Times New Roman"/>
          <w:sz w:val="32"/>
          <w:szCs w:val="32"/>
        </w:rPr>
        <w:t>年12月31日</w:t>
      </w:r>
      <w:r>
        <w:rPr>
          <w:rFonts w:hint="default" w:ascii="Times New Roman" w:hAnsi="Times New Roman" w:eastAsia="仿宋_GB2312" w:cs="Times New Roman"/>
          <w:sz w:val="32"/>
          <w:szCs w:val="32"/>
          <w:lang w:eastAsia="zh-CN"/>
        </w:rPr>
        <w:t>国有资本经营预算总支出</w:t>
      </w:r>
      <w:r>
        <w:rPr>
          <w:rFonts w:hint="default" w:ascii="Times New Roman" w:hAnsi="Times New Roman" w:eastAsia="仿宋_GB2312" w:cs="Times New Roman"/>
          <w:sz w:val="32"/>
          <w:szCs w:val="32"/>
          <w:lang w:val="en-US" w:eastAsia="zh-CN"/>
        </w:rPr>
        <w:t>913.83万元</w:t>
      </w:r>
      <w:r>
        <w:rPr>
          <w:rFonts w:hint="eastAsia" w:ascii="Times New Roman" w:hAnsi="Times New Roman" w:eastAsia="仿宋_GB2312" w:cs="Times New Roman"/>
          <w:sz w:val="32"/>
          <w:szCs w:val="32"/>
          <w:lang w:val="en-US" w:eastAsia="zh-CN"/>
        </w:rPr>
        <w:t>。根据2022年国有资本经营预算，</w:t>
      </w:r>
      <w:r>
        <w:rPr>
          <w:rFonts w:hint="default" w:ascii="Times New Roman" w:hAnsi="Times New Roman" w:eastAsia="仿宋_GB2312" w:cs="Times New Roman"/>
          <w:sz w:val="32"/>
          <w:szCs w:val="32"/>
          <w:lang w:eastAsia="zh-CN"/>
        </w:rPr>
        <w:t>按</w:t>
      </w:r>
      <w:r>
        <w:rPr>
          <w:rFonts w:hint="default" w:ascii="Times New Roman" w:hAnsi="Times New Roman" w:eastAsia="仿宋_GB2312" w:cs="Times New Roman"/>
          <w:sz w:val="32"/>
          <w:szCs w:val="32"/>
          <w:lang w:val="en-US" w:eastAsia="zh-CN"/>
        </w:rPr>
        <w:t>2022</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预算收入合计数的</w:t>
      </w:r>
      <w:r>
        <w:rPr>
          <w:rFonts w:hint="default" w:ascii="Times New Roman" w:hAnsi="Times New Roman" w:eastAsia="仿宋_GB2312" w:cs="Times New Roman"/>
          <w:sz w:val="32"/>
          <w:szCs w:val="32"/>
        </w:rPr>
        <w:t>35%</w:t>
      </w:r>
      <w:r>
        <w:rPr>
          <w:rFonts w:hint="default" w:ascii="Times New Roman" w:hAnsi="Times New Roman" w:eastAsia="仿宋_GB2312" w:cs="Times New Roman"/>
          <w:sz w:val="32"/>
          <w:szCs w:val="32"/>
          <w:lang w:eastAsia="zh-CN"/>
        </w:rPr>
        <w:t>共计</w:t>
      </w:r>
      <w:r>
        <w:rPr>
          <w:rFonts w:hint="default" w:ascii="Times New Roman" w:hAnsi="Times New Roman" w:eastAsia="仿宋_GB2312" w:cs="Times New Roman"/>
          <w:sz w:val="32"/>
          <w:szCs w:val="32"/>
          <w:lang w:val="en-US" w:eastAsia="zh-CN"/>
        </w:rPr>
        <w:t>320</w:t>
      </w:r>
      <w:r>
        <w:rPr>
          <w:rFonts w:hint="default" w:ascii="Times New Roman" w:hAnsi="Times New Roman" w:eastAsia="仿宋_GB2312" w:cs="Times New Roman"/>
          <w:sz w:val="32"/>
          <w:szCs w:val="32"/>
        </w:rPr>
        <w:t>万元调入一般公共预算</w:t>
      </w:r>
      <w:r>
        <w:rPr>
          <w:rFonts w:hint="default" w:ascii="Times New Roman" w:hAnsi="Times New Roman" w:eastAsia="仿宋_GB2312" w:cs="Times New Roman"/>
          <w:sz w:val="32"/>
          <w:szCs w:val="32"/>
          <w:lang w:eastAsia="zh-CN"/>
        </w:rPr>
        <w:t>，剩余</w:t>
      </w:r>
      <w:r>
        <w:rPr>
          <w:rFonts w:hint="default" w:ascii="Times New Roman" w:hAnsi="Times New Roman" w:eastAsia="仿宋_GB2312" w:cs="Times New Roman"/>
          <w:sz w:val="32"/>
          <w:szCs w:val="32"/>
          <w:lang w:val="en-US" w:eastAsia="zh-CN"/>
        </w:rPr>
        <w:t>65%共计593.83万元</w:t>
      </w:r>
      <w:r>
        <w:rPr>
          <w:rFonts w:hint="eastAsia" w:ascii="Times New Roman" w:hAnsi="Times New Roman" w:eastAsia="仿宋_GB2312" w:cs="Times New Roman"/>
          <w:sz w:val="32"/>
          <w:szCs w:val="32"/>
          <w:lang w:val="en-US" w:eastAsia="zh-CN"/>
        </w:rPr>
        <w:t>拨付昆明市盘龙区开发投资集团有限公司，</w:t>
      </w:r>
      <w:r>
        <w:rPr>
          <w:rFonts w:hint="default" w:ascii="Times New Roman" w:hAnsi="Times New Roman" w:eastAsia="仿宋_GB2312" w:cs="Times New Roman"/>
          <w:sz w:val="32"/>
          <w:szCs w:val="32"/>
        </w:rPr>
        <w:t>用于支持企业托管</w:t>
      </w:r>
      <w:r>
        <w:rPr>
          <w:rFonts w:hint="default" w:ascii="Times New Roman" w:hAnsi="Times New Roman" w:eastAsia="仿宋_GB2312" w:cs="Times New Roman"/>
          <w:sz w:val="32"/>
          <w:szCs w:val="32"/>
          <w:lang w:eastAsia="zh-CN"/>
        </w:rPr>
        <w:t>经营性</w:t>
      </w:r>
      <w:r>
        <w:rPr>
          <w:rFonts w:hint="default" w:ascii="Times New Roman" w:hAnsi="Times New Roman" w:eastAsia="仿宋_GB2312" w:cs="Times New Roman"/>
          <w:sz w:val="32"/>
          <w:szCs w:val="32"/>
        </w:rPr>
        <w:t>资产成本支出</w:t>
      </w:r>
      <w:r>
        <w:rPr>
          <w:rFonts w:hint="default" w:ascii="Times New Roman" w:hAnsi="Times New Roman" w:eastAsia="仿宋_GB2312" w:cs="Times New Roman"/>
          <w:sz w:val="32"/>
          <w:szCs w:val="32"/>
          <w:lang w:eastAsia="zh-CN"/>
        </w:rPr>
        <w:t>。</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 w:cs="Times New Roman"/>
          <w:sz w:val="32"/>
          <w:szCs w:val="32"/>
          <w:highlight w:val="none"/>
        </w:rPr>
        <w:t>（二）绩效目标</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年度目标：</w:t>
      </w:r>
      <w:r>
        <w:rPr>
          <w:rFonts w:hint="eastAsia" w:ascii="Times New Roman" w:hAnsi="Times New Roman" w:eastAsia="仿宋_GB2312" w:cs="Times New Roman"/>
          <w:sz w:val="32"/>
          <w:szCs w:val="32"/>
          <w:highlight w:val="none"/>
          <w:lang w:eastAsia="zh-CN"/>
        </w:rPr>
        <w:t>委托昆明市盘龙区开发投资集团有限公司管理区属经营性房屋资产，按照市场价值出租经营，投入相应人力、财力对所托管的经营性房屋资产进行管养维护，保证国有资产保值增值，</w:t>
      </w:r>
      <w:r>
        <w:rPr>
          <w:rFonts w:hint="default" w:ascii="Times New Roman" w:hAnsi="Times New Roman" w:eastAsia="仿宋_GB2312" w:cs="Times New Roman"/>
          <w:sz w:val="32"/>
          <w:szCs w:val="32"/>
          <w:highlight w:val="none"/>
          <w:lang w:eastAsia="zh-CN"/>
        </w:rPr>
        <w:t>项目经费预算数</w:t>
      </w:r>
      <w:r>
        <w:rPr>
          <w:rFonts w:hint="eastAsia" w:ascii="Times New Roman" w:hAnsi="Times New Roman" w:eastAsia="仿宋_GB2312" w:cs="Times New Roman"/>
          <w:sz w:val="32"/>
          <w:szCs w:val="32"/>
          <w:highlight w:val="none"/>
          <w:lang w:val="en-US" w:eastAsia="zh-CN"/>
        </w:rPr>
        <w:t>593.83</w:t>
      </w:r>
      <w:r>
        <w:rPr>
          <w:rFonts w:hint="default" w:ascii="Times New Roman" w:hAnsi="Times New Roman" w:eastAsia="仿宋_GB2312" w:cs="Times New Roman"/>
          <w:sz w:val="32"/>
          <w:szCs w:val="32"/>
          <w:highlight w:val="none"/>
          <w:lang w:eastAsia="zh-CN"/>
        </w:rPr>
        <w:t>万元。</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1.数量指标：</w:t>
      </w:r>
      <w:r>
        <w:rPr>
          <w:rFonts w:hint="eastAsia" w:ascii="Times New Roman" w:hAnsi="Times New Roman" w:eastAsia="仿宋_GB2312" w:cs="Times New Roman"/>
          <w:sz w:val="32"/>
          <w:szCs w:val="32"/>
          <w:highlight w:val="none"/>
          <w:lang w:eastAsia="zh-CN"/>
        </w:rPr>
        <w:t>委托昆明市盘龙区开发投资集团有限公司管理区属经营性房屋资产，按照市场价值出租经营，投入相应人力、财力对所托管的经营性房屋资产进行管养维护</w:t>
      </w:r>
      <w:r>
        <w:rPr>
          <w:rFonts w:hint="default" w:ascii="Times New Roman" w:hAnsi="Times New Roman" w:eastAsia="仿宋_GB2312" w:cs="Times New Roman"/>
          <w:sz w:val="32"/>
          <w:szCs w:val="32"/>
          <w:highlight w:val="none"/>
        </w:rPr>
        <w:t>。</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2.时效指标：</w:t>
      </w:r>
      <w:r>
        <w:rPr>
          <w:rFonts w:hint="default" w:ascii="Times New Roman" w:hAnsi="Times New Roman" w:eastAsia="仿宋_GB2312" w:cs="Times New Roman"/>
          <w:sz w:val="32"/>
          <w:szCs w:val="32"/>
          <w:highlight w:val="none"/>
          <w:lang w:eastAsia="zh-CN"/>
        </w:rPr>
        <w:t>202</w:t>
      </w: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eastAsia="zh-CN"/>
        </w:rPr>
        <w:t>度内按照国有资本经营预算安排，支付</w:t>
      </w:r>
      <w:r>
        <w:rPr>
          <w:rFonts w:hint="eastAsia" w:ascii="Times New Roman" w:hAnsi="Times New Roman" w:eastAsia="仿宋_GB2312" w:cs="Times New Roman"/>
          <w:sz w:val="32"/>
          <w:szCs w:val="32"/>
          <w:highlight w:val="none"/>
          <w:lang w:val="en-US" w:eastAsia="zh-CN"/>
        </w:rPr>
        <w:t>593.83</w:t>
      </w:r>
      <w:r>
        <w:rPr>
          <w:rFonts w:hint="default" w:ascii="Times New Roman" w:hAnsi="Times New Roman" w:eastAsia="仿宋_GB2312" w:cs="Times New Roman"/>
          <w:sz w:val="32"/>
          <w:szCs w:val="32"/>
          <w:highlight w:val="none"/>
          <w:lang w:eastAsia="zh-CN"/>
        </w:rPr>
        <w:t>万元</w:t>
      </w:r>
      <w:r>
        <w:rPr>
          <w:rFonts w:hint="eastAsia" w:ascii="Times New Roman" w:hAnsi="Times New Roman" w:eastAsia="仿宋_GB2312" w:cs="Times New Roman"/>
          <w:sz w:val="32"/>
          <w:szCs w:val="32"/>
          <w:highlight w:val="none"/>
          <w:lang w:eastAsia="zh-CN"/>
        </w:rPr>
        <w:t>至昆明市盘龙区开发投资有限</w:t>
      </w:r>
      <w:r>
        <w:rPr>
          <w:rFonts w:hint="default" w:ascii="Times New Roman" w:hAnsi="Times New Roman" w:eastAsia="仿宋_GB2312" w:cs="Times New Roman"/>
          <w:sz w:val="32"/>
          <w:szCs w:val="32"/>
          <w:highlight w:val="none"/>
          <w:lang w:val="en-US" w:eastAsia="zh-CN"/>
        </w:rPr>
        <w:t>公司</w:t>
      </w:r>
      <w:r>
        <w:rPr>
          <w:rFonts w:hint="default" w:ascii="Times New Roman" w:hAnsi="Times New Roman" w:eastAsia="仿宋_GB2312" w:cs="Times New Roman"/>
          <w:sz w:val="32"/>
          <w:szCs w:val="32"/>
          <w:highlight w:val="none"/>
        </w:rPr>
        <w:t>。</w:t>
      </w:r>
    </w:p>
    <w:p>
      <w:pPr>
        <w:keepNext w:val="0"/>
        <w:keepLines w:val="0"/>
        <w:pageBreakBefore w:val="0"/>
        <w:kinsoku/>
        <w:wordWrap/>
        <w:overflowPunct/>
        <w:topLinePunct w:val="0"/>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3.质量指标：</w:t>
      </w:r>
      <w:r>
        <w:rPr>
          <w:rFonts w:hint="eastAsia" w:ascii="Times New Roman" w:hAnsi="Times New Roman" w:eastAsia="仿宋_GB2312" w:cs="Times New Roman"/>
          <w:sz w:val="32"/>
          <w:szCs w:val="32"/>
          <w:highlight w:val="none"/>
          <w:lang w:eastAsia="zh-CN"/>
        </w:rPr>
        <w:t>根据托管资产名录，对昆明市盘龙区开发投资集团有限公司所代管的区属经营性房屋资产减租和管理情况开展检查，一是确保出租经营性房屋资产按照市场价值出租经营；二是确保托管资产得到相应管养维护；三是确保按照区级减租政策文件对租赁区属经营性房屋的服务业小微企业和个体工商户精准实施减免租金。</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4.成本指标：</w:t>
      </w:r>
      <w:r>
        <w:rPr>
          <w:rFonts w:hint="default" w:ascii="Times New Roman" w:hAnsi="Times New Roman" w:eastAsia="仿宋_GB2312" w:cs="Times New Roman"/>
          <w:sz w:val="30"/>
          <w:szCs w:val="32"/>
        </w:rPr>
        <w:t>截止</w:t>
      </w:r>
      <w:r>
        <w:rPr>
          <w:rFonts w:hint="default" w:ascii="Times New Roman" w:hAnsi="Times New Roman" w:eastAsia="仿宋_GB2312" w:cs="Times New Roman"/>
          <w:sz w:val="30"/>
          <w:szCs w:val="32"/>
          <w:lang w:val="en-US" w:eastAsia="zh-CN"/>
        </w:rPr>
        <w:t>2022</w:t>
      </w:r>
      <w:r>
        <w:rPr>
          <w:rFonts w:hint="default" w:ascii="Times New Roman" w:hAnsi="Times New Roman" w:eastAsia="仿宋_GB2312" w:cs="Times New Roman"/>
          <w:sz w:val="30"/>
          <w:szCs w:val="32"/>
        </w:rPr>
        <w:t>年12月31日</w:t>
      </w:r>
      <w:r>
        <w:rPr>
          <w:rFonts w:hint="default" w:ascii="Times New Roman" w:hAnsi="Times New Roman" w:eastAsia="仿宋_GB2312" w:cs="Times New Roman"/>
          <w:sz w:val="30"/>
          <w:szCs w:val="32"/>
          <w:lang w:eastAsia="zh-CN"/>
        </w:rPr>
        <w:t>国有资本经营预算总支出</w:t>
      </w:r>
      <w:r>
        <w:rPr>
          <w:rFonts w:hint="default" w:ascii="Times New Roman" w:hAnsi="Times New Roman" w:eastAsia="仿宋_GB2312" w:cs="Times New Roman"/>
          <w:sz w:val="30"/>
          <w:szCs w:val="32"/>
          <w:lang w:val="en-US" w:eastAsia="zh-CN"/>
        </w:rPr>
        <w:t>913.83万元</w:t>
      </w:r>
      <w:r>
        <w:rPr>
          <w:rFonts w:hint="eastAsia" w:ascii="Times New Roman" w:hAnsi="Times New Roman" w:eastAsia="仿宋_GB2312" w:cs="Times New Roman"/>
          <w:sz w:val="30"/>
          <w:szCs w:val="32"/>
          <w:lang w:val="en-US" w:eastAsia="zh-CN"/>
        </w:rPr>
        <w:t>。根据2022年国有资本经营预算，</w:t>
      </w:r>
      <w:r>
        <w:rPr>
          <w:rFonts w:hint="default" w:ascii="Times New Roman" w:hAnsi="Times New Roman" w:eastAsia="仿宋_GB2312" w:cs="Times New Roman"/>
          <w:sz w:val="32"/>
          <w:szCs w:val="32"/>
          <w:lang w:eastAsia="zh-CN"/>
        </w:rPr>
        <w:t>按</w:t>
      </w:r>
      <w:r>
        <w:rPr>
          <w:rFonts w:hint="default" w:ascii="Times New Roman" w:hAnsi="Times New Roman" w:eastAsia="仿宋_GB2312" w:cs="Times New Roman"/>
          <w:sz w:val="32"/>
          <w:szCs w:val="32"/>
          <w:lang w:val="en-US" w:eastAsia="zh-CN"/>
        </w:rPr>
        <w:t>2022</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预算收入合计数的</w:t>
      </w:r>
      <w:r>
        <w:rPr>
          <w:rFonts w:hint="default" w:ascii="Times New Roman" w:hAnsi="Times New Roman" w:eastAsia="仿宋_GB2312" w:cs="Times New Roman"/>
          <w:sz w:val="32"/>
          <w:szCs w:val="32"/>
        </w:rPr>
        <w:t>35%</w:t>
      </w:r>
      <w:r>
        <w:rPr>
          <w:rFonts w:hint="default" w:ascii="Times New Roman" w:hAnsi="Times New Roman" w:eastAsia="仿宋_GB2312" w:cs="Times New Roman"/>
          <w:sz w:val="32"/>
          <w:szCs w:val="32"/>
          <w:lang w:eastAsia="zh-CN"/>
        </w:rPr>
        <w:t>共计</w:t>
      </w:r>
      <w:r>
        <w:rPr>
          <w:rFonts w:hint="default" w:ascii="Times New Roman" w:hAnsi="Times New Roman" w:eastAsia="仿宋_GB2312" w:cs="Times New Roman"/>
          <w:sz w:val="32"/>
          <w:szCs w:val="32"/>
          <w:lang w:val="en-US" w:eastAsia="zh-CN"/>
        </w:rPr>
        <w:t>320</w:t>
      </w:r>
      <w:r>
        <w:rPr>
          <w:rFonts w:hint="default" w:ascii="Times New Roman" w:hAnsi="Times New Roman" w:eastAsia="仿宋_GB2312" w:cs="Times New Roman"/>
          <w:sz w:val="32"/>
          <w:szCs w:val="32"/>
        </w:rPr>
        <w:t>万元调入一般公共预算</w:t>
      </w:r>
      <w:r>
        <w:rPr>
          <w:rFonts w:hint="default" w:ascii="Times New Roman" w:hAnsi="Times New Roman" w:eastAsia="仿宋_GB2312" w:cs="Times New Roman"/>
          <w:sz w:val="32"/>
          <w:szCs w:val="32"/>
          <w:lang w:eastAsia="zh-CN"/>
        </w:rPr>
        <w:t>，剩余</w:t>
      </w:r>
      <w:r>
        <w:rPr>
          <w:rFonts w:hint="default" w:ascii="Times New Roman" w:hAnsi="Times New Roman" w:eastAsia="仿宋_GB2312" w:cs="Times New Roman"/>
          <w:sz w:val="32"/>
          <w:szCs w:val="32"/>
          <w:lang w:val="en-US" w:eastAsia="zh-CN"/>
        </w:rPr>
        <w:t>65%共计593.83万元</w:t>
      </w:r>
      <w:r>
        <w:rPr>
          <w:rFonts w:hint="eastAsia" w:ascii="Times New Roman" w:hAnsi="Times New Roman" w:eastAsia="仿宋_GB2312" w:cs="Times New Roman"/>
          <w:sz w:val="32"/>
          <w:szCs w:val="32"/>
          <w:lang w:val="en-US" w:eastAsia="zh-CN"/>
        </w:rPr>
        <w:t>拨付昆明市盘龙区开发投资集团有限公司，</w:t>
      </w:r>
      <w:r>
        <w:rPr>
          <w:rFonts w:hint="default" w:ascii="Times New Roman" w:hAnsi="Times New Roman" w:eastAsia="仿宋_GB2312" w:cs="Times New Roman"/>
          <w:sz w:val="32"/>
          <w:szCs w:val="32"/>
        </w:rPr>
        <w:t>用于支持企业托管</w:t>
      </w:r>
      <w:r>
        <w:rPr>
          <w:rFonts w:hint="default" w:ascii="Times New Roman" w:hAnsi="Times New Roman" w:eastAsia="仿宋_GB2312" w:cs="Times New Roman"/>
          <w:sz w:val="32"/>
          <w:szCs w:val="32"/>
          <w:lang w:eastAsia="zh-CN"/>
        </w:rPr>
        <w:t>经营性</w:t>
      </w:r>
      <w:r>
        <w:rPr>
          <w:rFonts w:hint="default" w:ascii="Times New Roman" w:hAnsi="Times New Roman" w:eastAsia="仿宋_GB2312" w:cs="Times New Roman"/>
          <w:sz w:val="32"/>
          <w:szCs w:val="32"/>
        </w:rPr>
        <w:t>资产成本支出</w:t>
      </w:r>
      <w:r>
        <w:rPr>
          <w:rFonts w:hint="default" w:ascii="Times New Roman" w:hAnsi="Times New Roman" w:eastAsia="仿宋_GB2312" w:cs="Times New Roman"/>
          <w:sz w:val="32"/>
          <w:szCs w:val="32"/>
          <w:highlight w:val="none"/>
        </w:rPr>
        <w:t>。</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5.经济效益指标：</w:t>
      </w:r>
      <w:r>
        <w:rPr>
          <w:rFonts w:hint="eastAsia" w:ascii="Times New Roman" w:hAnsi="Times New Roman" w:eastAsia="仿宋_GB2312" w:cs="Times New Roman"/>
          <w:sz w:val="32"/>
          <w:szCs w:val="32"/>
          <w:highlight w:val="none"/>
          <w:lang w:eastAsia="zh-CN"/>
        </w:rPr>
        <w:t>委托昆明市盘龙区开发投资集团有限公司管理区属经营性房屋资产，按照市场价值出租经营，投入相应人力、财力对所托管的经营性房屋资产进行管养维护，保证国有资产保值增值，</w:t>
      </w:r>
      <w:r>
        <w:rPr>
          <w:rFonts w:hint="default" w:ascii="Times New Roman" w:hAnsi="Times New Roman" w:eastAsia="仿宋_GB2312" w:cs="Times New Roman"/>
          <w:sz w:val="32"/>
          <w:szCs w:val="32"/>
          <w:highlight w:val="none"/>
        </w:rPr>
        <w:t>提高区属国有企业资产管理的意识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规范和强化国有资产管理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提高了国有资产的使用率，避免国有资产闲置及浪费。强化监督防止国有资产流失，结合企业的定位与分类，进一步优化区属国有企业经营目标分类考核体系，</w:t>
      </w:r>
      <w:r>
        <w:rPr>
          <w:rFonts w:hint="default" w:ascii="Times New Roman" w:hAnsi="Times New Roman" w:eastAsia="仿宋_GB2312" w:cs="Times New Roman"/>
          <w:kern w:val="0"/>
          <w:sz w:val="32"/>
          <w:szCs w:val="32"/>
          <w:highlight w:val="none"/>
        </w:rPr>
        <w:t>为达到经济效益和社会效益的平衡, 在落实国有资产保值增值责任的同时进一步加强区属国有企业社会责任。</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6.社会效益指标：</w:t>
      </w:r>
      <w:r>
        <w:rPr>
          <w:rFonts w:hint="eastAsia" w:ascii="Times New Roman" w:hAnsi="Times New Roman" w:eastAsia="仿宋_GB2312" w:cs="Times New Roman"/>
          <w:sz w:val="32"/>
          <w:szCs w:val="32"/>
          <w:highlight w:val="none"/>
          <w:lang w:eastAsia="zh-CN"/>
        </w:rPr>
        <w:t>委托昆明市盘龙区开发投资集团有限公司管理区属经营性房屋资产，按照市场价值出租经营，确保区属经营性房屋资产得到相应管养维护，保障国有资产保值增值，同时，按照区级减租政策文件对租赁区属经营性房屋的服务业小微企业和个体工商户精准实施减免租金，减轻部分市场主体在疫情时期的经营负担</w:t>
      </w:r>
      <w:r>
        <w:rPr>
          <w:rFonts w:hint="default" w:ascii="Times New Roman" w:hAnsi="Times New Roman" w:eastAsia="仿宋_GB2312" w:cs="Times New Roman"/>
          <w:sz w:val="32"/>
          <w:szCs w:val="32"/>
          <w:highlight w:val="none"/>
          <w:lang w:eastAsia="zh-CN"/>
        </w:rPr>
        <w:t>。</w:t>
      </w:r>
    </w:p>
    <w:p>
      <w:pPr>
        <w:keepNext w:val="0"/>
        <w:keepLines w:val="0"/>
        <w:pageBreakBefore w:val="0"/>
        <w:kinsoku/>
        <w:wordWrap/>
        <w:overflowPunct/>
        <w:autoSpaceDE w:val="0"/>
        <w:autoSpaceDN w:val="0"/>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7.可持续影响指标：</w:t>
      </w:r>
      <w:r>
        <w:rPr>
          <w:rFonts w:hint="eastAsia" w:ascii="Times New Roman" w:hAnsi="Times New Roman" w:eastAsia="仿宋_GB2312" w:cs="Times New Roman"/>
          <w:sz w:val="32"/>
          <w:szCs w:val="32"/>
          <w:highlight w:val="none"/>
          <w:lang w:eastAsia="zh-CN"/>
        </w:rPr>
        <w:t>委托昆明市盘龙区开发投资集团有限公司管理区属经营性房屋资产，保证国有资产保值增值，</w:t>
      </w:r>
      <w:r>
        <w:rPr>
          <w:rFonts w:hint="default" w:ascii="Times New Roman" w:hAnsi="Times New Roman" w:eastAsia="仿宋_GB2312" w:cs="Times New Roman"/>
          <w:sz w:val="32"/>
          <w:szCs w:val="32"/>
          <w:highlight w:val="none"/>
        </w:rPr>
        <w:t>提高区属国有企业资产管理的意识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规范和强化国有资产管理</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提高了国有资产的使用率，避免国有资产闲置及浪费。</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8.满意</w:t>
      </w:r>
      <w:r>
        <w:rPr>
          <w:rFonts w:hint="default" w:ascii="Times New Roman" w:hAnsi="Times New Roman" w:eastAsia="仿宋_GB2312" w:cs="Times New Roman"/>
          <w:b w:val="0"/>
          <w:bCs w:val="0"/>
          <w:sz w:val="32"/>
          <w:szCs w:val="32"/>
          <w:highlight w:val="none"/>
        </w:rPr>
        <w:t xml:space="preserve">度指标: </w:t>
      </w:r>
      <w:r>
        <w:rPr>
          <w:rFonts w:hint="eastAsia" w:ascii="Times New Roman" w:hAnsi="Times New Roman" w:eastAsia="仿宋_GB2312" w:cs="Times New Roman"/>
          <w:sz w:val="32"/>
          <w:szCs w:val="32"/>
          <w:highlight w:val="none"/>
          <w:lang w:eastAsia="zh-CN"/>
        </w:rPr>
        <w:t>根据托管资产名录，对昆明市盘龙区开发投资集团有限公司所代管的区属经营性房屋资产减租和管理情况开展检查，一是确保出租经营性房屋资产按照市场价值出租经营；二是确保托管资产得到相应管养维护；三是确保按照区级减租政策文件对租赁区属经营性房屋的服务业小微企业和个体工商户精准实施减免租金。</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二、绩效评价工作情况</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楷体" w:cs="Times New Roman"/>
          <w:sz w:val="32"/>
          <w:szCs w:val="32"/>
          <w:highlight w:val="none"/>
        </w:rPr>
      </w:pPr>
      <w:r>
        <w:rPr>
          <w:rFonts w:hint="default" w:ascii="Times New Roman" w:hAnsi="Times New Roman" w:eastAsia="楷体" w:cs="Times New Roman"/>
          <w:sz w:val="32"/>
          <w:szCs w:val="32"/>
          <w:highlight w:val="none"/>
        </w:rPr>
        <w:t>（一）绩效评价目的</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根据昆明市盘龙区开投集团有限公司代管</w:t>
      </w:r>
      <w:r>
        <w:rPr>
          <w:rFonts w:hint="default" w:ascii="Times New Roman" w:hAnsi="Times New Roman" w:eastAsia="仿宋_GB2312" w:cs="Times New Roman"/>
          <w:sz w:val="32"/>
          <w:szCs w:val="32"/>
          <w:highlight w:val="none"/>
        </w:rPr>
        <w:t>的</w:t>
      </w:r>
      <w:r>
        <w:rPr>
          <w:rFonts w:hint="eastAsia" w:ascii="Times New Roman" w:hAnsi="Times New Roman" w:eastAsia="仿宋_GB2312" w:cs="Times New Roman"/>
          <w:sz w:val="32"/>
          <w:szCs w:val="32"/>
          <w:highlight w:val="none"/>
          <w:lang w:eastAsia="zh-CN"/>
        </w:rPr>
        <w:t>区属经营性房屋管理情况，</w:t>
      </w:r>
      <w:r>
        <w:rPr>
          <w:rFonts w:hint="default" w:ascii="Times New Roman" w:hAnsi="Times New Roman" w:eastAsia="仿宋_GB2312" w:cs="Times New Roman"/>
          <w:sz w:val="32"/>
          <w:szCs w:val="32"/>
          <w:highlight w:val="none"/>
        </w:rPr>
        <w:t>全面了解项目管理过程是否规范、产出目标是否完成以及效果目标是否实现等方面的内容，总结经验，查找不足，为以后年度</w:t>
      </w:r>
      <w:r>
        <w:rPr>
          <w:rFonts w:hint="default" w:ascii="Times New Roman" w:hAnsi="Times New Roman" w:eastAsia="仿宋_GB2312" w:cs="Times New Roman"/>
          <w:sz w:val="32"/>
          <w:szCs w:val="32"/>
          <w:highlight w:val="none"/>
          <w:lang w:eastAsia="zh-CN"/>
        </w:rPr>
        <w:t>区国资委</w:t>
      </w:r>
      <w:r>
        <w:rPr>
          <w:rFonts w:hint="eastAsia" w:ascii="Times New Roman" w:hAnsi="Times New Roman" w:eastAsia="仿宋_GB2312" w:cs="Times New Roman"/>
          <w:sz w:val="32"/>
          <w:szCs w:val="32"/>
          <w:highlight w:val="none"/>
          <w:lang w:eastAsia="zh-CN"/>
        </w:rPr>
        <w:t>在托管资产及履行自身监管</w:t>
      </w:r>
      <w:r>
        <w:rPr>
          <w:rFonts w:hint="default" w:ascii="Times New Roman" w:hAnsi="Times New Roman" w:eastAsia="仿宋_GB2312" w:cs="Times New Roman"/>
          <w:sz w:val="32"/>
          <w:szCs w:val="32"/>
          <w:highlight w:val="none"/>
          <w:lang w:eastAsia="zh-CN"/>
        </w:rPr>
        <w:t>职能</w:t>
      </w:r>
      <w:r>
        <w:rPr>
          <w:rFonts w:hint="eastAsia" w:ascii="Times New Roman" w:hAnsi="Times New Roman" w:eastAsia="仿宋_GB2312" w:cs="Times New Roman"/>
          <w:sz w:val="32"/>
          <w:szCs w:val="32"/>
          <w:highlight w:val="none"/>
          <w:lang w:eastAsia="zh-CN"/>
        </w:rPr>
        <w:t>上</w:t>
      </w:r>
      <w:r>
        <w:rPr>
          <w:rFonts w:hint="default" w:ascii="Times New Roman" w:hAnsi="Times New Roman" w:eastAsia="仿宋_GB2312" w:cs="Times New Roman"/>
          <w:sz w:val="32"/>
          <w:szCs w:val="32"/>
          <w:highlight w:val="none"/>
          <w:lang w:eastAsia="zh-CN"/>
        </w:rPr>
        <w:t>提供经验借鉴</w:t>
      </w:r>
      <w:r>
        <w:rPr>
          <w:rFonts w:hint="default" w:ascii="Times New Roman" w:hAnsi="Times New Roman" w:eastAsia="仿宋_GB2312" w:cs="Times New Roman"/>
          <w:sz w:val="32"/>
          <w:szCs w:val="32"/>
          <w:highlight w:val="none"/>
        </w:rPr>
        <w:t>。在此基础上，重点分析项目预算编制的合理性、成本支出的真实性和控制有效性，评价财政资金的使用效率和效果，为以后年度编制项目预算、选择项目实施主体等提供参考依据。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楷体" w:cs="Times New Roman"/>
          <w:sz w:val="32"/>
          <w:szCs w:val="32"/>
          <w:highlight w:val="none"/>
        </w:rPr>
      </w:pPr>
      <w:r>
        <w:rPr>
          <w:rFonts w:hint="default" w:ascii="Times New Roman" w:hAnsi="Times New Roman" w:eastAsia="楷体" w:cs="Times New Roman"/>
          <w:sz w:val="32"/>
          <w:szCs w:val="32"/>
          <w:highlight w:val="none"/>
        </w:rPr>
        <w:t>（二）绩效评价工作方案制定过程</w:t>
      </w:r>
      <w:bookmarkStart w:id="0" w:name="_GoBack"/>
      <w:bookmarkEnd w:id="0"/>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w:t>
      </w:r>
      <w:r>
        <w:rPr>
          <w:rFonts w:hint="eastAsia" w:ascii="Times New Roman" w:hAnsi="Times New Roman" w:eastAsia="仿宋_GB2312" w:cs="Times New Roman"/>
          <w:sz w:val="32"/>
          <w:szCs w:val="32"/>
          <w:highlight w:val="none"/>
          <w:lang w:eastAsia="zh-CN"/>
        </w:rPr>
        <w:t>根据年初国有资本经营预算安排托管资产成本</w:t>
      </w:r>
      <w:r>
        <w:rPr>
          <w:rFonts w:hint="default" w:ascii="Times New Roman" w:hAnsi="Times New Roman" w:eastAsia="仿宋_GB2312" w:cs="Times New Roman"/>
          <w:sz w:val="32"/>
          <w:szCs w:val="32"/>
          <w:highlight w:val="none"/>
        </w:rPr>
        <w:t>。</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2.按照</w:t>
      </w:r>
      <w:r>
        <w:rPr>
          <w:rFonts w:hint="eastAsia" w:ascii="Times New Roman" w:hAnsi="Times New Roman" w:eastAsia="仿宋_GB2312" w:cs="Times New Roman"/>
          <w:sz w:val="32"/>
          <w:szCs w:val="32"/>
          <w:highlight w:val="none"/>
          <w:lang w:eastAsia="zh-CN"/>
        </w:rPr>
        <w:t>昆明市盘龙区开发投资集团有限公司的经费请示拨付相应托管资产经费</w:t>
      </w:r>
      <w:r>
        <w:rPr>
          <w:rFonts w:hint="default" w:ascii="Times New Roman" w:hAnsi="Times New Roman" w:eastAsia="仿宋_GB2312" w:cs="Times New Roman"/>
          <w:sz w:val="32"/>
          <w:szCs w:val="32"/>
          <w:highlight w:val="none"/>
        </w:rPr>
        <w:t>。</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3.设计绩效评价指标体系，制定具体评价工作方案，对绩效评价进行自评，并结合工作开展的实际情况对</w:t>
      </w:r>
      <w:r>
        <w:rPr>
          <w:rFonts w:hint="eastAsia" w:ascii="Times New Roman" w:hAnsi="Times New Roman" w:eastAsia="仿宋_GB2312" w:cs="Times New Roman"/>
          <w:sz w:val="32"/>
          <w:szCs w:val="32"/>
          <w:highlight w:val="none"/>
          <w:lang w:eastAsia="zh-CN"/>
        </w:rPr>
        <w:t>托管资产管理情况</w:t>
      </w:r>
      <w:r>
        <w:rPr>
          <w:rFonts w:hint="default" w:ascii="Times New Roman" w:hAnsi="Times New Roman" w:eastAsia="仿宋_GB2312" w:cs="Times New Roman"/>
          <w:sz w:val="32"/>
          <w:szCs w:val="32"/>
          <w:highlight w:val="none"/>
        </w:rPr>
        <w:t>进行考评。</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楷体" w:cs="Times New Roman"/>
          <w:sz w:val="32"/>
          <w:szCs w:val="32"/>
          <w:highlight w:val="none"/>
        </w:rPr>
      </w:pPr>
      <w:r>
        <w:rPr>
          <w:rFonts w:hint="default" w:ascii="Times New Roman" w:hAnsi="Times New Roman" w:eastAsia="楷体" w:cs="Times New Roman"/>
          <w:sz w:val="32"/>
          <w:szCs w:val="32"/>
          <w:highlight w:val="none"/>
        </w:rPr>
        <w:t>（三）绩效评价原则、评价方法</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1.绩效评价原则。包括科学规范、公开公正、绩效相关等原则。</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2.绩效评价方法。包括指标评价、数据采集和社会调查中所采用的方法。</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楷体" w:cs="Times New Roman"/>
          <w:sz w:val="32"/>
          <w:szCs w:val="32"/>
          <w:highlight w:val="none"/>
        </w:rPr>
      </w:pPr>
      <w:r>
        <w:rPr>
          <w:rFonts w:hint="default" w:ascii="Times New Roman" w:hAnsi="Times New Roman" w:eastAsia="楷体" w:cs="Times New Roman"/>
          <w:sz w:val="32"/>
          <w:szCs w:val="32"/>
          <w:highlight w:val="none"/>
        </w:rPr>
        <w:t>（四）绩效评价实施过程</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xml:space="preserve">1.按照项目进度制定年度预算。 </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2.确定评价对象。</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3.成立领导小组，确保项目工作的顺利开展。</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为确实加强对项目工作的领导，确保实现项目预期工作目标，区国资</w:t>
      </w:r>
      <w:r>
        <w:rPr>
          <w:rFonts w:hint="default" w:ascii="Times New Roman" w:hAnsi="Times New Roman" w:eastAsia="仿宋_GB2312" w:cs="Times New Roman"/>
          <w:sz w:val="32"/>
          <w:szCs w:val="32"/>
          <w:highlight w:val="none"/>
          <w:lang w:eastAsia="zh-CN"/>
        </w:rPr>
        <w:t>委</w:t>
      </w:r>
      <w:r>
        <w:rPr>
          <w:rFonts w:hint="default" w:ascii="Times New Roman" w:hAnsi="Times New Roman" w:eastAsia="仿宋_GB2312" w:cs="Times New Roman"/>
          <w:sz w:val="32"/>
          <w:szCs w:val="32"/>
          <w:highlight w:val="none"/>
        </w:rPr>
        <w:t>成立了绩效考核领导小组，结合工作实际，对</w:t>
      </w:r>
      <w:r>
        <w:rPr>
          <w:rFonts w:hint="eastAsia" w:ascii="Times New Roman" w:hAnsi="Times New Roman" w:eastAsia="仿宋_GB2312" w:cs="Times New Roman"/>
          <w:sz w:val="32"/>
          <w:szCs w:val="32"/>
          <w:highlight w:val="none"/>
          <w:lang w:eastAsia="zh-CN"/>
        </w:rPr>
        <w:t>第三方专业机构</w:t>
      </w:r>
      <w:r>
        <w:rPr>
          <w:rFonts w:hint="default" w:ascii="Times New Roman" w:hAnsi="Times New Roman" w:eastAsia="仿宋_GB2312" w:cs="Times New Roman"/>
          <w:sz w:val="32"/>
          <w:szCs w:val="32"/>
          <w:highlight w:val="none"/>
        </w:rPr>
        <w:t>完成的具体目标制定考核要求。</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4.加强监管，严格考核，促进项目工作按时按质完成。</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5.撰写报告。</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三、评价结论和绩效分析</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（一）评价结论</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评价结果：根据项目支出绩效评价指标体系框架评价得分为</w:t>
      </w:r>
      <w:r>
        <w:rPr>
          <w:rFonts w:hint="eastAsia" w:ascii="Times New Roman" w:hAnsi="Times New Roman" w:eastAsia="仿宋_GB2312" w:cs="Times New Roman"/>
          <w:sz w:val="32"/>
          <w:szCs w:val="32"/>
          <w:highlight w:val="none"/>
          <w:lang w:val="en-US" w:eastAsia="zh-CN"/>
        </w:rPr>
        <w:t>97</w:t>
      </w:r>
      <w:r>
        <w:rPr>
          <w:rFonts w:hint="default" w:ascii="Times New Roman" w:hAnsi="Times New Roman" w:eastAsia="仿宋_GB2312" w:cs="Times New Roman"/>
          <w:sz w:val="32"/>
          <w:szCs w:val="32"/>
          <w:highlight w:val="none"/>
        </w:rPr>
        <w:t>分。</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（二）具体绩效分析</w:t>
      </w:r>
    </w:p>
    <w:p>
      <w:pPr>
        <w:keepNext w:val="0"/>
        <w:keepLines w:val="0"/>
        <w:pageBreakBefore w:val="0"/>
        <w:kinsoku/>
        <w:wordWrap/>
        <w:overflow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1.工作完成情况</w:t>
      </w:r>
    </w:p>
    <w:p>
      <w:pPr>
        <w:keepNext w:val="0"/>
        <w:keepLines w:val="0"/>
        <w:pageBreakBefore w:val="0"/>
        <w:kinsoku/>
        <w:wordWrap/>
        <w:overflowPunct/>
        <w:bidi w:val="0"/>
        <w:adjustRightInd w:val="0"/>
        <w:snapToGrid w:val="0"/>
        <w:spacing w:line="60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eastAsia="zh-CN"/>
        </w:rPr>
        <w:t>委托昆明市盘龙区开发投资集团有限公司管理区属经营性房屋资产，按照市场价值出租经营，投入相应人力、财力对所托管的经营性房屋资产进行管养维护，保证国有资产保值增值，</w:t>
      </w:r>
      <w:r>
        <w:rPr>
          <w:rFonts w:hint="default" w:ascii="Times New Roman" w:hAnsi="Times New Roman" w:eastAsia="仿宋_GB2312" w:cs="Times New Roman"/>
          <w:sz w:val="32"/>
          <w:szCs w:val="32"/>
          <w:highlight w:val="none"/>
          <w:lang w:eastAsia="zh-CN"/>
        </w:rPr>
        <w:t>项目经费预算数</w:t>
      </w:r>
      <w:r>
        <w:rPr>
          <w:rFonts w:hint="eastAsia" w:ascii="Times New Roman" w:hAnsi="Times New Roman" w:eastAsia="仿宋_GB2312" w:cs="Times New Roman"/>
          <w:sz w:val="32"/>
          <w:szCs w:val="32"/>
          <w:highlight w:val="none"/>
          <w:lang w:val="en-US" w:eastAsia="zh-CN"/>
        </w:rPr>
        <w:t>593.83</w:t>
      </w:r>
      <w:r>
        <w:rPr>
          <w:rFonts w:hint="default" w:ascii="Times New Roman" w:hAnsi="Times New Roman" w:eastAsia="仿宋_GB2312" w:cs="Times New Roman"/>
          <w:sz w:val="32"/>
          <w:szCs w:val="32"/>
          <w:highlight w:val="none"/>
          <w:lang w:eastAsia="zh-CN"/>
        </w:rPr>
        <w:t>万元</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0"/>
          <w:szCs w:val="32"/>
        </w:rPr>
        <w:t>截止</w:t>
      </w:r>
      <w:r>
        <w:rPr>
          <w:rFonts w:hint="default" w:ascii="Times New Roman" w:hAnsi="Times New Roman" w:eastAsia="仿宋_GB2312" w:cs="Times New Roman"/>
          <w:sz w:val="30"/>
          <w:szCs w:val="32"/>
          <w:lang w:val="en-US" w:eastAsia="zh-CN"/>
        </w:rPr>
        <w:t>2022</w:t>
      </w:r>
      <w:r>
        <w:rPr>
          <w:rFonts w:hint="default" w:ascii="Times New Roman" w:hAnsi="Times New Roman" w:eastAsia="仿宋_GB2312" w:cs="Times New Roman"/>
          <w:sz w:val="30"/>
          <w:szCs w:val="32"/>
        </w:rPr>
        <w:t>年12月31日</w:t>
      </w:r>
      <w:r>
        <w:rPr>
          <w:rFonts w:hint="eastAsia" w:ascii="Times New Roman" w:hAnsi="Times New Roman" w:eastAsia="仿宋_GB2312" w:cs="Times New Roman"/>
          <w:sz w:val="30"/>
          <w:szCs w:val="32"/>
          <w:lang w:eastAsia="zh-CN"/>
        </w:rPr>
        <w:t>，共计</w:t>
      </w:r>
      <w:r>
        <w:rPr>
          <w:rFonts w:hint="eastAsia" w:ascii="Times New Roman" w:hAnsi="Times New Roman" w:eastAsia="仿宋_GB2312" w:cs="Times New Roman"/>
          <w:sz w:val="32"/>
          <w:szCs w:val="32"/>
          <w:lang w:val="en-US" w:eastAsia="zh-CN"/>
        </w:rPr>
        <w:t>拨付昆明市盘龙区开发投资集团有限公司</w:t>
      </w:r>
      <w:r>
        <w:rPr>
          <w:rFonts w:hint="default" w:ascii="Times New Roman" w:hAnsi="Times New Roman" w:eastAsia="仿宋_GB2312" w:cs="Times New Roman"/>
          <w:sz w:val="32"/>
          <w:szCs w:val="32"/>
          <w:lang w:val="en-US" w:eastAsia="zh-CN"/>
        </w:rPr>
        <w:t>593.83万元</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用于支持企业托管</w:t>
      </w:r>
      <w:r>
        <w:rPr>
          <w:rFonts w:hint="default" w:ascii="Times New Roman" w:hAnsi="Times New Roman" w:eastAsia="仿宋_GB2312" w:cs="Times New Roman"/>
          <w:sz w:val="32"/>
          <w:szCs w:val="32"/>
          <w:lang w:eastAsia="zh-CN"/>
        </w:rPr>
        <w:t>经营性</w:t>
      </w:r>
      <w:r>
        <w:rPr>
          <w:rFonts w:hint="default" w:ascii="Times New Roman" w:hAnsi="Times New Roman" w:eastAsia="仿宋_GB2312" w:cs="Times New Roman"/>
          <w:sz w:val="32"/>
          <w:szCs w:val="32"/>
        </w:rPr>
        <w:t>资产成本支出</w:t>
      </w:r>
      <w:r>
        <w:rPr>
          <w:rFonts w:hint="eastAsia" w:ascii="Times New Roman" w:hAnsi="Times New Roman" w:eastAsia="仿宋_GB2312" w:cs="Times New Roman"/>
          <w:sz w:val="32"/>
          <w:szCs w:val="32"/>
          <w:lang w:eastAsia="zh-CN"/>
        </w:rPr>
        <w:t>。</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2.具体评分项目及分值</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与部门中长期规划目标匹配性分值1分，得分1分；与政府相关规划、决策匹配性分值2分，得分2分；与部门职责适应性分值1分，得分1分；立项程序规范性分值4分，得分4分。</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绩效目标相关性分值2分，得分2分；绩效目标完整性分值2分，得分2分；目标与预算的匹配性分值2分，得分2分；指标细化分解情况分值3分，得分</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分；指标与目标的匹配性分值3分，得分3分。以上项目需进一步细化指标，所以按评判标准分别扣除相应得分。</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预算编制合理性分值1分，得分1分，预算调整规范性分值3分，得分3分。</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资金使用情况分值2分，得分</w:t>
      </w: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分；财务管理制度健全性分值1分，得分1分；资金拨付程序完整性分值1分，得分1分；财务制度执行有效性分值2分，得分2分。以上项目需进一步完善</w:t>
      </w:r>
      <w:r>
        <w:rPr>
          <w:rFonts w:hint="default" w:ascii="Times New Roman" w:hAnsi="Times New Roman" w:eastAsia="仿宋_GB2312" w:cs="Times New Roman"/>
          <w:sz w:val="32"/>
          <w:szCs w:val="32"/>
          <w:highlight w:val="none"/>
          <w:lang w:eastAsia="zh-CN"/>
        </w:rPr>
        <w:t>资金预算执行</w:t>
      </w:r>
      <w:r>
        <w:rPr>
          <w:rFonts w:hint="default" w:ascii="Times New Roman" w:hAnsi="Times New Roman" w:eastAsia="仿宋_GB2312" w:cs="Times New Roman"/>
          <w:sz w:val="32"/>
          <w:szCs w:val="32"/>
          <w:highlight w:val="none"/>
        </w:rPr>
        <w:t>，所以按评判标准分别扣除相应得分。</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eastAsia"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项目实施单位管理制度健全性分值1分，得分1分；管理方监管措施健全性分值1分，得分1分；项目实施单位管理制度执行情况分值1分，得分1分；监管措施执行情况分值1分，得分1分；项目执行情况分值3分，得分</w:t>
      </w:r>
      <w:r>
        <w:rPr>
          <w:rFonts w:hint="eastAsia"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分；台账记录规范性分值</w:t>
      </w: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分，得分</w:t>
      </w: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分</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以上项目需进一步完善</w:t>
      </w:r>
      <w:r>
        <w:rPr>
          <w:rFonts w:hint="eastAsia" w:ascii="Times New Roman" w:hAnsi="Times New Roman" w:eastAsia="仿宋_GB2312" w:cs="Times New Roman"/>
          <w:sz w:val="32"/>
          <w:szCs w:val="32"/>
          <w:highlight w:val="none"/>
          <w:lang w:eastAsia="zh-CN"/>
        </w:rPr>
        <w:t>台账的记录</w:t>
      </w:r>
      <w:r>
        <w:rPr>
          <w:rFonts w:hint="default" w:ascii="Times New Roman" w:hAnsi="Times New Roman" w:eastAsia="仿宋_GB2312" w:cs="Times New Roman"/>
          <w:sz w:val="32"/>
          <w:szCs w:val="32"/>
          <w:highlight w:val="none"/>
        </w:rPr>
        <w:t>，所以按评判标准分别扣除相应得分。</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项目产出分值30分，得分</w:t>
      </w:r>
      <w:r>
        <w:rPr>
          <w:rFonts w:hint="eastAsia" w:ascii="Times New Roman" w:hAnsi="Times New Roman" w:eastAsia="仿宋_GB2312" w:cs="Times New Roman"/>
          <w:sz w:val="32"/>
          <w:szCs w:val="32"/>
          <w:highlight w:val="none"/>
          <w:lang w:val="en-US" w:eastAsia="zh-CN"/>
        </w:rPr>
        <w:t>28</w:t>
      </w:r>
      <w:r>
        <w:rPr>
          <w:rFonts w:hint="default" w:ascii="Times New Roman" w:hAnsi="Times New Roman" w:eastAsia="仿宋_GB2312" w:cs="Times New Roman"/>
          <w:sz w:val="32"/>
          <w:szCs w:val="32"/>
          <w:highlight w:val="none"/>
        </w:rPr>
        <w:t>分；项目效益分值30分，得分</w:t>
      </w:r>
      <w:r>
        <w:rPr>
          <w:rFonts w:hint="eastAsia" w:ascii="Times New Roman" w:hAnsi="Times New Roman" w:eastAsia="仿宋_GB2312" w:cs="Times New Roman"/>
          <w:sz w:val="32"/>
          <w:szCs w:val="32"/>
          <w:highlight w:val="none"/>
          <w:lang w:val="en-US" w:eastAsia="zh-CN"/>
        </w:rPr>
        <w:t>29</w:t>
      </w:r>
      <w:r>
        <w:rPr>
          <w:rFonts w:hint="default" w:ascii="Times New Roman" w:hAnsi="Times New Roman" w:eastAsia="仿宋_GB2312" w:cs="Times New Roman"/>
          <w:sz w:val="32"/>
          <w:szCs w:val="32"/>
          <w:highlight w:val="none"/>
        </w:rPr>
        <w:t>分。以上项目需进一步</w:t>
      </w:r>
      <w:r>
        <w:rPr>
          <w:rFonts w:hint="eastAsia" w:ascii="Times New Roman" w:hAnsi="Times New Roman" w:eastAsia="仿宋_GB2312" w:cs="Times New Roman"/>
          <w:sz w:val="32"/>
          <w:szCs w:val="32"/>
          <w:highlight w:val="none"/>
          <w:lang w:eastAsia="zh-CN"/>
        </w:rPr>
        <w:t>提质增效</w:t>
      </w:r>
      <w:r>
        <w:rPr>
          <w:rFonts w:hint="default" w:ascii="Times New Roman" w:hAnsi="Times New Roman" w:eastAsia="仿宋_GB2312" w:cs="Times New Roman"/>
          <w:sz w:val="32"/>
          <w:szCs w:val="32"/>
          <w:highlight w:val="none"/>
        </w:rPr>
        <w:t>，所以按评判标准分别扣除相应得分。</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四、成本效益分析</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按照</w:t>
      </w:r>
      <w:r>
        <w:rPr>
          <w:rFonts w:hint="eastAsia" w:ascii="Times New Roman" w:hAnsi="Times New Roman" w:eastAsia="仿宋_GB2312" w:cs="Times New Roman"/>
          <w:sz w:val="32"/>
          <w:szCs w:val="32"/>
          <w:highlight w:val="none"/>
          <w:lang w:eastAsia="zh-CN"/>
        </w:rPr>
        <w:t>国有资本经营预算安排</w:t>
      </w:r>
      <w:r>
        <w:rPr>
          <w:rFonts w:hint="default" w:ascii="Times New Roman" w:hAnsi="Times New Roman" w:eastAsia="仿宋_GB2312" w:cs="Times New Roman"/>
          <w:sz w:val="32"/>
          <w:szCs w:val="32"/>
          <w:highlight w:val="none"/>
        </w:rPr>
        <w:t>按时支付资金，转化资金使用效果，保障区</w:t>
      </w:r>
      <w:r>
        <w:rPr>
          <w:rFonts w:hint="default" w:ascii="Times New Roman" w:hAnsi="Times New Roman" w:eastAsia="仿宋_GB2312" w:cs="Times New Roman"/>
          <w:sz w:val="32"/>
          <w:szCs w:val="32"/>
          <w:highlight w:val="none"/>
          <w:lang w:eastAsia="zh-CN"/>
        </w:rPr>
        <w:t>国资委</w:t>
      </w:r>
      <w:r>
        <w:rPr>
          <w:rFonts w:hint="default" w:ascii="Times New Roman" w:hAnsi="Times New Roman" w:eastAsia="仿宋_GB2312" w:cs="Times New Roman"/>
          <w:bCs/>
          <w:sz w:val="32"/>
          <w:szCs w:val="32"/>
          <w:highlight w:val="none"/>
        </w:rPr>
        <w:t>履行出资人职责，依法对企业国有资产的保值增值进行监督，</w:t>
      </w:r>
      <w:r>
        <w:rPr>
          <w:rFonts w:hint="default" w:ascii="Times New Roman" w:hAnsi="Times New Roman" w:eastAsia="仿宋_GB2312" w:cs="Times New Roman"/>
          <w:bCs/>
          <w:sz w:val="32"/>
          <w:szCs w:val="32"/>
          <w:highlight w:val="none"/>
          <w:lang w:eastAsia="zh-CN"/>
        </w:rPr>
        <w:t>确保</w:t>
      </w:r>
      <w:r>
        <w:rPr>
          <w:rFonts w:hint="default" w:ascii="Times New Roman" w:hAnsi="Times New Roman" w:eastAsia="仿宋_GB2312" w:cs="Times New Roman"/>
          <w:bCs/>
          <w:sz w:val="32"/>
          <w:szCs w:val="32"/>
          <w:highlight w:val="none"/>
        </w:rPr>
        <w:t>国有资产管理工作</w:t>
      </w:r>
      <w:r>
        <w:rPr>
          <w:rFonts w:hint="default" w:ascii="Times New Roman" w:hAnsi="Times New Roman" w:eastAsia="仿宋_GB2312" w:cs="Times New Roman"/>
          <w:sz w:val="32"/>
          <w:szCs w:val="32"/>
          <w:highlight w:val="none"/>
        </w:rPr>
        <w:t>顺利推进，从而提高工作质量。</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五、主要经验及做法、存在的问题和建议</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（一）主要经验及做法</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委托昆明市盘龙区开发投资集团有限公司管理区属经营性房屋资产，按照市场价值出租经营，由集团公司投入相应人力、财力对所托管的经营性房屋资产进行管养维护。根据托管资产名录，对昆明市盘龙区开发投资集团有限公司所代管的区属经营性房屋资产减租和管理情况开展检查，一是确保出租经营性房屋资产按照市场价值出租经营；二是确保托管资产得到相应管养维护；三是确保按照区级减租政策文件对租赁区属经营性房屋的服务业小微企业和个体工商户精准实施减免租金。</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lang w:eastAsia="zh-CN"/>
        </w:rPr>
        <w:t>（二）</w:t>
      </w:r>
      <w:r>
        <w:rPr>
          <w:rFonts w:hint="default" w:ascii="Times New Roman" w:hAnsi="Times New Roman" w:eastAsia="楷体_GB2312" w:cs="Times New Roman"/>
          <w:sz w:val="32"/>
          <w:szCs w:val="32"/>
          <w:highlight w:val="none"/>
        </w:rPr>
        <w:t>存在的问题</w:t>
      </w:r>
    </w:p>
    <w:p>
      <w:pPr>
        <w:keepNext w:val="0"/>
        <w:keepLines w:val="0"/>
        <w:pageBreakBefore w:val="0"/>
        <w:numPr>
          <w:ilvl w:val="0"/>
          <w:numId w:val="0"/>
        </w:numPr>
        <w:kinsoku/>
        <w:wordWrap/>
        <w:overflowPunct/>
        <w:bidi w:val="0"/>
        <w:adjustRightInd w:val="0"/>
        <w:snapToGrid w:val="0"/>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对</w:t>
      </w:r>
      <w:r>
        <w:rPr>
          <w:rFonts w:hint="eastAsia" w:ascii="Times New Roman" w:hAnsi="Times New Roman" w:eastAsia="仿宋_GB2312" w:cs="Times New Roman"/>
          <w:sz w:val="32"/>
          <w:szCs w:val="32"/>
          <w:highlight w:val="none"/>
          <w:lang w:eastAsia="zh-CN"/>
        </w:rPr>
        <w:t>托管资产管理经营情况</w:t>
      </w:r>
      <w:r>
        <w:rPr>
          <w:rFonts w:hint="default" w:ascii="Times New Roman" w:hAnsi="Times New Roman" w:eastAsia="仿宋_GB2312" w:cs="Times New Roman"/>
          <w:sz w:val="32"/>
          <w:szCs w:val="32"/>
          <w:highlight w:val="none"/>
          <w:lang w:eastAsia="zh-CN"/>
        </w:rPr>
        <w:t>需强化</w:t>
      </w:r>
      <w:r>
        <w:rPr>
          <w:rFonts w:hint="default" w:ascii="Times New Roman" w:hAnsi="Times New Roman" w:eastAsia="仿宋_GB2312" w:cs="Times New Roman"/>
          <w:sz w:val="32"/>
          <w:szCs w:val="32"/>
          <w:highlight w:val="none"/>
        </w:rPr>
        <w:t>监管追踪</w:t>
      </w:r>
      <w:r>
        <w:rPr>
          <w:rFonts w:hint="default" w:ascii="Times New Roman" w:hAnsi="Times New Roman" w:eastAsia="仿宋_GB2312" w:cs="Times New Roman"/>
          <w:sz w:val="32"/>
          <w:szCs w:val="32"/>
          <w:highlight w:val="none"/>
          <w:lang w:eastAsia="zh-CN"/>
        </w:rPr>
        <w:t>，对</w:t>
      </w:r>
      <w:r>
        <w:rPr>
          <w:rFonts w:hint="eastAsia" w:ascii="Times New Roman" w:hAnsi="Times New Roman" w:eastAsia="仿宋_GB2312" w:cs="Times New Roman"/>
          <w:sz w:val="32"/>
          <w:szCs w:val="32"/>
          <w:highlight w:val="none"/>
          <w:lang w:eastAsia="zh-CN"/>
        </w:rPr>
        <w:t>出租和管养情况</w:t>
      </w:r>
      <w:r>
        <w:rPr>
          <w:rFonts w:hint="default" w:ascii="Times New Roman" w:hAnsi="Times New Roman" w:eastAsia="仿宋_GB2312" w:cs="Times New Roman"/>
          <w:sz w:val="32"/>
          <w:szCs w:val="32"/>
          <w:highlight w:val="none"/>
        </w:rPr>
        <w:t>进行</w:t>
      </w:r>
      <w:r>
        <w:rPr>
          <w:rFonts w:hint="eastAsia" w:ascii="Times New Roman" w:hAnsi="Times New Roman" w:eastAsia="仿宋_GB2312" w:cs="Times New Roman"/>
          <w:sz w:val="32"/>
          <w:szCs w:val="32"/>
          <w:highlight w:val="none"/>
          <w:lang w:eastAsia="zh-CN"/>
        </w:rPr>
        <w:t>更加细化的</w:t>
      </w:r>
      <w:r>
        <w:rPr>
          <w:rFonts w:hint="default" w:ascii="Times New Roman" w:hAnsi="Times New Roman" w:eastAsia="仿宋_GB2312" w:cs="Times New Roman"/>
          <w:sz w:val="32"/>
          <w:szCs w:val="32"/>
          <w:highlight w:val="none"/>
        </w:rPr>
        <w:t>评价，实施管理及追踪。</w:t>
      </w:r>
    </w:p>
    <w:p>
      <w:pPr>
        <w:keepNext w:val="0"/>
        <w:keepLines w:val="0"/>
        <w:pageBreakBefore w:val="0"/>
        <w:kinsoku/>
        <w:wordWrap/>
        <w:overflowPunct/>
        <w:topLinePunct/>
        <w:bidi w:val="0"/>
        <w:adjustRightInd w:val="0"/>
        <w:snapToGrid w:val="0"/>
        <w:spacing w:line="600" w:lineRule="exact"/>
        <w:ind w:firstLine="640" w:firstLineChars="200"/>
        <w:jc w:val="both"/>
        <w:textAlignment w:val="auto"/>
        <w:rPr>
          <w:rFonts w:hint="default" w:ascii="Times New Roman" w:hAnsi="Times New Roman" w:eastAsia="楷体_GB2312" w:cs="Times New Roman"/>
          <w:sz w:val="32"/>
          <w:szCs w:val="32"/>
          <w:highlight w:val="none"/>
          <w:lang w:eastAsia="zh-CN"/>
        </w:rPr>
      </w:pPr>
      <w:r>
        <w:rPr>
          <w:rFonts w:hint="default" w:ascii="Times New Roman" w:hAnsi="Times New Roman" w:eastAsia="楷体_GB2312" w:cs="Times New Roman"/>
          <w:sz w:val="32"/>
          <w:szCs w:val="32"/>
          <w:highlight w:val="none"/>
          <w:lang w:eastAsia="zh-CN"/>
        </w:rPr>
        <w:t>（三）改进措施及建议</w:t>
      </w:r>
    </w:p>
    <w:p>
      <w:pPr>
        <w:keepNext w:val="0"/>
        <w:keepLines w:val="0"/>
        <w:pageBreakBefore w:val="0"/>
        <w:kinsoku/>
        <w:wordWrap/>
        <w:overflowPunct/>
        <w:topLinePunct/>
        <w:bidi w:val="0"/>
        <w:adjustRightInd w:val="0"/>
        <w:snapToGrid w:val="0"/>
        <w:spacing w:line="600" w:lineRule="exact"/>
        <w:ind w:firstLine="640" w:firstLineChars="200"/>
        <w:textAlignment w:val="auto"/>
        <w:rPr>
          <w:rFonts w:hint="default" w:ascii="Times New Roman" w:hAnsi="Times New Roman" w:eastAsia="楷体" w:cs="Times New Roman"/>
          <w:sz w:val="32"/>
          <w:szCs w:val="32"/>
          <w:highlight w:val="none"/>
        </w:rPr>
      </w:pPr>
      <w:r>
        <w:rPr>
          <w:rFonts w:hint="default" w:ascii="Times New Roman" w:hAnsi="Times New Roman" w:eastAsia="仿宋_GB2312" w:cs="Times New Roman"/>
          <w:kern w:val="2"/>
          <w:sz w:val="32"/>
          <w:szCs w:val="32"/>
          <w:highlight w:val="none"/>
          <w:lang w:val="en-US" w:eastAsia="zh-CN"/>
        </w:rPr>
        <w:t>区国资委后续将</w:t>
      </w:r>
      <w:r>
        <w:rPr>
          <w:rFonts w:hint="default" w:ascii="Times New Roman" w:hAnsi="Times New Roman" w:eastAsia="仿宋_GB2312" w:cs="Times New Roman"/>
          <w:sz w:val="32"/>
          <w:szCs w:val="32"/>
          <w:highlight w:val="none"/>
          <w:lang w:eastAsia="zh-CN"/>
        </w:rPr>
        <w:t>强化科室</w:t>
      </w:r>
      <w:r>
        <w:rPr>
          <w:rFonts w:hint="eastAsia" w:ascii="Times New Roman" w:hAnsi="Times New Roman" w:eastAsia="仿宋_GB2312" w:cs="Times New Roman"/>
          <w:sz w:val="32"/>
          <w:szCs w:val="32"/>
          <w:highlight w:val="none"/>
          <w:lang w:eastAsia="zh-CN"/>
        </w:rPr>
        <w:t>对</w:t>
      </w:r>
      <w:r>
        <w:rPr>
          <w:rFonts w:hint="default" w:ascii="Times New Roman" w:hAnsi="Times New Roman" w:eastAsia="仿宋_GB2312" w:cs="Times New Roman"/>
          <w:sz w:val="32"/>
          <w:szCs w:val="32"/>
          <w:highlight w:val="none"/>
          <w:lang w:eastAsia="zh-CN"/>
        </w:rPr>
        <w:t>资金的使用效率，</w:t>
      </w:r>
      <w:r>
        <w:rPr>
          <w:rFonts w:hint="default" w:ascii="Times New Roman" w:hAnsi="Times New Roman" w:eastAsia="仿宋_GB2312" w:cs="Times New Roman"/>
          <w:sz w:val="32"/>
          <w:szCs w:val="32"/>
          <w:highlight w:val="none"/>
        </w:rPr>
        <w:t>加强</w:t>
      </w:r>
      <w:r>
        <w:rPr>
          <w:rFonts w:hint="eastAsia" w:ascii="Times New Roman" w:hAnsi="Times New Roman" w:eastAsia="仿宋_GB2312" w:cs="Times New Roman"/>
          <w:sz w:val="32"/>
          <w:szCs w:val="32"/>
          <w:highlight w:val="none"/>
          <w:lang w:eastAsia="zh-CN"/>
        </w:rPr>
        <w:t>区属国有企业代管资产的</w:t>
      </w:r>
      <w:r>
        <w:rPr>
          <w:rFonts w:hint="default" w:ascii="Times New Roman" w:hAnsi="Times New Roman" w:eastAsia="仿宋_GB2312" w:cs="Times New Roman"/>
          <w:sz w:val="32"/>
          <w:szCs w:val="32"/>
          <w:highlight w:val="none"/>
          <w:lang w:eastAsia="zh-CN"/>
        </w:rPr>
        <w:t>服务质量</w:t>
      </w:r>
      <w:r>
        <w:rPr>
          <w:rFonts w:hint="default" w:ascii="Times New Roman" w:hAnsi="Times New Roman" w:eastAsia="仿宋_GB2312" w:cs="Times New Roman"/>
          <w:sz w:val="32"/>
          <w:szCs w:val="32"/>
          <w:highlight w:val="none"/>
        </w:rPr>
        <w:t>，强化对项目实施过程及后期的追踪，及时发现和了解服务中存在的问题并及时解决，全面推进</w:t>
      </w:r>
      <w:r>
        <w:rPr>
          <w:rFonts w:hint="default" w:ascii="Times New Roman" w:hAnsi="Times New Roman" w:eastAsia="仿宋_GB2312" w:cs="Times New Roman"/>
          <w:sz w:val="32"/>
          <w:szCs w:val="32"/>
          <w:highlight w:val="none"/>
          <w:lang w:eastAsia="zh-CN"/>
        </w:rPr>
        <w:t>区国资委更好履职尽责</w:t>
      </w:r>
      <w:r>
        <w:rPr>
          <w:rFonts w:hint="default" w:ascii="Times New Roman" w:hAnsi="Times New Roman" w:eastAsia="仿宋_GB2312" w:cs="Times New Roman"/>
          <w:sz w:val="32"/>
          <w:szCs w:val="32"/>
          <w:highlight w:val="none"/>
        </w:rPr>
        <w:t>，促进企业健康发展</w:t>
      </w:r>
      <w:r>
        <w:rPr>
          <w:rFonts w:hint="default" w:ascii="Times New Roman" w:hAnsi="Times New Roman" w:eastAsia="仿宋_GB2312" w:cs="Times New Roman"/>
          <w:sz w:val="32"/>
          <w:szCs w:val="32"/>
          <w:highlight w:val="none"/>
          <w:lang w:eastAsia="zh-CN"/>
        </w:rPr>
        <w:t>，保障国有资产保值增值</w:t>
      </w:r>
      <w:r>
        <w:rPr>
          <w:rFonts w:hint="default" w:ascii="Times New Roman" w:hAnsi="Times New Roman" w:eastAsia="仿宋_GB2312" w:cs="Times New Roman"/>
          <w:sz w:val="32"/>
          <w:szCs w:val="32"/>
          <w:highlight w:val="none"/>
        </w:rPr>
        <w:t>。</w:t>
      </w:r>
    </w:p>
    <w:p>
      <w:pPr>
        <w:spacing w:line="440" w:lineRule="exact"/>
        <w:rPr>
          <w:rFonts w:hint="default" w:ascii="Times New Roman" w:hAnsi="Times New Roman" w:eastAsia="黑体" w:cs="Times New Roman"/>
          <w:sz w:val="32"/>
          <w:szCs w:val="32"/>
          <w:highlight w:val="none"/>
        </w:rPr>
      </w:pPr>
    </w:p>
    <w:p>
      <w:pPr>
        <w:spacing w:line="440" w:lineRule="exact"/>
        <w:jc w:val="center"/>
        <w:rPr>
          <w:rFonts w:hint="default" w:ascii="Times New Roman" w:hAnsi="Times New Roman" w:eastAsia="方正小标宋_GBK" w:cs="Times New Roman"/>
          <w:sz w:val="32"/>
          <w:szCs w:val="32"/>
          <w:highlight w:val="none"/>
        </w:rPr>
      </w:pPr>
      <w:r>
        <w:rPr>
          <w:rFonts w:hint="default" w:ascii="Times New Roman" w:hAnsi="Times New Roman" w:eastAsia="方正小标宋_GBK" w:cs="Times New Roman"/>
          <w:sz w:val="32"/>
          <w:szCs w:val="32"/>
          <w:highlight w:val="none"/>
        </w:rPr>
        <w:t>绩效评价报告正文后附以下佐证材料</w:t>
      </w:r>
    </w:p>
    <w:p>
      <w:pPr>
        <w:keepNext w:val="0"/>
        <w:keepLines w:val="0"/>
        <w:pageBreakBefore w:val="0"/>
        <w:widowControl w:val="0"/>
        <w:kinsoku/>
        <w:wordWrap/>
        <w:overflowPunct/>
        <w:topLinePunct w:val="0"/>
        <w:autoSpaceDE/>
        <w:autoSpaceDN/>
        <w:bidi w:val="0"/>
        <w:adjustRightInd/>
        <w:snapToGrid/>
        <w:spacing w:line="600" w:lineRule="exact"/>
        <w:ind w:left="0" w:firstLine="0" w:firstLineChars="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1.昆明市盘龙区2021年地方财政预算执行和2022年地方财政预算草案的报告；</w:t>
      </w:r>
    </w:p>
    <w:p>
      <w:pPr>
        <w:keepNext w:val="0"/>
        <w:keepLines w:val="0"/>
        <w:pageBreakBefore w:val="0"/>
        <w:widowControl w:val="0"/>
        <w:kinsoku/>
        <w:wordWrap/>
        <w:overflowPunct/>
        <w:topLinePunct w:val="0"/>
        <w:autoSpaceDE/>
        <w:autoSpaceDN/>
        <w:bidi w:val="0"/>
        <w:adjustRightInd/>
        <w:snapToGrid/>
        <w:spacing w:line="600" w:lineRule="exact"/>
        <w:ind w:left="630" w:hanging="960" w:hangingChars="3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2.盘龙区2021年预算执行情况及2022年预算草案附表；</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highlight w:val="none"/>
        </w:rPr>
      </w:pPr>
      <w:r>
        <w:rPr>
          <w:rFonts w:hint="default" w:ascii="Times New Roman" w:hAnsi="Times New Roman" w:eastAsia="仿宋_GB2312" w:cs="Times New Roman"/>
          <w:sz w:val="32"/>
          <w:szCs w:val="32"/>
          <w:highlight w:val="none"/>
        </w:rPr>
        <w:t>3.区国资委拨付区开投集团公司2022年国有资本经营预算支出</w:t>
      </w:r>
      <w:r>
        <w:rPr>
          <w:rFonts w:hint="eastAsia" w:ascii="Times New Roman" w:hAnsi="Times New Roman" w:eastAsia="仿宋_GB2312" w:cs="Times New Roman"/>
          <w:sz w:val="32"/>
          <w:szCs w:val="32"/>
          <w:highlight w:val="none"/>
          <w:lang w:eastAsia="zh-CN"/>
        </w:rPr>
        <w:t>资料</w:t>
      </w:r>
      <w:r>
        <w:rPr>
          <w:rFonts w:hint="default" w:ascii="Times New Roman" w:hAnsi="Times New Roman" w:eastAsia="仿宋_GB2312" w:cs="Times New Roman"/>
          <w:sz w:val="32"/>
          <w:szCs w:val="32"/>
          <w:highlight w:val="none"/>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altName w:val="Arial Unicode MS"/>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华文宋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214334"/>
    <w:rsid w:val="14C43BF5"/>
    <w:rsid w:val="19B7407C"/>
    <w:rsid w:val="27C52742"/>
    <w:rsid w:val="2CDA0673"/>
    <w:rsid w:val="30000BEF"/>
    <w:rsid w:val="3C684D7B"/>
    <w:rsid w:val="42E04252"/>
    <w:rsid w:val="4FAE2458"/>
    <w:rsid w:val="52616085"/>
    <w:rsid w:val="5AD053A6"/>
    <w:rsid w:val="5B1A609B"/>
    <w:rsid w:val="62486499"/>
    <w:rsid w:val="640B34C1"/>
    <w:rsid w:val="681C5286"/>
    <w:rsid w:val="6B083F88"/>
    <w:rsid w:val="78074A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5">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customStyle="1" w:styleId="6">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7">
    <w:name w:val="TOC 标题1"/>
    <w:basedOn w:val="3"/>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paragraph" w:customStyle="1" w:styleId="8">
    <w:name w:val="正文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character" w:customStyle="1" w:styleId="9">
    <w:name w:val="font21"/>
    <w:basedOn w:val="5"/>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2023-03-27T02:44:00Z</dcterms:created>
  <dc:creator>Administrator</dc:creator>
  <cp:lastModifiedBy>闭思维</cp:lastModifiedBy>
  <dcterms:modified xsi:type="dcterms:W3CDTF">2023-04-14T07:42:20Z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