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val="0"/>
          <w:bCs/>
          <w:sz w:val="52"/>
          <w:szCs w:val="52"/>
        </w:rPr>
      </w:pPr>
      <w:r>
        <w:rPr>
          <w:rFonts w:hint="eastAsia" w:ascii="黑体" w:hAnsi="黑体" w:eastAsia="黑体" w:cs="黑体"/>
          <w:b w:val="0"/>
          <w:bCs/>
          <w:sz w:val="52"/>
          <w:szCs w:val="52"/>
        </w:rPr>
        <w:t>税收清算业务经费项目支出</w:t>
      </w:r>
    </w:p>
    <w:p>
      <w:pPr>
        <w:jc w:val="center"/>
        <w:rPr>
          <w:rFonts w:hint="eastAsia" w:ascii="黑体" w:hAnsi="黑体" w:eastAsia="黑体" w:cs="黑体"/>
          <w:b w:val="0"/>
          <w:bCs/>
          <w:sz w:val="52"/>
          <w:szCs w:val="52"/>
        </w:rPr>
      </w:pPr>
      <w:r>
        <w:rPr>
          <w:rFonts w:hint="eastAsia" w:ascii="黑体" w:hAnsi="黑体" w:eastAsia="黑体" w:cs="黑体"/>
          <w:b w:val="0"/>
          <w:bCs/>
          <w:sz w:val="52"/>
          <w:szCs w:val="52"/>
        </w:rPr>
        <w:t>绩效自评报告</w:t>
      </w:r>
    </w:p>
    <w:p>
      <w:pPr>
        <w:jc w:val="center"/>
        <w:rPr>
          <w:rFonts w:hint="eastAsia" w:ascii="黑体" w:hAnsi="黑体" w:eastAsia="黑体" w:cs="黑体"/>
          <w:b w:val="0"/>
          <w:bCs/>
          <w:sz w:val="52"/>
          <w:szCs w:val="52"/>
        </w:rPr>
      </w:pPr>
      <w:r>
        <w:rPr>
          <w:rFonts w:hint="eastAsia" w:ascii="黑体" w:hAnsi="黑体" w:eastAsia="黑体" w:cs="黑体"/>
          <w:b w:val="0"/>
          <w:bCs/>
          <w:sz w:val="52"/>
          <w:szCs w:val="52"/>
        </w:rPr>
        <w:t>（</w:t>
      </w:r>
      <w:r>
        <w:rPr>
          <w:rFonts w:hint="eastAsia" w:ascii="黑体" w:hAnsi="黑体" w:eastAsia="黑体" w:cs="黑体"/>
          <w:b w:val="0"/>
          <w:bCs/>
          <w:sz w:val="52"/>
          <w:szCs w:val="52"/>
          <w:lang w:val="en-US" w:eastAsia="zh-CN"/>
        </w:rPr>
        <w:t>2022</w:t>
      </w:r>
      <w:r>
        <w:rPr>
          <w:rFonts w:hint="eastAsia" w:ascii="黑体" w:hAnsi="黑体" w:eastAsia="黑体" w:cs="黑体"/>
          <w:b w:val="0"/>
          <w:bCs/>
          <w:sz w:val="52"/>
          <w:szCs w:val="52"/>
        </w:rPr>
        <w:t>年度）</w:t>
      </w:r>
    </w:p>
    <w:p>
      <w:pPr>
        <w:spacing w:before="120" w:after="120" w:line="480" w:lineRule="auto"/>
        <w:jc w:val="center"/>
        <w:rPr>
          <w:rFonts w:hint="default" w:ascii="Times New Roman" w:hAnsi="Times New Roman" w:eastAsia="宋体" w:cs="Times New Roman"/>
          <w:b/>
          <w:bCs/>
          <w:sz w:val="32"/>
          <w:szCs w:val="32"/>
        </w:rPr>
      </w:pPr>
    </w:p>
    <w:p>
      <w:pPr>
        <w:spacing w:before="120" w:after="120" w:line="480" w:lineRule="auto"/>
        <w:jc w:val="center"/>
        <w:rPr>
          <w:rFonts w:hint="default" w:ascii="Times New Roman" w:hAnsi="Times New Roman" w:eastAsia="宋体" w:cs="Times New Roman"/>
          <w:b/>
          <w:bCs/>
          <w:sz w:val="32"/>
          <w:szCs w:val="32"/>
        </w:rPr>
      </w:pPr>
    </w:p>
    <w:p>
      <w:pPr>
        <w:spacing w:before="120" w:after="120" w:line="480" w:lineRule="auto"/>
        <w:jc w:val="center"/>
        <w:rPr>
          <w:rFonts w:hint="default" w:ascii="Times New Roman" w:hAnsi="Times New Roman" w:eastAsia="宋体" w:cs="Times New Roman"/>
          <w:b/>
          <w:bCs/>
          <w:sz w:val="32"/>
          <w:szCs w:val="32"/>
        </w:rPr>
      </w:pPr>
    </w:p>
    <w:p>
      <w:pPr>
        <w:spacing w:before="120" w:after="120" w:line="480" w:lineRule="auto"/>
        <w:jc w:val="center"/>
        <w:rPr>
          <w:rFonts w:hint="default" w:ascii="Times New Roman" w:hAnsi="Times New Roman" w:eastAsia="宋体" w:cs="Times New Roman"/>
          <w:b/>
          <w:bCs/>
          <w:sz w:val="32"/>
          <w:szCs w:val="32"/>
        </w:rPr>
      </w:pPr>
    </w:p>
    <w:p>
      <w:pPr>
        <w:spacing w:before="120" w:after="120" w:line="480" w:lineRule="auto"/>
        <w:ind w:firstLine="964" w:firstLineChars="300"/>
        <w:jc w:val="both"/>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rPr>
        <w:t>部门名称（公章）</w:t>
      </w:r>
      <w:r>
        <w:rPr>
          <w:rFonts w:hint="default" w:ascii="Times New Roman" w:hAnsi="Times New Roman" w:cs="Times New Roman"/>
          <w:b/>
          <w:bCs/>
          <w:sz w:val="32"/>
          <w:szCs w:val="32"/>
          <w:lang w:eastAsia="zh-CN"/>
        </w:rPr>
        <w:t>：</w:t>
      </w:r>
      <w:r>
        <w:rPr>
          <w:rFonts w:hint="default" w:ascii="Times New Roman" w:hAnsi="Times New Roman" w:cs="Times New Roman"/>
          <w:b/>
          <w:bCs/>
          <w:sz w:val="32"/>
          <w:szCs w:val="32"/>
          <w:u w:val="single"/>
          <w:lang w:val="en-US" w:eastAsia="zh-CN"/>
        </w:rPr>
        <w:t xml:space="preserve"> 盘龙区财政局预算科 </w:t>
      </w:r>
    </w:p>
    <w:p>
      <w:pPr>
        <w:spacing w:before="120" w:after="120" w:line="480" w:lineRule="auto"/>
        <w:ind w:firstLine="964" w:firstLineChars="300"/>
        <w:jc w:val="both"/>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rPr>
        <w:t>项目单位</w:t>
      </w:r>
      <w:r>
        <w:rPr>
          <w:rFonts w:hint="default" w:ascii="Times New Roman" w:hAnsi="Times New Roman" w:cs="Times New Roman"/>
          <w:b/>
          <w:bCs/>
          <w:sz w:val="32"/>
          <w:szCs w:val="32"/>
          <w:lang w:eastAsia="zh-CN"/>
        </w:rPr>
        <w:t>：</w:t>
      </w:r>
      <w:r>
        <w:rPr>
          <w:rFonts w:hint="default" w:ascii="Times New Roman" w:hAnsi="Times New Roman" w:cs="Times New Roman"/>
          <w:b/>
          <w:bCs/>
          <w:sz w:val="32"/>
          <w:szCs w:val="32"/>
          <w:u w:val="single"/>
          <w:lang w:val="en-US" w:eastAsia="zh-CN"/>
        </w:rPr>
        <w:t xml:space="preserve">     盘龙区财政局预算科     </w:t>
      </w:r>
    </w:p>
    <w:p>
      <w:pPr>
        <w:spacing w:before="120" w:after="120" w:line="480" w:lineRule="auto"/>
        <w:ind w:firstLine="964" w:firstLineChars="300"/>
        <w:jc w:val="both"/>
        <w:rPr>
          <w:rFonts w:hint="default" w:ascii="Times New Roman" w:hAnsi="Times New Roman" w:eastAsia="宋体" w:cs="Times New Roman"/>
          <w:b/>
          <w:bCs/>
          <w:sz w:val="32"/>
          <w:szCs w:val="32"/>
          <w:u w:val="single"/>
          <w:lang w:val="en-US" w:eastAsia="zh-CN"/>
        </w:rPr>
      </w:pPr>
      <w:r>
        <w:rPr>
          <w:rFonts w:hint="default" w:ascii="Times New Roman" w:hAnsi="Times New Roman" w:eastAsia="宋体" w:cs="Times New Roman"/>
          <w:b/>
          <w:bCs/>
          <w:sz w:val="32"/>
          <w:szCs w:val="32"/>
        </w:rPr>
        <w:t>主管部门</w:t>
      </w:r>
      <w:r>
        <w:rPr>
          <w:rFonts w:hint="default" w:ascii="Times New Roman" w:hAnsi="Times New Roman" w:cs="Times New Roman"/>
          <w:b/>
          <w:bCs/>
          <w:sz w:val="32"/>
          <w:szCs w:val="32"/>
          <w:lang w:eastAsia="zh-CN"/>
        </w:rPr>
        <w:t>：</w:t>
      </w:r>
      <w:r>
        <w:rPr>
          <w:rFonts w:hint="default" w:ascii="Times New Roman" w:hAnsi="Times New Roman" w:cs="Times New Roman"/>
          <w:b/>
          <w:bCs/>
          <w:sz w:val="32"/>
          <w:szCs w:val="32"/>
          <w:u w:val="single"/>
          <w:lang w:val="en-US" w:eastAsia="zh-CN"/>
        </w:rPr>
        <w:t xml:space="preserve">     盘龙区财政局           </w:t>
      </w:r>
    </w:p>
    <w:p>
      <w:pPr>
        <w:spacing w:before="120" w:after="120" w:line="480" w:lineRule="auto"/>
        <w:ind w:firstLine="964" w:firstLineChars="300"/>
        <w:jc w:val="both"/>
        <w:rPr>
          <w:rFonts w:hint="default" w:ascii="Times New Roman" w:hAnsi="Times New Roman" w:cs="Times New Roman"/>
          <w:b/>
          <w:bCs/>
          <w:sz w:val="32"/>
          <w:szCs w:val="32"/>
          <w:u w:val="single"/>
          <w:lang w:val="en-US" w:eastAsia="zh-CN"/>
        </w:rPr>
      </w:pPr>
      <w:r>
        <w:rPr>
          <w:rFonts w:hint="default" w:ascii="Times New Roman" w:hAnsi="Times New Roman" w:eastAsia="宋体" w:cs="Times New Roman"/>
          <w:b/>
          <w:bCs/>
          <w:sz w:val="32"/>
          <w:szCs w:val="32"/>
        </w:rPr>
        <w:t>项目名称</w:t>
      </w:r>
      <w:r>
        <w:rPr>
          <w:rFonts w:hint="default" w:ascii="Times New Roman" w:hAnsi="Times New Roman" w:cs="Times New Roman"/>
          <w:b/>
          <w:bCs/>
          <w:sz w:val="32"/>
          <w:szCs w:val="32"/>
          <w:lang w:eastAsia="zh-CN"/>
        </w:rPr>
        <w:t>：</w:t>
      </w:r>
      <w:r>
        <w:rPr>
          <w:rFonts w:hint="default" w:ascii="Times New Roman" w:hAnsi="Times New Roman" w:cs="Times New Roman"/>
          <w:b/>
          <w:bCs/>
          <w:sz w:val="32"/>
          <w:szCs w:val="32"/>
          <w:u w:val="single"/>
          <w:lang w:val="en-US" w:eastAsia="zh-CN"/>
        </w:rPr>
        <w:t xml:space="preserve">      税收清算业务经费      </w:t>
      </w:r>
    </w:p>
    <w:p>
      <w:pPr>
        <w:pStyle w:val="2"/>
        <w:ind w:left="0" w:leftChars="0" w:firstLine="964" w:firstLineChars="300"/>
        <w:rPr>
          <w:rFonts w:hint="default" w:ascii="Times New Roman" w:hAnsi="Times New Roman" w:eastAsia="宋体" w:cs="Times New Roman"/>
          <w:u w:val="single"/>
          <w:lang w:val="en-US" w:eastAsia="zh-CN"/>
        </w:rPr>
      </w:pPr>
      <w:r>
        <w:rPr>
          <w:rFonts w:hint="default" w:ascii="Times New Roman" w:hAnsi="Times New Roman" w:eastAsia="宋体" w:cs="Times New Roman"/>
          <w:b/>
          <w:bCs/>
          <w:sz w:val="32"/>
          <w:szCs w:val="32"/>
        </w:rPr>
        <w:t>绩效自评日期</w:t>
      </w:r>
      <w:r>
        <w:rPr>
          <w:rFonts w:hint="default" w:ascii="Times New Roman" w:hAnsi="Times New Roman" w:cs="Times New Roman"/>
          <w:b/>
          <w:bCs/>
          <w:sz w:val="32"/>
          <w:szCs w:val="32"/>
          <w:lang w:eastAsia="zh-CN"/>
        </w:rPr>
        <w:t>：</w:t>
      </w:r>
      <w:r>
        <w:rPr>
          <w:rFonts w:hint="default" w:ascii="Times New Roman" w:hAnsi="Times New Roman" w:cs="Times New Roman"/>
          <w:b/>
          <w:bCs/>
          <w:sz w:val="32"/>
          <w:szCs w:val="32"/>
          <w:u w:val="single"/>
          <w:lang w:val="en-US" w:eastAsia="zh-CN"/>
        </w:rPr>
        <w:t xml:space="preserve">     2023年4月         </w:t>
      </w:r>
    </w:p>
    <w:p>
      <w:pPr>
        <w:pStyle w:val="2"/>
        <w:rPr>
          <w:rFonts w:hint="default" w:ascii="Times New Roman" w:hAnsi="Times New Roman" w:cs="Times New Roman"/>
        </w:rPr>
      </w:pPr>
    </w:p>
    <w:p>
      <w:pPr>
        <w:adjustRightInd w:val="0"/>
        <w:snapToGrid w:val="0"/>
        <w:spacing w:line="360" w:lineRule="auto"/>
        <w:ind w:left="1260" w:leftChars="600"/>
        <w:jc w:val="center"/>
        <w:rPr>
          <w:rFonts w:hint="eastAsia" w:ascii="黑体" w:hAnsi="黑体" w:eastAsia="黑体" w:cs="黑体"/>
          <w:b/>
          <w:bCs/>
          <w:sz w:val="28"/>
          <w:szCs w:val="28"/>
        </w:rPr>
      </w:pPr>
      <w:bookmarkStart w:id="0" w:name="_Toc21330"/>
      <w:r>
        <w:rPr>
          <w:rFonts w:hint="eastAsia" w:ascii="黑体" w:hAnsi="黑体" w:eastAsia="黑体" w:cs="黑体"/>
          <w:b/>
          <w:bCs/>
          <w:sz w:val="28"/>
          <w:szCs w:val="28"/>
        </w:rPr>
        <w:t>20</w:t>
      </w:r>
      <w:r>
        <w:rPr>
          <w:rFonts w:hint="eastAsia" w:ascii="黑体" w:hAnsi="黑体" w:eastAsia="黑体" w:cs="黑体"/>
          <w:b/>
          <w:bCs/>
          <w:sz w:val="28"/>
          <w:szCs w:val="28"/>
          <w:lang w:val="en-US" w:eastAsia="zh-CN"/>
        </w:rPr>
        <w:t>23</w:t>
      </w:r>
      <w:r>
        <w:rPr>
          <w:rFonts w:hint="eastAsia" w:ascii="黑体" w:hAnsi="黑体" w:eastAsia="黑体" w:cs="黑体"/>
          <w:b/>
          <w:bCs/>
          <w:sz w:val="28"/>
          <w:szCs w:val="28"/>
        </w:rPr>
        <w:t>年</w:t>
      </w:r>
      <w:r>
        <w:rPr>
          <w:rFonts w:hint="eastAsia" w:ascii="黑体" w:hAnsi="黑体" w:eastAsia="黑体" w:cs="黑体"/>
          <w:b/>
          <w:bCs/>
          <w:sz w:val="28"/>
          <w:szCs w:val="28"/>
          <w:lang w:val="en-US" w:eastAsia="zh-CN"/>
        </w:rPr>
        <w:t>4</w:t>
      </w:r>
      <w:r>
        <w:rPr>
          <w:rFonts w:hint="eastAsia" w:ascii="黑体" w:hAnsi="黑体" w:eastAsia="黑体" w:cs="黑体"/>
          <w:b/>
          <w:bCs/>
          <w:sz w:val="28"/>
          <w:szCs w:val="28"/>
        </w:rPr>
        <w:t>月</w:t>
      </w:r>
      <w:bookmarkEnd w:id="0"/>
    </w:p>
    <w:p>
      <w:pPr>
        <w:jc w:val="center"/>
        <w:rPr>
          <w:rFonts w:hint="default" w:ascii="Times New Roman" w:hAnsi="Times New Roman" w:eastAsia="宋体" w:cs="Times New Roman"/>
          <w:b/>
          <w:bCs/>
          <w:sz w:val="32"/>
          <w:szCs w:val="32"/>
        </w:rPr>
      </w:pPr>
    </w:p>
    <w:p>
      <w:pPr>
        <w:jc w:val="center"/>
        <w:rPr>
          <w:rFonts w:hint="default" w:ascii="Times New Roman" w:hAnsi="Times New Roman" w:eastAsia="黑体" w:cs="Times New Roman"/>
          <w:b/>
          <w:bCs/>
          <w:sz w:val="28"/>
          <w:szCs w:val="28"/>
        </w:rPr>
      </w:pPr>
    </w:p>
    <w:p>
      <w:pPr>
        <w:jc w:val="center"/>
        <w:rPr>
          <w:rFonts w:hint="default" w:ascii="Times New Roman" w:hAnsi="Times New Roman" w:eastAsia="黑体" w:cs="Times New Roman"/>
          <w:b/>
          <w:bCs/>
          <w:sz w:val="28"/>
          <w:szCs w:val="28"/>
        </w:rPr>
      </w:pPr>
    </w:p>
    <w:p>
      <w:pPr>
        <w:jc w:val="center"/>
        <w:rPr>
          <w:rFonts w:hint="default" w:ascii="Times New Roman" w:hAnsi="Times New Roman" w:eastAsia="黑体" w:cs="Times New Roman"/>
          <w:b/>
          <w:bCs/>
          <w:sz w:val="28"/>
          <w:szCs w:val="28"/>
        </w:rPr>
      </w:pPr>
    </w:p>
    <w:p>
      <w:pPr>
        <w:jc w:val="center"/>
        <w:rPr>
          <w:rFonts w:hint="default" w:ascii="Times New Roman" w:hAnsi="Times New Roman" w:eastAsia="仿宋_GB2312" w:cs="Times New Roman"/>
          <w:b/>
          <w:bCs/>
          <w:sz w:val="28"/>
          <w:szCs w:val="28"/>
        </w:rPr>
      </w:pPr>
    </w:p>
    <w:p>
      <w:pPr>
        <w:widowControl/>
        <w:jc w:val="left"/>
        <w:rPr>
          <w:rFonts w:hint="default" w:ascii="Times New Roman" w:hAnsi="Times New Roman" w:eastAsia="仿宋_GB2312" w:cs="Times New Roman"/>
          <w:b/>
          <w:bCs/>
          <w:sz w:val="28"/>
          <w:szCs w:val="28"/>
        </w:rPr>
        <w:sectPr>
          <w:pgSz w:w="11906" w:h="16838"/>
          <w:pgMar w:top="1440" w:right="1800" w:bottom="1440" w:left="1800" w:header="851" w:footer="992" w:gutter="0"/>
          <w:pgNumType w:fmt="upperRoman"/>
          <w:cols w:space="425" w:num="1"/>
          <w:titlePg/>
          <w:docGrid w:type="lines" w:linePitch="312" w:charSpace="0"/>
        </w:sectPr>
      </w:pPr>
    </w:p>
    <w:p>
      <w:pPr>
        <w:pStyle w:val="11"/>
        <w:widowControl w:val="0"/>
        <w:spacing w:after="0" w:line="360" w:lineRule="auto"/>
        <w:ind w:left="420" w:leftChars="200"/>
        <w:jc w:val="both"/>
        <w:rPr>
          <w:rFonts w:hint="default" w:ascii="Times New Roman" w:hAnsi="Times New Roman" w:eastAsia="黑体" w:cs="Times New Roman"/>
          <w:kern w:val="2"/>
          <w:sz w:val="24"/>
          <w:szCs w:val="24"/>
          <w:lang w:val="zh-TW" w:eastAsia="zh-TW"/>
        </w:rPr>
      </w:pPr>
      <w:r>
        <w:rPr>
          <w:rFonts w:hint="default" w:ascii="Times New Roman" w:hAnsi="Times New Roman" w:eastAsia="黑体" w:cs="Times New Roman"/>
          <w:kern w:val="2"/>
          <w:sz w:val="24"/>
          <w:szCs w:val="24"/>
          <w:lang w:val="zh-TW" w:eastAsia="zh-TW"/>
        </w:rPr>
        <w:t>评价小组成员：</w:t>
      </w:r>
    </w:p>
    <w:tbl>
      <w:tblPr>
        <w:tblStyle w:val="9"/>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评价小组</w:t>
            </w:r>
          </w:p>
          <w:p>
            <w:pPr>
              <w:pStyle w:val="11"/>
              <w:widowControl w:val="0"/>
              <w:spacing w:after="0" w:line="24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机构职位</w:t>
            </w:r>
          </w:p>
        </w:tc>
        <w:tc>
          <w:tcPr>
            <w:tcW w:w="1620" w:type="dxa"/>
            <w:vAlign w:val="center"/>
          </w:tcPr>
          <w:p>
            <w:pPr>
              <w:pStyle w:val="11"/>
              <w:widowControl w:val="0"/>
              <w:spacing w:after="0" w:line="24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姓名</w:t>
            </w:r>
          </w:p>
        </w:tc>
        <w:tc>
          <w:tcPr>
            <w:tcW w:w="1620" w:type="dxa"/>
            <w:vAlign w:val="center"/>
          </w:tcPr>
          <w:p>
            <w:pPr>
              <w:pStyle w:val="11"/>
              <w:widowControl w:val="0"/>
              <w:spacing w:after="0" w:line="24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职务/职称</w:t>
            </w:r>
          </w:p>
        </w:tc>
        <w:tc>
          <w:tcPr>
            <w:tcW w:w="1621" w:type="dxa"/>
            <w:vAlign w:val="center"/>
          </w:tcPr>
          <w:p>
            <w:pPr>
              <w:pStyle w:val="11"/>
              <w:widowControl w:val="0"/>
              <w:spacing w:after="0" w:line="24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所属</w:t>
            </w:r>
          </w:p>
          <w:p>
            <w:pPr>
              <w:pStyle w:val="11"/>
              <w:widowControl w:val="0"/>
              <w:spacing w:after="0" w:line="24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单位/处室</w:t>
            </w:r>
          </w:p>
        </w:tc>
        <w:tc>
          <w:tcPr>
            <w:tcW w:w="1621" w:type="dxa"/>
            <w:vAlign w:val="center"/>
          </w:tcPr>
          <w:p>
            <w:pPr>
              <w:pStyle w:val="11"/>
              <w:widowControl w:val="0"/>
              <w:spacing w:after="0" w:line="24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组长</w:t>
            </w:r>
          </w:p>
        </w:tc>
        <w:tc>
          <w:tcPr>
            <w:tcW w:w="1620" w:type="dxa"/>
          </w:tcPr>
          <w:p>
            <w:pPr>
              <w:pStyle w:val="11"/>
              <w:widowControl w:val="0"/>
              <w:spacing w:after="0" w:line="240" w:lineRule="auto"/>
              <w:jc w:val="both"/>
              <w:rPr>
                <w:rFonts w:hint="default" w:ascii="Times New Roman" w:hAnsi="Times New Roman" w:eastAsia="黑体" w:cs="Times New Roman"/>
                <w:kern w:val="2"/>
                <w:sz w:val="24"/>
                <w:szCs w:val="24"/>
                <w:lang w:val="zh-TW" w:eastAsia="zh-TW"/>
              </w:rPr>
            </w:pPr>
          </w:p>
        </w:tc>
        <w:tc>
          <w:tcPr>
            <w:tcW w:w="1620" w:type="dxa"/>
          </w:tcPr>
          <w:p>
            <w:pPr>
              <w:pStyle w:val="11"/>
              <w:widowControl w:val="0"/>
              <w:spacing w:after="0" w:line="240" w:lineRule="auto"/>
              <w:jc w:val="both"/>
              <w:rPr>
                <w:rFonts w:hint="default" w:ascii="Times New Roman" w:hAnsi="Times New Roman" w:eastAsia="黑体" w:cs="Times New Roman"/>
                <w:kern w:val="2"/>
                <w:sz w:val="24"/>
                <w:szCs w:val="24"/>
                <w:lang w:val="zh-TW" w:eastAsia="zh-TW"/>
              </w:rPr>
            </w:pPr>
          </w:p>
        </w:tc>
        <w:tc>
          <w:tcPr>
            <w:tcW w:w="1621" w:type="dxa"/>
          </w:tcPr>
          <w:p>
            <w:pPr>
              <w:pStyle w:val="11"/>
              <w:widowControl w:val="0"/>
              <w:spacing w:after="0" w:line="240" w:lineRule="auto"/>
              <w:jc w:val="both"/>
              <w:rPr>
                <w:rFonts w:hint="default" w:ascii="Times New Roman" w:hAnsi="Times New Roman" w:eastAsia="黑体" w:cs="Times New Roman"/>
                <w:kern w:val="2"/>
                <w:sz w:val="24"/>
                <w:szCs w:val="24"/>
                <w:lang w:val="zh-TW" w:eastAsia="zh-TW"/>
              </w:rPr>
            </w:pPr>
          </w:p>
        </w:tc>
        <w:tc>
          <w:tcPr>
            <w:tcW w:w="1621" w:type="dxa"/>
          </w:tcPr>
          <w:p>
            <w:pPr>
              <w:pStyle w:val="11"/>
              <w:widowControl w:val="0"/>
              <w:spacing w:after="0" w:line="240" w:lineRule="auto"/>
              <w:jc w:val="both"/>
              <w:rPr>
                <w:rFonts w:hint="default"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副组长</w:t>
            </w:r>
          </w:p>
        </w:tc>
        <w:tc>
          <w:tcPr>
            <w:tcW w:w="1620"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c>
          <w:tcPr>
            <w:tcW w:w="1620"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c>
          <w:tcPr>
            <w:tcW w:w="1621"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c>
          <w:tcPr>
            <w:tcW w:w="1621"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成员</w:t>
            </w:r>
          </w:p>
        </w:tc>
        <w:tc>
          <w:tcPr>
            <w:tcW w:w="1620"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c>
          <w:tcPr>
            <w:tcW w:w="1620"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c>
          <w:tcPr>
            <w:tcW w:w="1621"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c>
          <w:tcPr>
            <w:tcW w:w="1621"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w:t>
            </w:r>
          </w:p>
        </w:tc>
        <w:tc>
          <w:tcPr>
            <w:tcW w:w="1620"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c>
          <w:tcPr>
            <w:tcW w:w="1620"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c>
          <w:tcPr>
            <w:tcW w:w="1621"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c>
          <w:tcPr>
            <w:tcW w:w="1621" w:type="dxa"/>
          </w:tcPr>
          <w:p>
            <w:pPr>
              <w:pStyle w:val="11"/>
              <w:widowControl w:val="0"/>
              <w:spacing w:after="0" w:line="360" w:lineRule="auto"/>
              <w:jc w:val="both"/>
              <w:rPr>
                <w:rFonts w:hint="default"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1"/>
              <w:widowControl w:val="0"/>
              <w:spacing w:after="0" w:line="360" w:lineRule="auto"/>
              <w:jc w:val="both"/>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报告撰写人（签字）：</w:t>
            </w:r>
          </w:p>
          <w:p>
            <w:pPr>
              <w:pStyle w:val="11"/>
              <w:widowControl w:val="0"/>
              <w:spacing w:after="0" w:line="360" w:lineRule="auto"/>
              <w:jc w:val="both"/>
              <w:rPr>
                <w:rFonts w:hint="default" w:ascii="Times New Roman" w:hAnsi="Times New Roman" w:eastAsia="黑体" w:cs="Times New Roman"/>
                <w:kern w:val="2"/>
                <w:sz w:val="24"/>
                <w:szCs w:val="24"/>
                <w:lang w:val="zh-TW"/>
              </w:rPr>
            </w:pPr>
          </w:p>
          <w:p>
            <w:pPr>
              <w:pStyle w:val="11"/>
              <w:widowControl w:val="0"/>
              <w:spacing w:after="0" w:line="360" w:lineRule="auto"/>
              <w:jc w:val="both"/>
              <w:rPr>
                <w:rFonts w:hint="default" w:ascii="Times New Roman" w:hAnsi="Times New Roman" w:eastAsia="黑体" w:cs="Times New Roman"/>
                <w:kern w:val="2"/>
                <w:sz w:val="24"/>
                <w:szCs w:val="24"/>
                <w:lang w:val="zh-TW"/>
              </w:rPr>
            </w:pPr>
          </w:p>
          <w:p>
            <w:pPr>
              <w:pStyle w:val="11"/>
              <w:widowControl w:val="0"/>
              <w:wordWrap w:val="0"/>
              <w:spacing w:after="0" w:line="360" w:lineRule="auto"/>
              <w:jc w:val="right"/>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1"/>
              <w:widowControl w:val="0"/>
              <w:spacing w:after="0" w:line="360" w:lineRule="auto"/>
              <w:jc w:val="both"/>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评价工作负责人（签字）：</w:t>
            </w:r>
          </w:p>
          <w:p>
            <w:pPr>
              <w:pStyle w:val="11"/>
              <w:widowControl w:val="0"/>
              <w:spacing w:after="0" w:line="360" w:lineRule="auto"/>
              <w:jc w:val="both"/>
              <w:rPr>
                <w:rFonts w:hint="default" w:ascii="Times New Roman" w:hAnsi="Times New Roman" w:eastAsia="黑体" w:cs="Times New Roman"/>
                <w:kern w:val="2"/>
                <w:sz w:val="24"/>
                <w:szCs w:val="24"/>
                <w:lang w:val="zh-TW"/>
              </w:rPr>
            </w:pPr>
          </w:p>
          <w:p>
            <w:pPr>
              <w:pStyle w:val="11"/>
              <w:widowControl w:val="0"/>
              <w:spacing w:after="0" w:line="360" w:lineRule="auto"/>
              <w:jc w:val="both"/>
              <w:rPr>
                <w:rFonts w:hint="default" w:ascii="Times New Roman" w:hAnsi="Times New Roman" w:eastAsia="黑体" w:cs="Times New Roman"/>
                <w:kern w:val="2"/>
                <w:sz w:val="24"/>
                <w:szCs w:val="24"/>
                <w:lang w:val="zh-TW"/>
              </w:rPr>
            </w:pPr>
          </w:p>
          <w:p>
            <w:pPr>
              <w:pStyle w:val="11"/>
              <w:widowControl w:val="0"/>
              <w:wordWrap w:val="0"/>
              <w:spacing w:after="0" w:line="360" w:lineRule="auto"/>
              <w:jc w:val="right"/>
              <w:rPr>
                <w:rFonts w:hint="default" w:ascii="Times New Roman" w:hAnsi="Times New Roman" w:eastAsia="黑体" w:cs="Times New Roman"/>
                <w:kern w:val="2"/>
                <w:sz w:val="24"/>
                <w:szCs w:val="24"/>
                <w:lang w:val="zh-TW"/>
              </w:rPr>
            </w:pPr>
            <w:r>
              <w:rPr>
                <w:rFonts w:hint="default" w:ascii="Times New Roman" w:hAnsi="Times New Roman" w:eastAsia="黑体" w:cs="Times New Roman"/>
                <w:kern w:val="2"/>
                <w:sz w:val="24"/>
                <w:szCs w:val="24"/>
                <w:lang w:val="zh-TW"/>
              </w:rPr>
              <w:t>年  月  日</w:t>
            </w:r>
          </w:p>
        </w:tc>
      </w:tr>
    </w:tbl>
    <w:p>
      <w:pPr>
        <w:pStyle w:val="11"/>
        <w:widowControl w:val="0"/>
        <w:spacing w:after="0" w:line="360" w:lineRule="auto"/>
        <w:ind w:firstLine="566" w:firstLineChars="236"/>
        <w:jc w:val="both"/>
        <w:rPr>
          <w:rFonts w:hint="default" w:ascii="Times New Roman" w:hAnsi="Times New Roman" w:eastAsia="PMingLiU" w:cs="Times New Roman"/>
          <w:kern w:val="2"/>
          <w:sz w:val="24"/>
          <w:szCs w:val="24"/>
          <w:lang w:val="zh-TW" w:eastAsia="zh-TW"/>
        </w:rPr>
      </w:pPr>
    </w:p>
    <w:p>
      <w:pPr>
        <w:pStyle w:val="11"/>
        <w:widowControl w:val="0"/>
        <w:spacing w:after="0" w:line="360" w:lineRule="auto"/>
        <w:jc w:val="both"/>
        <w:rPr>
          <w:rFonts w:hint="default" w:ascii="Times New Roman" w:hAnsi="Times New Roman" w:cs="Times New Roman"/>
          <w:kern w:val="2"/>
          <w:sz w:val="24"/>
          <w:szCs w:val="24"/>
          <w:lang w:val="zh-TW"/>
        </w:rPr>
        <w:sectPr>
          <w:footerReference r:id="rId3" w:type="default"/>
          <w:pgSz w:w="11906" w:h="16838"/>
          <w:pgMar w:top="1440" w:right="1800" w:bottom="1440" w:left="1800" w:header="851" w:footer="992" w:gutter="0"/>
          <w:pgNumType w:fmt="upperRoman" w:start="1"/>
          <w:cols w:space="425" w:num="1"/>
          <w:docGrid w:type="lines" w:linePitch="312" w:charSpace="0"/>
        </w:sectPr>
      </w:pP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sdt>
      <w:sdtPr>
        <w:rPr>
          <w:rFonts w:hint="default" w:ascii="Times New Roman" w:hAnsi="Times New Roman" w:eastAsia="宋体" w:cs="Times New Roman"/>
          <w:kern w:val="2"/>
          <w:sz w:val="28"/>
          <w:szCs w:val="28"/>
          <w:lang w:val="en-US" w:eastAsia="zh-CN" w:bidi="ar-SA"/>
        </w:rPr>
        <w:id w:val="147464624"/>
        <w15:color w:val="DBDBDB"/>
        <w:docPartObj>
          <w:docPartGallery w:val="Table of Contents"/>
          <w:docPartUnique/>
        </w:docPartObj>
      </w:sdtPr>
      <w:sdtEndPr>
        <w:rPr>
          <w:rFonts w:hint="default" w:ascii="Times New Roman" w:hAnsi="Times New Roman" w:eastAsia="黑体" w:cs="Times New Roman"/>
          <w:b/>
          <w:kern w:val="2"/>
          <w:sz w:val="21"/>
          <w:szCs w:val="32"/>
          <w:lang w:val="en-US" w:eastAsia="zh-CN" w:bidi="ar-SA"/>
        </w:rPr>
      </w:sdtEndPr>
      <w:sdtContent>
        <w:p>
          <w:pPr>
            <w:spacing w:before="0" w:beforeLines="0" w:after="0" w:afterLines="0" w:line="240" w:lineRule="auto"/>
            <w:ind w:left="0" w:leftChars="0" w:right="0" w:rightChars="0" w:firstLine="0" w:firstLineChars="0"/>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sz w:val="28"/>
              <w:szCs w:val="28"/>
            </w:rPr>
            <w:t>目</w:t>
          </w:r>
          <w:r>
            <w:rPr>
              <w:rFonts w:hint="default" w:ascii="Times New Roman" w:hAnsi="Times New Roman" w:cs="Times New Roman"/>
              <w:sz w:val="28"/>
              <w:szCs w:val="28"/>
              <w:lang w:eastAsia="zh-CN"/>
            </w:rPr>
            <w:t>　</w:t>
          </w:r>
          <w:r>
            <w:rPr>
              <w:rFonts w:hint="default" w:ascii="Times New Roman" w:hAnsi="Times New Roman" w:eastAsia="宋体" w:cs="Times New Roman"/>
              <w:sz w:val="28"/>
              <w:szCs w:val="28"/>
            </w:rPr>
            <w:t>录</w:t>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TOC \o "1-2" \h \u </w:instrText>
          </w:r>
          <w:r>
            <w:rPr>
              <w:rFonts w:hint="default" w:ascii="Times New Roman" w:hAnsi="Times New Roman" w:eastAsia="宋体" w:cs="Times New Roman"/>
              <w:b w:val="0"/>
              <w:bCs w:val="0"/>
              <w:sz w:val="28"/>
              <w:szCs w:val="28"/>
            </w:rPr>
            <w:fldChar w:fldCharType="separate"/>
          </w:r>
        </w:p>
        <w:p>
          <w:pPr>
            <w:pStyle w:val="17"/>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_Toc30755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0"/>
              <w:sz w:val="28"/>
              <w:szCs w:val="28"/>
            </w:rPr>
            <w:t>一</w:t>
          </w:r>
          <w:r>
            <w:rPr>
              <w:rFonts w:hint="default" w:ascii="Times New Roman" w:hAnsi="Times New Roman" w:cs="Times New Roman"/>
              <w:b w:val="0"/>
              <w:bCs w:val="0"/>
              <w:kern w:val="0"/>
              <w:sz w:val="28"/>
              <w:szCs w:val="28"/>
              <w:lang w:eastAsia="zh-CN"/>
            </w:rPr>
            <w:t>.</w:t>
          </w:r>
          <w:r>
            <w:rPr>
              <w:rFonts w:hint="default" w:ascii="Times New Roman" w:hAnsi="Times New Roman" w:eastAsia="宋体" w:cs="Times New Roman"/>
              <w:b w:val="0"/>
              <w:bCs w:val="0"/>
              <w:kern w:val="0"/>
              <w:sz w:val="28"/>
              <w:szCs w:val="28"/>
            </w:rPr>
            <w:t>项目基本情况</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_Toc30755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1</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_Toc2890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（一）项目概况</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_Toc2890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1</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_Toc27757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（二）绩效目标</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_Toc27757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3</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7"/>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_Toc14827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0"/>
              <w:sz w:val="28"/>
              <w:szCs w:val="28"/>
            </w:rPr>
            <w:t>二</w:t>
          </w:r>
          <w:r>
            <w:rPr>
              <w:rFonts w:hint="default" w:ascii="Times New Roman" w:hAnsi="Times New Roman" w:cs="Times New Roman"/>
              <w:b w:val="0"/>
              <w:bCs w:val="0"/>
              <w:kern w:val="0"/>
              <w:sz w:val="28"/>
              <w:szCs w:val="28"/>
              <w:lang w:eastAsia="zh-CN"/>
            </w:rPr>
            <w:t>.</w:t>
          </w:r>
          <w:r>
            <w:rPr>
              <w:rFonts w:hint="default" w:ascii="Times New Roman" w:hAnsi="Times New Roman" w:eastAsia="宋体" w:cs="Times New Roman"/>
              <w:b w:val="0"/>
              <w:bCs w:val="0"/>
              <w:kern w:val="0"/>
              <w:sz w:val="28"/>
              <w:szCs w:val="28"/>
            </w:rPr>
            <w:t>绩效评价工作情况</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_Toc14827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3</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_Toc31919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（一）绩效评价目的</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_Toc31919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3</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_Toc30942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（二）绩效评价工作方案制定过程</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_Toc30942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4</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_Toc9290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（三）绩效评价原则</w:t>
          </w:r>
          <w:r>
            <w:rPr>
              <w:rFonts w:hint="default" w:ascii="Times New Roman" w:hAnsi="Times New Roman" w:cs="Times New Roman"/>
              <w:b w:val="0"/>
              <w:bCs w:val="0"/>
              <w:kern w:val="30"/>
              <w:sz w:val="28"/>
              <w:szCs w:val="28"/>
              <w:lang w:eastAsia="zh-CN"/>
            </w:rPr>
            <w:t>.</w:t>
          </w:r>
          <w:r>
            <w:rPr>
              <w:rFonts w:hint="default" w:ascii="Times New Roman" w:hAnsi="Times New Roman" w:eastAsia="宋体" w:cs="Times New Roman"/>
              <w:b w:val="0"/>
              <w:bCs w:val="0"/>
              <w:kern w:val="30"/>
              <w:sz w:val="28"/>
              <w:szCs w:val="28"/>
            </w:rPr>
            <w:t>评价方法</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_Toc9290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5</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_Toc14793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（四）绩效评价实施过程</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_Toc14793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6</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_Toc2809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（五）本次绩效评价的局限性</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_Toc2809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6</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7"/>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_Toc6038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0"/>
              <w:sz w:val="28"/>
              <w:szCs w:val="28"/>
            </w:rPr>
            <w:t>三</w:t>
          </w:r>
          <w:r>
            <w:rPr>
              <w:rFonts w:hint="default" w:ascii="Times New Roman" w:hAnsi="Times New Roman" w:cs="Times New Roman"/>
              <w:b w:val="0"/>
              <w:bCs w:val="0"/>
              <w:kern w:val="0"/>
              <w:sz w:val="28"/>
              <w:szCs w:val="28"/>
              <w:lang w:eastAsia="zh-CN"/>
            </w:rPr>
            <w:t>.</w:t>
          </w:r>
          <w:r>
            <w:rPr>
              <w:rFonts w:hint="default" w:ascii="Times New Roman" w:hAnsi="Times New Roman" w:eastAsia="宋体" w:cs="Times New Roman"/>
              <w:b w:val="0"/>
              <w:bCs w:val="0"/>
              <w:kern w:val="0"/>
              <w:sz w:val="28"/>
              <w:szCs w:val="28"/>
            </w:rPr>
            <w:t>评价结论和绩效分析</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_Toc6038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6</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_Toc4518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（一）评价结论</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_Toc4518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6</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_Toc8813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（二）具体绩效分析</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_Toc8813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7</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7"/>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_Toc5920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0"/>
              <w:sz w:val="28"/>
              <w:szCs w:val="28"/>
            </w:rPr>
            <w:t>四</w:t>
          </w:r>
          <w:r>
            <w:rPr>
              <w:rFonts w:hint="default" w:ascii="Times New Roman" w:hAnsi="Times New Roman" w:cs="Times New Roman"/>
              <w:b w:val="0"/>
              <w:bCs w:val="0"/>
              <w:kern w:val="0"/>
              <w:sz w:val="28"/>
              <w:szCs w:val="28"/>
              <w:lang w:eastAsia="zh-CN"/>
            </w:rPr>
            <w:t>.</w:t>
          </w:r>
          <w:r>
            <w:rPr>
              <w:rFonts w:hint="default" w:ascii="Times New Roman" w:hAnsi="Times New Roman" w:eastAsia="宋体" w:cs="Times New Roman"/>
              <w:b w:val="0"/>
              <w:bCs w:val="0"/>
              <w:kern w:val="0"/>
              <w:sz w:val="28"/>
              <w:szCs w:val="28"/>
            </w:rPr>
            <w:t>成本效益分析</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_Toc5920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8</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7"/>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_Toc6176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0"/>
              <w:sz w:val="28"/>
              <w:szCs w:val="28"/>
            </w:rPr>
            <w:t>五</w:t>
          </w:r>
          <w:r>
            <w:rPr>
              <w:rFonts w:hint="default" w:ascii="Times New Roman" w:hAnsi="Times New Roman" w:cs="Times New Roman"/>
              <w:b w:val="0"/>
              <w:bCs w:val="0"/>
              <w:kern w:val="0"/>
              <w:sz w:val="28"/>
              <w:szCs w:val="28"/>
              <w:lang w:eastAsia="zh-CN"/>
            </w:rPr>
            <w:t>.</w:t>
          </w:r>
          <w:r>
            <w:rPr>
              <w:rFonts w:hint="default" w:ascii="Times New Roman" w:hAnsi="Times New Roman" w:eastAsia="宋体" w:cs="Times New Roman"/>
              <w:b w:val="0"/>
              <w:bCs w:val="0"/>
              <w:kern w:val="0"/>
              <w:sz w:val="28"/>
              <w:szCs w:val="28"/>
            </w:rPr>
            <w:t>主要经验及做法</w:t>
          </w:r>
          <w:r>
            <w:rPr>
              <w:rFonts w:hint="default" w:ascii="Times New Roman" w:hAnsi="Times New Roman" w:cs="Times New Roman"/>
              <w:b w:val="0"/>
              <w:bCs w:val="0"/>
              <w:kern w:val="0"/>
              <w:sz w:val="28"/>
              <w:szCs w:val="28"/>
              <w:lang w:eastAsia="zh-CN"/>
            </w:rPr>
            <w:t>.</w:t>
          </w:r>
          <w:r>
            <w:rPr>
              <w:rFonts w:hint="default" w:ascii="Times New Roman" w:hAnsi="Times New Roman" w:eastAsia="宋体" w:cs="Times New Roman"/>
              <w:b w:val="0"/>
              <w:bCs w:val="0"/>
              <w:kern w:val="0"/>
              <w:sz w:val="28"/>
              <w:szCs w:val="28"/>
            </w:rPr>
            <w:t>存在的问题和建议</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_Toc6176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8</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_Toc15170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（一）主要经验及做法</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_Toc15170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8</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_Toc21799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kern w:val="30"/>
              <w:sz w:val="28"/>
              <w:szCs w:val="28"/>
            </w:rPr>
            <w:t>（二）存在的问题</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_Toc21799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9</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pStyle w:val="18"/>
            <w:keepNext w:val="0"/>
            <w:keepLines w:val="0"/>
            <w:pageBreakBefore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HYPERLINK \l _Toc23687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（三）建议和改进措施</w:t>
          </w:r>
          <w:r>
            <w:rPr>
              <w:rFonts w:hint="default" w:ascii="Times New Roman" w:hAnsi="Times New Roman" w:eastAsia="宋体" w:cs="Times New Roman"/>
              <w:b w:val="0"/>
              <w:bCs w:val="0"/>
              <w:sz w:val="28"/>
              <w:szCs w:val="28"/>
            </w:rPr>
            <w:tab/>
          </w:r>
          <w:r>
            <w:rPr>
              <w:rFonts w:hint="default" w:ascii="Times New Roman" w:hAnsi="Times New Roman" w:eastAsia="宋体" w:cs="Times New Roman"/>
              <w:b w:val="0"/>
              <w:bCs w:val="0"/>
              <w:sz w:val="28"/>
              <w:szCs w:val="28"/>
            </w:rPr>
            <w:fldChar w:fldCharType="begin"/>
          </w:r>
          <w:r>
            <w:rPr>
              <w:rFonts w:hint="default" w:ascii="Times New Roman" w:hAnsi="Times New Roman" w:eastAsia="宋体" w:cs="Times New Roman"/>
              <w:b w:val="0"/>
              <w:bCs w:val="0"/>
              <w:sz w:val="28"/>
              <w:szCs w:val="28"/>
            </w:rPr>
            <w:instrText xml:space="preserve"> PAGEREF _Toc23687 \h </w:instrText>
          </w:r>
          <w:r>
            <w:rPr>
              <w:rFonts w:hint="default" w:ascii="Times New Roman" w:hAnsi="Times New Roman" w:eastAsia="宋体" w:cs="Times New Roman"/>
              <w:b w:val="0"/>
              <w:bCs w:val="0"/>
              <w:sz w:val="28"/>
              <w:szCs w:val="28"/>
            </w:rPr>
            <w:fldChar w:fldCharType="separate"/>
          </w:r>
          <w:r>
            <w:rPr>
              <w:rFonts w:hint="default" w:ascii="Times New Roman" w:hAnsi="Times New Roman" w:eastAsia="宋体" w:cs="Times New Roman"/>
              <w:b w:val="0"/>
              <w:bCs w:val="0"/>
              <w:sz w:val="28"/>
              <w:szCs w:val="28"/>
            </w:rPr>
            <w:t>9</w:t>
          </w:r>
          <w:r>
            <w:rPr>
              <w:rFonts w:hint="default" w:ascii="Times New Roman" w:hAnsi="Times New Roman" w:eastAsia="宋体" w:cs="Times New Roman"/>
              <w:b w:val="0"/>
              <w:bCs w:val="0"/>
              <w:sz w:val="28"/>
              <w:szCs w:val="28"/>
            </w:rPr>
            <w:fldChar w:fldCharType="end"/>
          </w:r>
          <w:r>
            <w:rPr>
              <w:rFonts w:hint="default" w:ascii="Times New Roman" w:hAnsi="Times New Roman" w:eastAsia="宋体" w:cs="Times New Roman"/>
              <w:b w:val="0"/>
              <w:bCs w:val="0"/>
              <w:sz w:val="28"/>
              <w:szCs w:val="28"/>
            </w:rPr>
            <w:fldChar w:fldCharType="end"/>
          </w: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Times New Roman" w:hAnsi="Times New Roman" w:eastAsia="黑体" w:cs="Times New Roman"/>
              <w:szCs w:val="32"/>
            </w:rPr>
          </w:pPr>
          <w:r>
            <w:rPr>
              <w:rFonts w:hint="default" w:ascii="Times New Roman" w:hAnsi="Times New Roman" w:eastAsia="宋体" w:cs="Times New Roman"/>
              <w:b w:val="0"/>
              <w:bCs w:val="0"/>
              <w:sz w:val="28"/>
              <w:szCs w:val="28"/>
            </w:rPr>
            <w:fldChar w:fldCharType="end"/>
          </w:r>
        </w:p>
      </w:sdtContent>
    </w:sdt>
    <w:p>
      <w:pPr>
        <w:rPr>
          <w:rFonts w:hint="default" w:ascii="Times New Roman" w:hAnsi="Times New Roman" w:cs="Times New Roman"/>
          <w:lang w:val="en-US" w:eastAsia="zh-CN"/>
        </w:rPr>
      </w:pPr>
      <w:bookmarkStart w:id="1" w:name="_Toc18085"/>
      <w:r>
        <w:rPr>
          <w:rFonts w:hint="default" w:ascii="Times New Roman" w:hAnsi="Times New Roman" w:cs="Times New Roman"/>
          <w:lang w:val="en-US" w:eastAsia="zh-CN"/>
        </w:rPr>
        <w:br w:type="page"/>
      </w:r>
    </w:p>
    <w:p>
      <w:pPr>
        <w:pStyle w:val="2"/>
        <w:bidi w:val="0"/>
        <w:jc w:val="center"/>
        <w:rPr>
          <w:rFonts w:hint="default" w:ascii="Times New Roman" w:hAnsi="Times New Roman" w:eastAsia="方正小标宋简体" w:cs="Times New Roman"/>
          <w:b w:val="0"/>
          <w:bCs w:val="0"/>
          <w:sz w:val="32"/>
          <w:szCs w:val="32"/>
          <w:lang w:val="en-US" w:eastAsia="zh-CN"/>
        </w:rPr>
      </w:pPr>
      <w:r>
        <w:rPr>
          <w:rFonts w:hint="default" w:ascii="Times New Roman" w:hAnsi="Times New Roman" w:eastAsia="方正小标宋简体" w:cs="Times New Roman"/>
          <w:b w:val="0"/>
          <w:bCs w:val="0"/>
          <w:sz w:val="32"/>
          <w:szCs w:val="32"/>
          <w:lang w:val="en-US" w:eastAsia="zh-CN"/>
        </w:rPr>
        <w:t>摘要</w:t>
      </w:r>
      <w:bookmarkEnd w:id="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b w:val="0"/>
          <w:bCs w:val="0"/>
          <w:sz w:val="32"/>
          <w:szCs w:val="32"/>
        </w:rPr>
      </w:pPr>
      <w:bookmarkStart w:id="2" w:name="_Toc13544"/>
      <w:r>
        <w:rPr>
          <w:rFonts w:hint="default" w:ascii="Times New Roman" w:hAnsi="Times New Roman" w:eastAsia="黑体" w:cs="Times New Roman"/>
          <w:b w:val="0"/>
          <w:bCs w:val="0"/>
          <w:sz w:val="32"/>
          <w:szCs w:val="32"/>
          <w:lang w:val="en-US" w:eastAsia="zh-CN"/>
        </w:rPr>
        <w:t>一</w:t>
      </w:r>
      <w:r>
        <w:rPr>
          <w:rFonts w:hint="eastAsia" w:ascii="Times New Roman" w:hAnsi="Times New Roman" w:eastAsia="黑体" w:cs="Times New Roman"/>
          <w:b w:val="0"/>
          <w:bCs w:val="0"/>
          <w:sz w:val="32"/>
          <w:szCs w:val="32"/>
          <w:lang w:val="en-US" w:eastAsia="zh-CN"/>
        </w:rPr>
        <w:t>、</w:t>
      </w:r>
      <w:r>
        <w:rPr>
          <w:rFonts w:hint="default" w:ascii="Times New Roman" w:hAnsi="Times New Roman" w:eastAsia="黑体" w:cs="Times New Roman"/>
          <w:b w:val="0"/>
          <w:bCs w:val="0"/>
          <w:sz w:val="32"/>
          <w:szCs w:val="32"/>
        </w:rPr>
        <w:t>项目概况</w:t>
      </w:r>
      <w:bookmarkEnd w:id="2"/>
    </w:p>
    <w:p>
      <w:pPr>
        <w:keepNext w:val="0"/>
        <w:keepLines w:val="0"/>
        <w:pageBreakBefore w:val="0"/>
        <w:widowControl w:val="0"/>
        <w:kinsoku/>
        <w:wordWrap/>
        <w:overflowPunct/>
        <w:topLinePunct/>
        <w:autoSpaceDE/>
        <w:autoSpaceDN/>
        <w:bidi w:val="0"/>
        <w:adjustRightInd/>
        <w:snapToGrid/>
        <w:spacing w:line="360" w:lineRule="auto"/>
        <w:ind w:firstLine="800" w:firstLineChars="250"/>
        <w:textAlignment w:val="auto"/>
        <w:rPr>
          <w:rFonts w:hint="default" w:ascii="Times New Roman" w:hAnsi="Times New Roman" w:eastAsia="仿宋_GB2312" w:cs="Times New Roman"/>
          <w:sz w:val="32"/>
          <w:szCs w:val="32"/>
        </w:rPr>
      </w:pPr>
      <w:bookmarkStart w:id="3" w:name="_Toc19741"/>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立项背景及目的</w:t>
      </w:r>
      <w:bookmarkEnd w:id="3"/>
    </w:p>
    <w:p>
      <w:pPr>
        <w:keepNext w:val="0"/>
        <w:keepLines w:val="0"/>
        <w:pageBreakBefore w:val="0"/>
        <w:widowControl w:val="0"/>
        <w:kinsoku/>
        <w:wordWrap/>
        <w:overflowPunct/>
        <w:topLinePunct/>
        <w:autoSpaceDE/>
        <w:autoSpaceDN/>
        <w:bidi w:val="0"/>
        <w:adjustRightInd/>
        <w:snapToGrid/>
        <w:spacing w:line="360" w:lineRule="auto"/>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促进昆明市房地产市场健康发展，保障国家土地资源增值收益，切实加强昆明市房地产业税收征管工作，维护税收环境的公平公正，提升土地增值税清算质效，确保相关税收应收尽收，促进财税收入稳定增长，由政府主导，</w:t>
      </w:r>
      <w:r>
        <w:rPr>
          <w:rFonts w:hint="default" w:ascii="Times New Roman" w:hAnsi="Times New Roman" w:eastAsia="仿宋_GB2312" w:cs="Times New Roman"/>
          <w:sz w:val="32"/>
          <w:szCs w:val="32"/>
          <w:lang w:eastAsia="zh-CN"/>
        </w:rPr>
        <w:t>税务</w:t>
      </w:r>
      <w:r>
        <w:rPr>
          <w:rFonts w:hint="default" w:ascii="Times New Roman" w:hAnsi="Times New Roman" w:eastAsia="仿宋_GB2312" w:cs="Times New Roman"/>
          <w:sz w:val="32"/>
          <w:szCs w:val="32"/>
        </w:rPr>
        <w:t>机关牵头，统一土地增值税相关政策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操作流程，各部门协调配合，提供相关数据和档案，全市统一启动，形成一盘棋的局面，便于此项工作的长期进行。</w:t>
      </w:r>
    </w:p>
    <w:p>
      <w:pPr>
        <w:keepNext w:val="0"/>
        <w:keepLines w:val="0"/>
        <w:pageBreakBefore w:val="0"/>
        <w:widowControl w:val="0"/>
        <w:kinsoku/>
        <w:wordWrap/>
        <w:overflowPunct/>
        <w:topLinePunct/>
        <w:autoSpaceDE/>
        <w:autoSpaceDN/>
        <w:bidi w:val="0"/>
        <w:adjustRightInd/>
        <w:snapToGrid/>
        <w:spacing w:line="360" w:lineRule="auto"/>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w:t>
      </w:r>
      <w:r>
        <w:rPr>
          <w:rFonts w:hint="default" w:ascii="Times New Roman" w:hAnsi="Times New Roman" w:eastAsia="仿宋_GB2312" w:cs="Times New Roman"/>
          <w:color w:val="000000"/>
          <w:kern w:val="0"/>
          <w:sz w:val="32"/>
          <w:szCs w:val="32"/>
        </w:rPr>
        <w:t>《昆明市人民政府关于加强士地增值税征管和清算的实施意见》（昆政发〔20１４〕116号）</w:t>
      </w:r>
      <w:r>
        <w:rPr>
          <w:rFonts w:hint="default" w:ascii="Times New Roman" w:hAnsi="Times New Roman" w:eastAsia="仿宋_GB2312" w:cs="Times New Roman"/>
          <w:sz w:val="32"/>
          <w:szCs w:val="32"/>
        </w:rPr>
        <w:t>《</w:t>
      </w:r>
      <w:r>
        <w:rPr>
          <w:rStyle w:val="15"/>
          <w:rFonts w:hint="default" w:ascii="Times New Roman" w:hAnsi="Times New Roman" w:eastAsia="仿宋_GB2312" w:cs="Times New Roman"/>
          <w:sz w:val="32"/>
          <w:szCs w:val="32"/>
        </w:rPr>
        <w:t>昆明市委托中介机构参与土地增值税清算业务管理办法（暂行）</w:t>
      </w:r>
      <w:r>
        <w:rPr>
          <w:rFonts w:hint="default" w:ascii="Times New Roman" w:hAnsi="Times New Roman" w:eastAsia="仿宋_GB2312" w:cs="Times New Roman"/>
          <w:sz w:val="32"/>
          <w:szCs w:val="32"/>
        </w:rPr>
        <w:t>》等相关文件要求，盘龙区财政局应本着公平</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公开的原则招标采购中介机构，使具有税务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审计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造价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资产评估执业人员，且信誉度高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土地增值税清算实务经验丰富的中介机构入围提供服务，并做好服务费用保障工作。盘龙区税务局要加强与住建等部门的联系，摸清税源底数，对已经达到清算条件的房地产项目进行全面梳理统计，为清算工作打好基础，在中介机构的配合下，全面推进土地增值税清算工作。</w:t>
      </w:r>
    </w:p>
    <w:p>
      <w:pPr>
        <w:keepNext w:val="0"/>
        <w:keepLines w:val="0"/>
        <w:pageBreakBefore w:val="0"/>
        <w:widowControl w:val="0"/>
        <w:kinsoku/>
        <w:wordWrap/>
        <w:overflowPunct/>
        <w:topLinePunct/>
        <w:autoSpaceDE/>
        <w:autoSpaceDN/>
        <w:bidi w:val="0"/>
        <w:adjustRightInd/>
        <w:snapToGrid/>
        <w:spacing w:line="360" w:lineRule="auto"/>
        <w:ind w:firstLine="800" w:firstLineChars="250"/>
        <w:textAlignment w:val="auto"/>
        <w:rPr>
          <w:rFonts w:hint="default" w:ascii="Times New Roman" w:hAnsi="Times New Roman" w:eastAsia="仿宋_GB2312" w:cs="Times New Roman"/>
          <w:sz w:val="32"/>
          <w:szCs w:val="32"/>
        </w:rPr>
      </w:pPr>
      <w:bookmarkStart w:id="4" w:name="_Toc26740"/>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项目实施情况</w:t>
      </w:r>
      <w:bookmarkEnd w:id="4"/>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在2022年内中介机构协助税务部门对溪畔丽景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丽水雅苑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北泰花园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风尚沸腾公寓</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万派中心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低碳中心完成6个房地产开发项目的土地增值税清算。截至2022年12月31日，已完成年度工作计划，相关项目支出绩效目标已完成，与预期完成情况基本无偏离。</w:t>
      </w:r>
    </w:p>
    <w:p>
      <w:pPr>
        <w:topLinePunct/>
        <w:spacing w:line="440" w:lineRule="exact"/>
        <w:ind w:firstLine="800" w:firstLineChars="250"/>
        <w:rPr>
          <w:rFonts w:hint="default" w:ascii="Times New Roman" w:hAnsi="Times New Roman" w:eastAsia="仿宋_GB2312" w:cs="Times New Roman"/>
          <w:sz w:val="32"/>
          <w:szCs w:val="32"/>
        </w:rPr>
      </w:pPr>
      <w:bookmarkStart w:id="5" w:name="_Toc961"/>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资金来源及使用情况</w:t>
      </w:r>
      <w:bookmarkEnd w:id="5"/>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项目资金来源为区级财政。截止2022年12月31日，项目收入580,000.00元，依据项目合同支付进度，项目2022年共计支出5</w:t>
      </w:r>
      <w:r>
        <w:rPr>
          <w:rFonts w:hint="eastAsia"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0,000.00元，详见下表：</w:t>
      </w:r>
    </w:p>
    <w:p>
      <w:pPr>
        <w:pStyle w:val="2"/>
        <w:bidi w:val="0"/>
        <w:ind w:firstLine="3092" w:firstLineChars="1100"/>
        <w:jc w:val="both"/>
        <w:rPr>
          <w:rFonts w:hint="default" w:ascii="Times New Roman" w:hAnsi="Times New Roman" w:cs="Times New Roman"/>
          <w:b/>
          <w:bCs/>
          <w:sz w:val="28"/>
          <w:szCs w:val="28"/>
          <w:lang w:val="en-US" w:eastAsia="zh-CN"/>
        </w:rPr>
      </w:pPr>
      <w:bookmarkStart w:id="6" w:name="_Toc24146"/>
      <w:r>
        <w:rPr>
          <w:rFonts w:hint="default" w:ascii="Times New Roman" w:hAnsi="Times New Roman" w:cs="Times New Roman"/>
          <w:b/>
          <w:bCs/>
          <w:sz w:val="28"/>
          <w:szCs w:val="28"/>
          <w:lang w:val="en-US" w:eastAsia="zh-CN"/>
        </w:rPr>
        <w:t>项目支出明细表</w:t>
      </w:r>
      <w:bookmarkEnd w:id="6"/>
    </w:p>
    <w:p>
      <w:pPr>
        <w:pStyle w:val="2"/>
        <w:ind w:firstLine="560"/>
        <w:jc w:val="center"/>
        <w:rPr>
          <w:rFonts w:hint="default" w:ascii="Times New Roman" w:hAnsi="Times New Roman" w:cs="Times New Roman"/>
          <w:bCs/>
          <w:sz w:val="28"/>
          <w:szCs w:val="28"/>
        </w:rPr>
      </w:pPr>
      <w:r>
        <w:rPr>
          <w:rFonts w:hint="default" w:ascii="Times New Roman" w:hAnsi="Times New Roman" w:cs="Times New Roman"/>
          <w:bCs/>
          <w:sz w:val="28"/>
          <w:szCs w:val="28"/>
          <w:lang w:val="en-US" w:eastAsia="zh-CN"/>
        </w:rPr>
        <w:t xml:space="preserve">                                        </w:t>
      </w:r>
      <w:r>
        <w:rPr>
          <w:rFonts w:hint="default" w:ascii="Times New Roman" w:hAnsi="Times New Roman" w:cs="Times New Roman"/>
          <w:bCs/>
          <w:sz w:val="28"/>
          <w:szCs w:val="28"/>
        </w:rPr>
        <w:t>单位：元</w:t>
      </w:r>
    </w:p>
    <w:tbl>
      <w:tblPr>
        <w:tblStyle w:val="9"/>
        <w:tblW w:w="7668" w:type="dxa"/>
        <w:jc w:val="center"/>
        <w:tblInd w:w="0" w:type="dxa"/>
        <w:tblLayout w:type="fixed"/>
        <w:tblCellMar>
          <w:top w:w="0" w:type="dxa"/>
          <w:left w:w="108" w:type="dxa"/>
          <w:bottom w:w="0" w:type="dxa"/>
          <w:right w:w="108" w:type="dxa"/>
        </w:tblCellMar>
      </w:tblPr>
      <w:tblGrid>
        <w:gridCol w:w="3250"/>
        <w:gridCol w:w="2952"/>
        <w:gridCol w:w="1466"/>
      </w:tblGrid>
      <w:tr>
        <w:tblPrEx>
          <w:tblLayout w:type="fixed"/>
          <w:tblCellMar>
            <w:top w:w="0" w:type="dxa"/>
            <w:left w:w="108" w:type="dxa"/>
            <w:bottom w:w="0" w:type="dxa"/>
            <w:right w:w="108" w:type="dxa"/>
          </w:tblCellMar>
        </w:tblPrEx>
        <w:trPr>
          <w:trHeight w:val="321"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中介机构</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服务名称</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金额</w:t>
            </w:r>
          </w:p>
        </w:tc>
      </w:tr>
      <w:tr>
        <w:tblPrEx>
          <w:tblLayout w:type="fixed"/>
          <w:tblCellMar>
            <w:top w:w="0" w:type="dxa"/>
            <w:left w:w="108" w:type="dxa"/>
            <w:bottom w:w="0" w:type="dxa"/>
            <w:right w:w="108" w:type="dxa"/>
          </w:tblCellMar>
        </w:tblPrEx>
        <w:trPr>
          <w:trHeight w:val="420"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安永（上海）税务师事务所有限公司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服务费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100,000.00</w:t>
            </w:r>
          </w:p>
        </w:tc>
      </w:tr>
      <w:tr>
        <w:tblPrEx>
          <w:tblLayout w:type="fixed"/>
          <w:tblCellMar>
            <w:top w:w="0" w:type="dxa"/>
            <w:left w:w="108" w:type="dxa"/>
            <w:bottom w:w="0" w:type="dxa"/>
            <w:right w:w="108" w:type="dxa"/>
          </w:tblCellMar>
        </w:tblPrEx>
        <w:trPr>
          <w:trHeight w:val="515"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云南翔为税务师事务所有限公司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专业税务顾问</w:t>
            </w:r>
            <w:r>
              <w:rPr>
                <w:rFonts w:hint="default" w:ascii="Times New Roman" w:hAnsi="Times New Roman" w:cs="Times New Roman"/>
                <w:color w:val="000000"/>
                <w:kern w:val="0"/>
                <w:szCs w:val="21"/>
                <w:lang w:eastAsia="zh-CN" w:bidi="ar"/>
              </w:rPr>
              <w:t>或</w:t>
            </w:r>
            <w:r>
              <w:rPr>
                <w:rFonts w:hint="default" w:ascii="Times New Roman" w:hAnsi="Times New Roman" w:cs="Times New Roman"/>
                <w:color w:val="000000"/>
                <w:kern w:val="0"/>
                <w:szCs w:val="21"/>
                <w:lang w:bidi="ar"/>
              </w:rPr>
              <w:t>顾问费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100,000.00</w:t>
            </w:r>
          </w:p>
        </w:tc>
      </w:tr>
      <w:tr>
        <w:tblPrEx>
          <w:tblLayout w:type="fixed"/>
          <w:tblCellMar>
            <w:top w:w="0" w:type="dxa"/>
            <w:left w:w="108" w:type="dxa"/>
            <w:bottom w:w="0" w:type="dxa"/>
            <w:right w:w="108" w:type="dxa"/>
          </w:tblCellMar>
        </w:tblPrEx>
        <w:trPr>
          <w:trHeight w:val="599"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昆明佳达信税务师事务所有限公司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一般税务咨询</w:t>
            </w:r>
            <w:r>
              <w:rPr>
                <w:rFonts w:hint="default" w:ascii="Times New Roman" w:hAnsi="Times New Roman" w:cs="Times New Roman"/>
                <w:color w:val="000000"/>
                <w:kern w:val="0"/>
                <w:szCs w:val="21"/>
                <w:lang w:eastAsia="zh-CN" w:bidi="ar"/>
              </w:rPr>
              <w:t>或</w:t>
            </w:r>
            <w:r>
              <w:rPr>
                <w:rFonts w:hint="default" w:ascii="Times New Roman" w:hAnsi="Times New Roman" w:cs="Times New Roman"/>
                <w:color w:val="000000"/>
                <w:kern w:val="0"/>
                <w:szCs w:val="21"/>
                <w:lang w:bidi="ar"/>
              </w:rPr>
              <w:t>涉税服务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130,000.00</w:t>
            </w:r>
          </w:p>
        </w:tc>
      </w:tr>
      <w:tr>
        <w:tblPrEx>
          <w:tblLayout w:type="fixed"/>
          <w:tblCellMar>
            <w:top w:w="0" w:type="dxa"/>
            <w:left w:w="108" w:type="dxa"/>
            <w:bottom w:w="0" w:type="dxa"/>
            <w:right w:w="108" w:type="dxa"/>
          </w:tblCellMar>
        </w:tblPrEx>
        <w:trPr>
          <w:trHeight w:val="443"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昆明庆盈税务师事务所有限公司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其他咨询服务</w:t>
            </w:r>
            <w:r>
              <w:rPr>
                <w:rFonts w:hint="default" w:ascii="Times New Roman" w:hAnsi="Times New Roman" w:cs="Times New Roman"/>
                <w:color w:val="000000"/>
                <w:kern w:val="0"/>
                <w:szCs w:val="21"/>
                <w:lang w:eastAsia="zh-CN" w:bidi="ar"/>
              </w:rPr>
              <w:t>或</w:t>
            </w:r>
            <w:r>
              <w:rPr>
                <w:rFonts w:hint="default" w:ascii="Times New Roman" w:hAnsi="Times New Roman" w:cs="Times New Roman"/>
                <w:color w:val="000000"/>
                <w:kern w:val="0"/>
                <w:szCs w:val="21"/>
                <w:lang w:bidi="ar"/>
              </w:rPr>
              <w:t>顾问费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120,000.00</w:t>
            </w:r>
          </w:p>
        </w:tc>
      </w:tr>
      <w:tr>
        <w:tblPrEx>
          <w:tblLayout w:type="fixed"/>
          <w:tblCellMar>
            <w:top w:w="0" w:type="dxa"/>
            <w:left w:w="108" w:type="dxa"/>
            <w:bottom w:w="0" w:type="dxa"/>
            <w:right w:w="108" w:type="dxa"/>
          </w:tblCellMar>
        </w:tblPrEx>
        <w:trPr>
          <w:trHeight w:val="494"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云南德广税务师事务所</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专业税务顾问</w:t>
            </w:r>
            <w:r>
              <w:rPr>
                <w:rFonts w:hint="default" w:ascii="Times New Roman" w:hAnsi="Times New Roman" w:cs="Times New Roman"/>
                <w:color w:val="000000"/>
                <w:kern w:val="0"/>
                <w:szCs w:val="21"/>
                <w:lang w:eastAsia="zh-CN" w:bidi="ar"/>
              </w:rPr>
              <w:t>或</w:t>
            </w:r>
            <w:r>
              <w:rPr>
                <w:rFonts w:hint="default" w:ascii="Times New Roman" w:hAnsi="Times New Roman" w:cs="Times New Roman"/>
                <w:color w:val="000000"/>
                <w:kern w:val="0"/>
                <w:szCs w:val="21"/>
                <w:lang w:bidi="ar"/>
              </w:rPr>
              <w:t>税务咨询服务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100,000.00</w:t>
            </w:r>
          </w:p>
        </w:tc>
      </w:tr>
      <w:tr>
        <w:tblPrEx>
          <w:tblLayout w:type="fixed"/>
          <w:tblCellMar>
            <w:top w:w="0" w:type="dxa"/>
            <w:left w:w="108" w:type="dxa"/>
            <w:bottom w:w="0" w:type="dxa"/>
            <w:right w:w="108" w:type="dxa"/>
          </w:tblCellMar>
        </w:tblPrEx>
        <w:trPr>
          <w:trHeight w:val="494"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昆明中兑税务师事务所有限责任公司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土地增值税清算中介费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20,000</w:t>
            </w:r>
          </w:p>
        </w:tc>
      </w:tr>
      <w:tr>
        <w:tblPrEx>
          <w:tblLayout w:type="fixed"/>
          <w:tblCellMar>
            <w:top w:w="0" w:type="dxa"/>
            <w:left w:w="108" w:type="dxa"/>
            <w:bottom w:w="0" w:type="dxa"/>
            <w:right w:w="108" w:type="dxa"/>
          </w:tblCellMar>
        </w:tblPrEx>
        <w:trPr>
          <w:trHeight w:val="494"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云南中瑞岳华税务师事务所有限公司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土地增值税清算中介费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10,000</w:t>
            </w:r>
          </w:p>
        </w:tc>
      </w:tr>
      <w:tr>
        <w:tblPrEx>
          <w:tblLayout w:type="fixed"/>
          <w:tblCellMar>
            <w:top w:w="0" w:type="dxa"/>
            <w:left w:w="108" w:type="dxa"/>
            <w:bottom w:w="0" w:type="dxa"/>
            <w:right w:w="108" w:type="dxa"/>
          </w:tblCellMar>
        </w:tblPrEx>
        <w:trPr>
          <w:trHeight w:val="494" w:hRule="atLeast"/>
          <w:jc w:val="center"/>
        </w:trPr>
        <w:tc>
          <w:tcPr>
            <w:tcW w:w="6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合计</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580,000</w:t>
            </w:r>
          </w:p>
        </w:tc>
      </w:tr>
    </w:tbl>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b w:val="0"/>
          <w:bCs w:val="0"/>
          <w:sz w:val="32"/>
          <w:szCs w:val="32"/>
          <w:lang w:val="en-US" w:eastAsia="zh-CN"/>
        </w:rPr>
      </w:pPr>
      <w:bookmarkStart w:id="7" w:name="_Toc11234"/>
      <w:r>
        <w:rPr>
          <w:rFonts w:hint="default" w:ascii="Times New Roman" w:hAnsi="Times New Roman" w:eastAsia="黑体" w:cs="Times New Roman"/>
          <w:b w:val="0"/>
          <w:bCs w:val="0"/>
          <w:sz w:val="32"/>
          <w:szCs w:val="32"/>
          <w:lang w:val="en-US" w:eastAsia="zh-CN"/>
        </w:rPr>
        <w:t>二、评价结论</w:t>
      </w:r>
      <w:bookmarkEnd w:id="7"/>
    </w:p>
    <w:p>
      <w:pPr>
        <w:pStyle w:val="2"/>
        <w:ind w:left="0" w:leftChars="0"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w:t>
      </w:r>
      <w:r>
        <w:rPr>
          <w:rFonts w:hint="default" w:ascii="Times New Roman" w:hAnsi="Times New Roman" w:eastAsia="仿宋_GB2312" w:cs="Times New Roman"/>
          <w:color w:val="000000"/>
          <w:sz w:val="32"/>
          <w:szCs w:val="32"/>
        </w:rPr>
        <w:t>《盘龙区区级部门预算绩效自评管理暂行办法》（盘财〔2018〕71号）《盘龙区区级部门预算绩效自评管理暂行办法》</w:t>
      </w:r>
      <w:r>
        <w:rPr>
          <w:rFonts w:hint="default" w:ascii="Times New Roman" w:hAnsi="Times New Roman" w:eastAsia="仿宋_GB2312" w:cs="Times New Roman"/>
          <w:sz w:val="32"/>
          <w:szCs w:val="32"/>
        </w:rPr>
        <w:t>相关内容和要求进行评价，综合得分</w:t>
      </w:r>
      <w:r>
        <w:rPr>
          <w:rFonts w:hint="eastAsia" w:ascii="Times New Roman" w:hAnsi="Times New Roman" w:eastAsia="仿宋_GB2312" w:cs="Times New Roman"/>
          <w:color w:val="000000"/>
          <w:sz w:val="32"/>
          <w:szCs w:val="32"/>
          <w:lang w:val="en-US" w:eastAsia="zh-CN"/>
        </w:rPr>
        <w:t>99</w:t>
      </w:r>
      <w:bookmarkStart w:id="30" w:name="_GoBack"/>
      <w:bookmarkEnd w:id="30"/>
      <w:r>
        <w:rPr>
          <w:rFonts w:hint="default" w:ascii="Times New Roman" w:hAnsi="Times New Roman" w:eastAsia="仿宋_GB2312" w:cs="Times New Roman"/>
          <w:sz w:val="32"/>
          <w:szCs w:val="32"/>
        </w:rPr>
        <w:t>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b w:val="0"/>
          <w:bCs w:val="0"/>
          <w:sz w:val="32"/>
          <w:szCs w:val="32"/>
          <w:lang w:val="en-US" w:eastAsia="zh-CN"/>
        </w:rPr>
      </w:pPr>
      <w:bookmarkStart w:id="8" w:name="_Toc17235"/>
      <w:r>
        <w:rPr>
          <w:rFonts w:hint="default" w:ascii="Times New Roman" w:hAnsi="Times New Roman" w:eastAsia="黑体" w:cs="Times New Roman"/>
          <w:b w:val="0"/>
          <w:bCs w:val="0"/>
          <w:sz w:val="32"/>
          <w:szCs w:val="32"/>
          <w:lang w:val="en-US" w:eastAsia="zh-CN"/>
        </w:rPr>
        <w:t>三、经验、问题和建议</w:t>
      </w:r>
      <w:bookmarkEnd w:id="8"/>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楷体_GB2312" w:cs="Times New Roman"/>
          <w:b w:val="0"/>
          <w:bCs w:val="0"/>
          <w:sz w:val="32"/>
          <w:szCs w:val="32"/>
        </w:rPr>
      </w:pPr>
      <w:bookmarkStart w:id="9" w:name="_Toc29905"/>
      <w:r>
        <w:rPr>
          <w:rFonts w:hint="default" w:ascii="Times New Roman" w:hAnsi="Times New Roman" w:eastAsia="楷体_GB2312" w:cs="Times New Roman"/>
          <w:b w:val="0"/>
          <w:bCs w:val="0"/>
          <w:sz w:val="32"/>
          <w:szCs w:val="32"/>
        </w:rPr>
        <w:t>（一）主要经验及做法</w:t>
      </w:r>
      <w:bookmarkEnd w:id="9"/>
    </w:p>
    <w:p>
      <w:pPr>
        <w:spacing w:line="60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项目资金拨付程序完整</w:t>
      </w:r>
    </w:p>
    <w:p>
      <w:pPr>
        <w:spacing w:line="60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项目的开展严格按照单位的内控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收支及采购等相关的管理制度，各项经费支出均按照相关审批管理制度执行，通过相关报账手续后，由财政局进行资金拨付。项目实际支出与项目计划投入资金的用途相符，资金的拨付有完整的审批程序和手续，符合项目预算批复或合同规定的用途，不存在超标列支相关费用，基本做到了专款专用，不存在截留</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挤占</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挪用</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虚列支出。</w:t>
      </w:r>
    </w:p>
    <w:p>
      <w:pPr>
        <w:spacing w:line="60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项目开展过程中，明确高标准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立足严要求</w:t>
      </w:r>
    </w:p>
    <w:p>
      <w:pPr>
        <w:spacing w:line="600" w:lineRule="exact"/>
        <w:ind w:firstLine="640" w:firstLineChars="200"/>
        <w:jc w:val="left"/>
        <w:rPr>
          <w:rFonts w:hint="default" w:ascii="Times New Roman" w:hAnsi="Times New Roman" w:cs="Times New Roman"/>
          <w:sz w:val="28"/>
          <w:szCs w:val="28"/>
        </w:rPr>
      </w:pPr>
      <w:r>
        <w:rPr>
          <w:rFonts w:hint="default" w:ascii="Times New Roman" w:hAnsi="Times New Roman" w:eastAsia="仿宋_GB2312" w:cs="Times New Roman"/>
          <w:bCs/>
          <w:sz w:val="32"/>
          <w:szCs w:val="32"/>
        </w:rPr>
        <w:t>项目根据</w:t>
      </w:r>
      <w:r>
        <w:rPr>
          <w:rFonts w:hint="default" w:ascii="Times New Roman" w:hAnsi="Times New Roman" w:eastAsia="仿宋_GB2312" w:cs="Times New Roman"/>
          <w:color w:val="000000"/>
          <w:kern w:val="0"/>
          <w:sz w:val="32"/>
          <w:szCs w:val="32"/>
        </w:rPr>
        <w:t>《昆明市人民政府关于加强士地增值税征管和清算的实施意见》（昆政发〔</w:t>
      </w:r>
      <w:r>
        <w:rPr>
          <w:rFonts w:hint="default" w:ascii="Times New Roman" w:hAnsi="Times New Roman" w:eastAsia="仿宋_GB2312" w:cs="Times New Roman"/>
          <w:bCs/>
          <w:sz w:val="32"/>
          <w:szCs w:val="32"/>
        </w:rPr>
        <w:t>2014</w:t>
      </w:r>
      <w:r>
        <w:rPr>
          <w:rFonts w:hint="default" w:ascii="Times New Roman" w:hAnsi="Times New Roman" w:eastAsia="仿宋_GB2312" w:cs="Times New Roman"/>
          <w:color w:val="000000"/>
          <w:kern w:val="0"/>
          <w:sz w:val="32"/>
          <w:szCs w:val="32"/>
        </w:rPr>
        <w:t>〕116号）</w:t>
      </w:r>
      <w:r>
        <w:rPr>
          <w:rFonts w:hint="default" w:ascii="Times New Roman" w:hAnsi="Times New Roman" w:eastAsia="仿宋_GB2312" w:cs="Times New Roman"/>
          <w:sz w:val="32"/>
          <w:szCs w:val="32"/>
        </w:rPr>
        <w:t>《</w:t>
      </w:r>
      <w:r>
        <w:rPr>
          <w:rStyle w:val="15"/>
          <w:rFonts w:hint="default" w:ascii="Times New Roman" w:hAnsi="Times New Roman" w:eastAsia="仿宋_GB2312" w:cs="Times New Roman"/>
          <w:sz w:val="32"/>
          <w:szCs w:val="32"/>
        </w:rPr>
        <w:t>昆明市委托中介机构参与土地增值税清算业务管理办法（暂行）</w:t>
      </w:r>
      <w:r>
        <w:rPr>
          <w:rFonts w:hint="default" w:ascii="Times New Roman" w:hAnsi="Times New Roman" w:eastAsia="仿宋_GB2312" w:cs="Times New Roman"/>
          <w:sz w:val="32"/>
          <w:szCs w:val="32"/>
        </w:rPr>
        <w:t>》等文件所规定的标准开展，并结合所面临的实际情况，制订了2022年度项目的实施方案《盘龙区引入中介机构开展土地增值税清算项目绩效实施方案》，明确了区财政局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区</w:t>
      </w:r>
      <w:r>
        <w:rPr>
          <w:rFonts w:hint="default" w:ascii="Times New Roman" w:hAnsi="Times New Roman" w:eastAsia="仿宋_GB2312" w:cs="Times New Roman"/>
          <w:sz w:val="32"/>
          <w:szCs w:val="32"/>
          <w:lang w:eastAsia="zh-CN"/>
        </w:rPr>
        <w:t>税务</w:t>
      </w:r>
      <w:r>
        <w:rPr>
          <w:rFonts w:hint="default" w:ascii="Times New Roman" w:hAnsi="Times New Roman" w:eastAsia="仿宋_GB2312" w:cs="Times New Roman"/>
          <w:sz w:val="32"/>
          <w:szCs w:val="32"/>
        </w:rPr>
        <w:t>局及中介机构的职责分工，以确保项目的顺利开展。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楷体_GB2312" w:cs="Times New Roman"/>
          <w:b w:val="0"/>
          <w:bCs w:val="0"/>
          <w:sz w:val="32"/>
          <w:szCs w:val="32"/>
        </w:rPr>
      </w:pPr>
      <w:bookmarkStart w:id="10" w:name="_Toc20567"/>
      <w:r>
        <w:rPr>
          <w:rFonts w:hint="default" w:ascii="Times New Roman" w:hAnsi="Times New Roman" w:eastAsia="楷体_GB2312" w:cs="Times New Roman"/>
          <w:b w:val="0"/>
          <w:bCs w:val="0"/>
          <w:sz w:val="32"/>
          <w:szCs w:val="32"/>
        </w:rPr>
        <w:t>（二）存在的问题</w:t>
      </w:r>
      <w:bookmarkEnd w:id="10"/>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项目申报表中总体目标及年度目标设置不规范，未对项目的实施内容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预期达到的产出效果进行明确阐述；绩效指标精炼度不高，明确性</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完善性尚有欠缺，绩效指标清晰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细化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可衡量性有待进一步完善。</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设定的项目绩效评价指标时，部分指标设置不合理或，如：质量指标设置为“参与土地增值税清算的中介机构，需要具备相应条件”，且本项目无社会效果指标，指标内容应精简；以及部分效果指标难以量化考核，如：社会效益指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楷体_GB2312" w:cs="Times New Roman"/>
          <w:b w:val="0"/>
          <w:bCs w:val="0"/>
          <w:sz w:val="32"/>
          <w:szCs w:val="32"/>
        </w:rPr>
      </w:pPr>
      <w:bookmarkStart w:id="11" w:name="_Toc10094"/>
      <w:r>
        <w:rPr>
          <w:rFonts w:hint="default" w:ascii="Times New Roman" w:hAnsi="Times New Roman" w:eastAsia="楷体_GB2312" w:cs="Times New Roman"/>
          <w:b w:val="0"/>
          <w:bCs w:val="0"/>
          <w:sz w:val="32"/>
          <w:szCs w:val="32"/>
        </w:rPr>
        <w:t>（三）建议和改进措施</w:t>
      </w:r>
      <w:bookmarkEnd w:id="11"/>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绩效目标的设置内容应该有效客观反映项目实施的内容，并对项目开展预期的产出数量和实施效果进行明确清晰的阐述，从而合理反映项目一定时期内预期达到的产出和效果，以便于对项目的实施结果开展有效评价。在下年度的申报中根据上年工作开展情况及绩效自评结果，结合下年工作目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计划，在设置绩效目标时有效客观反映项目实施的内容，并对项目开展预期的产出数量和实施效果进行明确清晰的阐述；在设置指标时，根据绩效目标进行细化分解。</w:t>
      </w:r>
    </w:p>
    <w:p>
      <w:pPr>
        <w:spacing w:line="440" w:lineRule="exact"/>
        <w:ind w:firstLine="420" w:firstLineChars="200"/>
        <w:jc w:val="left"/>
        <w:rPr>
          <w:rFonts w:hint="default" w:ascii="Times New Roman" w:hAnsi="Times New Roman" w:eastAsia="楷体" w:cs="Times New Roman"/>
          <w:szCs w:val="32"/>
        </w:rPr>
      </w:pPr>
    </w:p>
    <w:p>
      <w:pPr>
        <w:spacing w:line="440" w:lineRule="exact"/>
        <w:jc w:val="center"/>
        <w:rPr>
          <w:rFonts w:hint="default" w:ascii="Times New Roman" w:hAnsi="Times New Roman" w:eastAsia="方正小标宋_GBK" w:cs="Times New Roman"/>
          <w:sz w:val="36"/>
          <w:szCs w:val="36"/>
        </w:rPr>
      </w:pPr>
    </w:p>
    <w:p>
      <w:pPr>
        <w:spacing w:line="440" w:lineRule="exact"/>
        <w:jc w:val="center"/>
        <w:rPr>
          <w:rFonts w:hint="default" w:ascii="Times New Roman" w:hAnsi="Times New Roman" w:eastAsia="方正小标宋_GBK" w:cs="Times New Roman"/>
          <w:sz w:val="36"/>
          <w:szCs w:val="36"/>
        </w:rPr>
        <w:sectPr>
          <w:footerReference r:id="rId4" w:type="default"/>
          <w:pgSz w:w="11906" w:h="16838"/>
          <w:pgMar w:top="2098" w:right="1474" w:bottom="1984" w:left="1474" w:header="851" w:footer="992" w:gutter="0"/>
          <w:pgNumType w:fmt="upperRoman" w:start="1"/>
          <w:cols w:space="425" w:num="1"/>
          <w:docGrid w:type="lines" w:linePitch="312" w:charSpace="0"/>
        </w:sectPr>
      </w:pPr>
    </w:p>
    <w:p>
      <w:pPr>
        <w:spacing w:line="440" w:lineRule="exact"/>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税收清算业务项目支出绩效自评报告</w:t>
      </w:r>
    </w:p>
    <w:p>
      <w:pPr>
        <w:pStyle w:val="2"/>
        <w:rPr>
          <w:rFonts w:hint="default" w:ascii="Times New Roman" w:hAnsi="Times New Roman" w:cs="Times New Roman"/>
        </w:rPr>
      </w:pPr>
    </w:p>
    <w:p>
      <w:pPr>
        <w:pStyle w:val="4"/>
        <w:keepNext w:val="0"/>
        <w:keepLines w:val="0"/>
        <w:widowControl/>
        <w:spacing w:before="0" w:after="0" w:line="360" w:lineRule="auto"/>
        <w:ind w:firstLine="640" w:firstLineChars="200"/>
        <w:contextualSpacing/>
        <w:rPr>
          <w:rFonts w:hint="default" w:ascii="Times New Roman" w:hAnsi="Times New Roman" w:eastAsia="黑体" w:cs="Times New Roman"/>
          <w:b w:val="0"/>
          <w:bCs w:val="0"/>
          <w:color w:val="000000"/>
          <w:kern w:val="0"/>
          <w:sz w:val="32"/>
          <w:szCs w:val="32"/>
        </w:rPr>
      </w:pPr>
      <w:bookmarkStart w:id="12" w:name="_Toc30755"/>
    </w:p>
    <w:p>
      <w:pPr>
        <w:pStyle w:val="4"/>
        <w:keepNext w:val="0"/>
        <w:keepLines w:val="0"/>
        <w:widowControl/>
        <w:spacing w:before="0" w:after="0" w:line="360" w:lineRule="auto"/>
        <w:ind w:firstLine="640" w:firstLineChars="200"/>
        <w:contextualSpacing/>
        <w:rPr>
          <w:rFonts w:hint="default" w:ascii="Times New Roman" w:hAnsi="Times New Roman" w:eastAsia="黑体" w:cs="Times New Roman"/>
          <w:b w:val="0"/>
          <w:bCs w:val="0"/>
          <w:color w:val="000000"/>
          <w:kern w:val="0"/>
          <w:sz w:val="32"/>
          <w:szCs w:val="32"/>
        </w:rPr>
      </w:pPr>
      <w:r>
        <w:rPr>
          <w:rFonts w:hint="default" w:ascii="Times New Roman" w:hAnsi="Times New Roman" w:eastAsia="黑体" w:cs="Times New Roman"/>
          <w:b w:val="0"/>
          <w:bCs w:val="0"/>
          <w:color w:val="000000"/>
          <w:kern w:val="0"/>
          <w:sz w:val="32"/>
          <w:szCs w:val="32"/>
        </w:rPr>
        <w:t>一</w:t>
      </w:r>
      <w:r>
        <w:rPr>
          <w:rFonts w:hint="default" w:ascii="Times New Roman" w:hAnsi="Times New Roman" w:eastAsia="黑体" w:cs="Times New Roman"/>
          <w:b w:val="0"/>
          <w:bCs w:val="0"/>
          <w:color w:val="000000"/>
          <w:kern w:val="0"/>
          <w:sz w:val="32"/>
          <w:szCs w:val="32"/>
          <w:lang w:eastAsia="zh-CN"/>
        </w:rPr>
        <w:t>、</w:t>
      </w:r>
      <w:r>
        <w:rPr>
          <w:rFonts w:hint="default" w:ascii="Times New Roman" w:hAnsi="Times New Roman" w:eastAsia="黑体" w:cs="Times New Roman"/>
          <w:b w:val="0"/>
          <w:bCs w:val="0"/>
          <w:color w:val="000000"/>
          <w:kern w:val="0"/>
          <w:sz w:val="32"/>
          <w:szCs w:val="32"/>
        </w:rPr>
        <w:t>项目基本情况</w:t>
      </w:r>
      <w:bookmarkEnd w:id="12"/>
    </w:p>
    <w:p>
      <w:pPr>
        <w:ind w:firstLine="640" w:firstLineChars="200"/>
        <w:outlineLvl w:val="1"/>
        <w:rPr>
          <w:rFonts w:hint="default" w:ascii="Times New Roman" w:hAnsi="Times New Roman" w:eastAsia="楷体_GB2312" w:cs="Times New Roman"/>
          <w:b w:val="0"/>
          <w:bCs w:val="0"/>
          <w:kern w:val="30"/>
          <w:sz w:val="32"/>
          <w:szCs w:val="32"/>
        </w:rPr>
      </w:pPr>
      <w:bookmarkStart w:id="13" w:name="_Toc2890"/>
      <w:r>
        <w:rPr>
          <w:rFonts w:hint="default" w:ascii="Times New Roman" w:hAnsi="Times New Roman" w:eastAsia="楷体_GB2312" w:cs="Times New Roman"/>
          <w:b w:val="0"/>
          <w:bCs w:val="0"/>
          <w:kern w:val="30"/>
          <w:sz w:val="32"/>
          <w:szCs w:val="32"/>
        </w:rPr>
        <w:t>（一）项目概况</w:t>
      </w:r>
      <w:bookmarkEnd w:id="13"/>
    </w:p>
    <w:p>
      <w:pPr>
        <w:keepNext w:val="0"/>
        <w:keepLines w:val="0"/>
        <w:pageBreakBefore w:val="0"/>
        <w:widowControl w:val="0"/>
        <w:kinsoku/>
        <w:wordWrap/>
        <w:overflowPunct/>
        <w:topLinePunct/>
        <w:autoSpaceDE/>
        <w:autoSpaceDN/>
        <w:bidi w:val="0"/>
        <w:adjustRightInd/>
        <w:snapToGrid/>
        <w:spacing w:line="360" w:lineRule="auto"/>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立项背景及目的</w:t>
      </w:r>
    </w:p>
    <w:p>
      <w:pPr>
        <w:keepNext w:val="0"/>
        <w:keepLines w:val="0"/>
        <w:pageBreakBefore w:val="0"/>
        <w:widowControl w:val="0"/>
        <w:kinsoku/>
        <w:wordWrap/>
        <w:overflowPunct/>
        <w:topLinePunct/>
        <w:autoSpaceDE/>
        <w:autoSpaceDN/>
        <w:bidi w:val="0"/>
        <w:adjustRightInd/>
        <w:snapToGrid/>
        <w:spacing w:line="360" w:lineRule="auto"/>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促进昆明市房地产市场健康发展，保障国家土地资源增值收益，切实加强昆明市房地产业税收征管工作，维护税收环境的公平公正，提升土地增值税清算质效，确保相关税收应收尽收，促进财税收入稳定增长，由政府主导，</w:t>
      </w:r>
      <w:r>
        <w:rPr>
          <w:rFonts w:hint="default" w:ascii="Times New Roman" w:hAnsi="Times New Roman" w:eastAsia="仿宋_GB2312" w:cs="Times New Roman"/>
          <w:sz w:val="32"/>
          <w:szCs w:val="32"/>
          <w:lang w:eastAsia="zh-CN"/>
        </w:rPr>
        <w:t>税务</w:t>
      </w:r>
      <w:r>
        <w:rPr>
          <w:rFonts w:hint="default" w:ascii="Times New Roman" w:hAnsi="Times New Roman" w:eastAsia="仿宋_GB2312" w:cs="Times New Roman"/>
          <w:sz w:val="32"/>
          <w:szCs w:val="32"/>
        </w:rPr>
        <w:t>机关牵头，统一土地增值税相关政策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操作流程，各部门协调配合，提供相关数据和档案，全市统一启动，形成一盘棋的局面，便于此项工作的长期进行。</w:t>
      </w:r>
    </w:p>
    <w:p>
      <w:pPr>
        <w:keepNext w:val="0"/>
        <w:keepLines w:val="0"/>
        <w:pageBreakBefore w:val="0"/>
        <w:widowControl w:val="0"/>
        <w:kinsoku/>
        <w:wordWrap/>
        <w:overflowPunct/>
        <w:topLinePunct/>
        <w:autoSpaceDE/>
        <w:autoSpaceDN/>
        <w:bidi w:val="0"/>
        <w:adjustRightInd/>
        <w:snapToGrid/>
        <w:spacing w:line="360" w:lineRule="auto"/>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w:t>
      </w:r>
      <w:r>
        <w:rPr>
          <w:rFonts w:hint="default" w:ascii="Times New Roman" w:hAnsi="Times New Roman" w:eastAsia="仿宋_GB2312" w:cs="Times New Roman"/>
          <w:color w:val="000000"/>
          <w:kern w:val="0"/>
          <w:sz w:val="32"/>
          <w:szCs w:val="32"/>
        </w:rPr>
        <w:t>《昆明市人民政府关于加强士地增值税征管和清算的实施意见》（昆政发〔20</w:t>
      </w:r>
      <w:r>
        <w:rPr>
          <w:rFonts w:hint="eastAsia" w:ascii="Times New Roman" w:hAnsi="Times New Roman" w:eastAsia="仿宋_GB2312" w:cs="Times New Roman"/>
          <w:color w:val="000000"/>
          <w:kern w:val="0"/>
          <w:sz w:val="32"/>
          <w:szCs w:val="32"/>
          <w:lang w:val="en-US" w:eastAsia="zh-CN"/>
        </w:rPr>
        <w:t>14</w:t>
      </w:r>
      <w:r>
        <w:rPr>
          <w:rFonts w:hint="default" w:ascii="Times New Roman" w:hAnsi="Times New Roman" w:eastAsia="仿宋_GB2312" w:cs="Times New Roman"/>
          <w:color w:val="000000"/>
          <w:kern w:val="0"/>
          <w:sz w:val="32"/>
          <w:szCs w:val="32"/>
        </w:rPr>
        <w:t>〕116号）</w:t>
      </w:r>
      <w:r>
        <w:rPr>
          <w:rFonts w:hint="default" w:ascii="Times New Roman" w:hAnsi="Times New Roman" w:eastAsia="仿宋_GB2312" w:cs="Times New Roman"/>
          <w:sz w:val="32"/>
          <w:szCs w:val="32"/>
        </w:rPr>
        <w:t>《</w:t>
      </w:r>
      <w:r>
        <w:rPr>
          <w:rStyle w:val="15"/>
          <w:rFonts w:hint="default" w:ascii="Times New Roman" w:hAnsi="Times New Roman" w:eastAsia="仿宋_GB2312" w:cs="Times New Roman"/>
          <w:sz w:val="32"/>
          <w:szCs w:val="32"/>
        </w:rPr>
        <w:t>昆明市委托中介机构参与土地增值税清算业务管理办法（暂行）</w:t>
      </w:r>
      <w:r>
        <w:rPr>
          <w:rFonts w:hint="default" w:ascii="Times New Roman" w:hAnsi="Times New Roman" w:eastAsia="仿宋_GB2312" w:cs="Times New Roman"/>
          <w:sz w:val="32"/>
          <w:szCs w:val="32"/>
        </w:rPr>
        <w:t>》等相关文件要求，盘龙区财政局应本着公平</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公正</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公开的原则招标采购中介机构，使具有税务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审计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造价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资产评估执业人员，且信誉度高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土地增值税清算实务经验丰富的中介机构入围提供服务，并做好服务费用保障工作。盘龙区税务局要加强与住建等部门的联系，摸清税源底数，对已经达到清算条件的房地产项目进行全面梳理统计，为清算工作打好基础，在中介机构的配合下，全面推进土地增值税清算工作。</w:t>
      </w:r>
    </w:p>
    <w:p>
      <w:pPr>
        <w:keepNext w:val="0"/>
        <w:keepLines w:val="0"/>
        <w:pageBreakBefore w:val="0"/>
        <w:widowControl w:val="0"/>
        <w:kinsoku/>
        <w:wordWrap/>
        <w:overflowPunct/>
        <w:topLinePunct/>
        <w:autoSpaceDE/>
        <w:autoSpaceDN/>
        <w:bidi w:val="0"/>
        <w:adjustRightInd/>
        <w:snapToGrid/>
        <w:spacing w:line="360" w:lineRule="auto"/>
        <w:ind w:left="63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２</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项目实施情况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在2022年内中介机构协助税务部门对溪畔丽景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丽水雅苑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北泰花园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风尚沸腾公寓</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万派中心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低碳中心完成6个房地产开发项目的土地增值税清算。截至2022年12月31日，已完成年度工作计划，相关项目支出绩效目标已完成，与预期完成情况基本无偏离。</w:t>
      </w:r>
    </w:p>
    <w:p>
      <w:pPr>
        <w:topLinePunct/>
        <w:spacing w:line="4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资金来源及使用情况</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项目资金来源为区级财政。截止2022年12月31日，项目收入580,000.00元，依据项目合同支付进度，项目2022年共计支出5</w:t>
      </w:r>
      <w:r>
        <w:rPr>
          <w:rFonts w:hint="eastAsia"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0,000.00元，详见下表：</w:t>
      </w:r>
    </w:p>
    <w:p>
      <w:pPr>
        <w:pStyle w:val="2"/>
        <w:bidi w:val="0"/>
        <w:ind w:firstLine="3092" w:firstLineChars="1100"/>
        <w:jc w:val="both"/>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项目支出明细表</w:t>
      </w:r>
    </w:p>
    <w:p>
      <w:pPr>
        <w:pStyle w:val="2"/>
        <w:ind w:firstLine="560"/>
        <w:jc w:val="center"/>
        <w:rPr>
          <w:rFonts w:hint="default" w:ascii="Times New Roman" w:hAnsi="Times New Roman" w:cs="Times New Roman"/>
          <w:bCs/>
          <w:sz w:val="28"/>
          <w:szCs w:val="28"/>
        </w:rPr>
      </w:pPr>
      <w:r>
        <w:rPr>
          <w:rFonts w:hint="default" w:ascii="Times New Roman" w:hAnsi="Times New Roman" w:cs="Times New Roman"/>
          <w:bCs/>
          <w:sz w:val="28"/>
          <w:szCs w:val="28"/>
          <w:lang w:val="en-US" w:eastAsia="zh-CN"/>
        </w:rPr>
        <w:t xml:space="preserve">                                        </w:t>
      </w:r>
      <w:r>
        <w:rPr>
          <w:rFonts w:hint="default" w:ascii="Times New Roman" w:hAnsi="Times New Roman" w:cs="Times New Roman"/>
          <w:bCs/>
          <w:sz w:val="28"/>
          <w:szCs w:val="28"/>
        </w:rPr>
        <w:t>单位：元</w:t>
      </w:r>
    </w:p>
    <w:tbl>
      <w:tblPr>
        <w:tblStyle w:val="9"/>
        <w:tblW w:w="7668" w:type="dxa"/>
        <w:jc w:val="center"/>
        <w:tblInd w:w="0" w:type="dxa"/>
        <w:tblLayout w:type="fixed"/>
        <w:tblCellMar>
          <w:top w:w="0" w:type="dxa"/>
          <w:left w:w="108" w:type="dxa"/>
          <w:bottom w:w="0" w:type="dxa"/>
          <w:right w:w="108" w:type="dxa"/>
        </w:tblCellMar>
      </w:tblPr>
      <w:tblGrid>
        <w:gridCol w:w="3250"/>
        <w:gridCol w:w="2952"/>
        <w:gridCol w:w="1466"/>
      </w:tblGrid>
      <w:tr>
        <w:tblPrEx>
          <w:tblLayout w:type="fixed"/>
          <w:tblCellMar>
            <w:top w:w="0" w:type="dxa"/>
            <w:left w:w="108" w:type="dxa"/>
            <w:bottom w:w="0" w:type="dxa"/>
            <w:right w:w="108" w:type="dxa"/>
          </w:tblCellMar>
        </w:tblPrEx>
        <w:trPr>
          <w:trHeight w:val="321"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中介机构</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服务名称</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金额</w:t>
            </w:r>
          </w:p>
        </w:tc>
      </w:tr>
      <w:tr>
        <w:tblPrEx>
          <w:tblLayout w:type="fixed"/>
          <w:tblCellMar>
            <w:top w:w="0" w:type="dxa"/>
            <w:left w:w="108" w:type="dxa"/>
            <w:bottom w:w="0" w:type="dxa"/>
            <w:right w:w="108" w:type="dxa"/>
          </w:tblCellMar>
        </w:tblPrEx>
        <w:trPr>
          <w:trHeight w:val="420"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安永（上海）税务师事务所有限公司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服务费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100,000.00</w:t>
            </w:r>
          </w:p>
        </w:tc>
      </w:tr>
      <w:tr>
        <w:tblPrEx>
          <w:tblLayout w:type="fixed"/>
          <w:tblCellMar>
            <w:top w:w="0" w:type="dxa"/>
            <w:left w:w="108" w:type="dxa"/>
            <w:bottom w:w="0" w:type="dxa"/>
            <w:right w:w="108" w:type="dxa"/>
          </w:tblCellMar>
        </w:tblPrEx>
        <w:trPr>
          <w:trHeight w:val="515"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云南翔为税务师事务所有限公司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专业税务顾问</w:t>
            </w:r>
            <w:r>
              <w:rPr>
                <w:rFonts w:hint="default" w:ascii="Times New Roman" w:hAnsi="Times New Roman" w:cs="Times New Roman"/>
                <w:color w:val="000000"/>
                <w:kern w:val="0"/>
                <w:szCs w:val="21"/>
                <w:lang w:eastAsia="zh-CN" w:bidi="ar"/>
              </w:rPr>
              <w:t>或</w:t>
            </w:r>
            <w:r>
              <w:rPr>
                <w:rFonts w:hint="default" w:ascii="Times New Roman" w:hAnsi="Times New Roman" w:cs="Times New Roman"/>
                <w:color w:val="000000"/>
                <w:kern w:val="0"/>
                <w:szCs w:val="21"/>
                <w:lang w:bidi="ar"/>
              </w:rPr>
              <w:t>顾问费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100,000.00</w:t>
            </w:r>
          </w:p>
        </w:tc>
      </w:tr>
      <w:tr>
        <w:tblPrEx>
          <w:tblLayout w:type="fixed"/>
          <w:tblCellMar>
            <w:top w:w="0" w:type="dxa"/>
            <w:left w:w="108" w:type="dxa"/>
            <w:bottom w:w="0" w:type="dxa"/>
            <w:right w:w="108" w:type="dxa"/>
          </w:tblCellMar>
        </w:tblPrEx>
        <w:trPr>
          <w:trHeight w:val="599"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昆明佳达信税务师事务所有限公司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一般税务咨询</w:t>
            </w:r>
            <w:r>
              <w:rPr>
                <w:rFonts w:hint="default" w:ascii="Times New Roman" w:hAnsi="Times New Roman" w:cs="Times New Roman"/>
                <w:color w:val="000000"/>
                <w:kern w:val="0"/>
                <w:szCs w:val="21"/>
                <w:lang w:eastAsia="zh-CN" w:bidi="ar"/>
              </w:rPr>
              <w:t>或</w:t>
            </w:r>
            <w:r>
              <w:rPr>
                <w:rFonts w:hint="default" w:ascii="Times New Roman" w:hAnsi="Times New Roman" w:cs="Times New Roman"/>
                <w:color w:val="000000"/>
                <w:kern w:val="0"/>
                <w:szCs w:val="21"/>
                <w:lang w:bidi="ar"/>
              </w:rPr>
              <w:t>涉税服务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130,000.00</w:t>
            </w:r>
          </w:p>
        </w:tc>
      </w:tr>
      <w:tr>
        <w:tblPrEx>
          <w:tblLayout w:type="fixed"/>
          <w:tblCellMar>
            <w:top w:w="0" w:type="dxa"/>
            <w:left w:w="108" w:type="dxa"/>
            <w:bottom w:w="0" w:type="dxa"/>
            <w:right w:w="108" w:type="dxa"/>
          </w:tblCellMar>
        </w:tblPrEx>
        <w:trPr>
          <w:trHeight w:val="443"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昆明庆盈税务师事务所有限公司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其他咨询服务</w:t>
            </w:r>
            <w:r>
              <w:rPr>
                <w:rFonts w:hint="default" w:ascii="Times New Roman" w:hAnsi="Times New Roman" w:cs="Times New Roman"/>
                <w:color w:val="000000"/>
                <w:kern w:val="0"/>
                <w:szCs w:val="21"/>
                <w:lang w:eastAsia="zh-CN" w:bidi="ar"/>
              </w:rPr>
              <w:t>或</w:t>
            </w:r>
            <w:r>
              <w:rPr>
                <w:rFonts w:hint="default" w:ascii="Times New Roman" w:hAnsi="Times New Roman" w:cs="Times New Roman"/>
                <w:color w:val="000000"/>
                <w:kern w:val="0"/>
                <w:szCs w:val="21"/>
                <w:lang w:bidi="ar"/>
              </w:rPr>
              <w:t>顾问费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120,000.00</w:t>
            </w:r>
          </w:p>
        </w:tc>
      </w:tr>
      <w:tr>
        <w:tblPrEx>
          <w:tblLayout w:type="fixed"/>
          <w:tblCellMar>
            <w:top w:w="0" w:type="dxa"/>
            <w:left w:w="108" w:type="dxa"/>
            <w:bottom w:w="0" w:type="dxa"/>
            <w:right w:w="108" w:type="dxa"/>
          </w:tblCellMar>
        </w:tblPrEx>
        <w:trPr>
          <w:trHeight w:val="494"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云南德广税务师事务所</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专业税务顾问</w:t>
            </w:r>
            <w:r>
              <w:rPr>
                <w:rFonts w:hint="default" w:ascii="Times New Roman" w:hAnsi="Times New Roman" w:cs="Times New Roman"/>
                <w:color w:val="000000"/>
                <w:kern w:val="0"/>
                <w:szCs w:val="21"/>
                <w:lang w:eastAsia="zh-CN" w:bidi="ar"/>
              </w:rPr>
              <w:t>或</w:t>
            </w:r>
            <w:r>
              <w:rPr>
                <w:rFonts w:hint="default" w:ascii="Times New Roman" w:hAnsi="Times New Roman" w:cs="Times New Roman"/>
                <w:color w:val="000000"/>
                <w:kern w:val="0"/>
                <w:szCs w:val="21"/>
                <w:lang w:bidi="ar"/>
              </w:rPr>
              <w:t>税务咨询服务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100,000.00</w:t>
            </w:r>
          </w:p>
        </w:tc>
      </w:tr>
      <w:tr>
        <w:tblPrEx>
          <w:tblLayout w:type="fixed"/>
          <w:tblCellMar>
            <w:top w:w="0" w:type="dxa"/>
            <w:left w:w="108" w:type="dxa"/>
            <w:bottom w:w="0" w:type="dxa"/>
            <w:right w:w="108" w:type="dxa"/>
          </w:tblCellMar>
        </w:tblPrEx>
        <w:trPr>
          <w:trHeight w:val="494"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昆明中兑税务师事务所有限责任公司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土地增值税清算中介费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20,000</w:t>
            </w:r>
          </w:p>
        </w:tc>
      </w:tr>
      <w:tr>
        <w:tblPrEx>
          <w:tblLayout w:type="fixed"/>
          <w:tblCellMar>
            <w:top w:w="0" w:type="dxa"/>
            <w:left w:w="108" w:type="dxa"/>
            <w:bottom w:w="0" w:type="dxa"/>
            <w:right w:w="108" w:type="dxa"/>
          </w:tblCellMar>
        </w:tblPrEx>
        <w:trPr>
          <w:trHeight w:val="494" w:hRule="atLeast"/>
          <w:jc w:val="center"/>
        </w:trPr>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云南中瑞岳华税务师事务所有限公司</w:t>
            </w:r>
          </w:p>
        </w:tc>
        <w:tc>
          <w:tcPr>
            <w:tcW w:w="2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土地增值税清算中介费</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10,000</w:t>
            </w:r>
          </w:p>
        </w:tc>
      </w:tr>
      <w:tr>
        <w:tblPrEx>
          <w:tblLayout w:type="fixed"/>
          <w:tblCellMar>
            <w:top w:w="0" w:type="dxa"/>
            <w:left w:w="108" w:type="dxa"/>
            <w:bottom w:w="0" w:type="dxa"/>
            <w:right w:w="108" w:type="dxa"/>
          </w:tblCellMar>
        </w:tblPrEx>
        <w:trPr>
          <w:trHeight w:val="494" w:hRule="atLeast"/>
          <w:jc w:val="center"/>
        </w:trPr>
        <w:tc>
          <w:tcPr>
            <w:tcW w:w="6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合计</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580,000</w:t>
            </w:r>
          </w:p>
        </w:tc>
      </w:tr>
    </w:tbl>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４</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组织及管理情况</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（１）依据《盘龙区引入中介机构开展土地增值税清算项目绩效实施方案》的职责分工情况：</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①昆明市盘龙区财政局应本着公平</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公正</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公开的原则招标采购中介机构，使具有税务</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审计</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造价</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资产评估执业人员，且信誉度高</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土地增值税清算实务经验丰富的中介机构入围提供服务，并做好服务费用保障工作</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②盘龙区税务局要加强与住建等部门的联系，摸清税源底数，对已经达到清算条件的房地产项目进行全面梳理统计，为清算工作打好基础，在中介机构的配合下，全面推进土地增值税清算工作。</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③中介机构按照和财税部门约定的委托服务范围</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工作要求</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时限和方法等，协助税务机关开展土地增值税清算工作。对于中介机构未按协议约定开展工作的，经税务部门提请，盘龙区财政局可以减少或不支付服务费用。</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２）盘龙区财政局建立了《三重一大》《昆明市盘龙区财政局采购管理内部控制制度》《昆明市盘龙区财政局政府购买服务内部控制制度（试行）》《昆明市盘龙区财政局内部控制基本制度（试行）》《昆明市盘龙区财政局预算管理内部控制制度（试行）》等制度规定，以加强项目财务核算管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部门内控管理及业务支出监督工作，并从资金的收支管理方面对项目实施过程进行事前</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事中</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事后严格的审批管理和检查，保证项目的顺利开展，保障资金的安全性和完整性。制定了《昆明市盘龙区财政局收支管理内部控制制度（试行）》及《昆明市盘龙区财政局收支管理内部控制流程》等管理办法，明确了财政预算管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财政资金使用管理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收支管理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绩效管理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报销审批流程等方面的管理内容，按厉行节约</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注重实效的原则，强化对财政资金的使用管理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监督管理，以保障项目资金的安全</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有效</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合规使用。</w:t>
      </w:r>
    </w:p>
    <w:p>
      <w:pPr>
        <w:ind w:firstLine="640" w:firstLineChars="200"/>
        <w:outlineLvl w:val="1"/>
        <w:rPr>
          <w:rFonts w:hint="default" w:ascii="Times New Roman" w:hAnsi="Times New Roman" w:eastAsia="楷体_GB2312" w:cs="Times New Roman"/>
          <w:b w:val="0"/>
          <w:bCs w:val="0"/>
          <w:kern w:val="30"/>
          <w:sz w:val="32"/>
          <w:szCs w:val="32"/>
        </w:rPr>
      </w:pPr>
      <w:bookmarkStart w:id="14" w:name="_Toc27757"/>
      <w:r>
        <w:rPr>
          <w:rFonts w:hint="default" w:ascii="Times New Roman" w:hAnsi="Times New Roman" w:eastAsia="楷体_GB2312" w:cs="Times New Roman"/>
          <w:b w:val="0"/>
          <w:bCs w:val="0"/>
          <w:kern w:val="30"/>
          <w:sz w:val="32"/>
          <w:szCs w:val="32"/>
        </w:rPr>
        <w:t>（二）绩效目标</w:t>
      </w:r>
      <w:bookmarkEnd w:id="14"/>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总目标</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按照省</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市部署要求，将开展土地增值税清算作为应对减税降费影响</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促进财政收入增收的突破口。以客观公正</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实事求是的原则，严格遵从税收法律法规，挖掘潜在税源，全面提高土地增值税征管和清算的专业化</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信息化</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制度化水平。</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rPr>
        <w:t>年度目标</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促进盘龙区房地产市场健康发展，保障国家土地资源增值收益，加强房地产业税收征管工作，维护税收环境的公平公正，促进财税收入稳定增长。</w:t>
      </w:r>
    </w:p>
    <w:p>
      <w:pPr>
        <w:pStyle w:val="4"/>
        <w:keepNext w:val="0"/>
        <w:keepLines w:val="0"/>
        <w:widowControl/>
        <w:spacing w:before="0" w:after="0" w:line="360" w:lineRule="auto"/>
        <w:ind w:firstLine="640" w:firstLineChars="200"/>
        <w:contextualSpacing/>
        <w:rPr>
          <w:rFonts w:hint="default" w:ascii="Times New Roman" w:hAnsi="Times New Roman" w:eastAsia="黑体" w:cs="Times New Roman"/>
          <w:b w:val="0"/>
          <w:bCs w:val="0"/>
          <w:color w:val="000000"/>
          <w:kern w:val="0"/>
          <w:sz w:val="32"/>
          <w:szCs w:val="32"/>
        </w:rPr>
      </w:pPr>
      <w:bookmarkStart w:id="15" w:name="_Toc14827"/>
      <w:r>
        <w:rPr>
          <w:rFonts w:hint="default" w:ascii="Times New Roman" w:hAnsi="Times New Roman" w:eastAsia="黑体" w:cs="Times New Roman"/>
          <w:b w:val="0"/>
          <w:bCs w:val="0"/>
          <w:color w:val="000000"/>
          <w:kern w:val="0"/>
          <w:sz w:val="32"/>
          <w:szCs w:val="32"/>
        </w:rPr>
        <w:t>二</w:t>
      </w:r>
      <w:r>
        <w:rPr>
          <w:rFonts w:hint="default" w:ascii="Times New Roman" w:hAnsi="Times New Roman" w:eastAsia="黑体" w:cs="Times New Roman"/>
          <w:b w:val="0"/>
          <w:bCs w:val="0"/>
          <w:color w:val="000000"/>
          <w:kern w:val="0"/>
          <w:sz w:val="32"/>
          <w:szCs w:val="32"/>
          <w:lang w:eastAsia="zh-CN"/>
        </w:rPr>
        <w:t>、</w:t>
      </w:r>
      <w:r>
        <w:rPr>
          <w:rFonts w:hint="default" w:ascii="Times New Roman" w:hAnsi="Times New Roman" w:eastAsia="黑体" w:cs="Times New Roman"/>
          <w:b w:val="0"/>
          <w:bCs w:val="0"/>
          <w:color w:val="000000"/>
          <w:kern w:val="0"/>
          <w:sz w:val="32"/>
          <w:szCs w:val="32"/>
        </w:rPr>
        <w:t>绩效评价工作情况</w:t>
      </w:r>
      <w:bookmarkEnd w:id="15"/>
    </w:p>
    <w:p>
      <w:pPr>
        <w:ind w:firstLine="640" w:firstLineChars="200"/>
        <w:outlineLvl w:val="1"/>
        <w:rPr>
          <w:rFonts w:hint="default" w:ascii="Times New Roman" w:hAnsi="Times New Roman" w:eastAsia="楷体_GB2312" w:cs="Times New Roman"/>
          <w:b w:val="0"/>
          <w:bCs w:val="0"/>
          <w:kern w:val="30"/>
          <w:sz w:val="32"/>
          <w:szCs w:val="32"/>
        </w:rPr>
      </w:pPr>
      <w:bookmarkStart w:id="16" w:name="_Toc31919"/>
      <w:r>
        <w:rPr>
          <w:rFonts w:hint="default" w:ascii="Times New Roman" w:hAnsi="Times New Roman" w:eastAsia="楷体_GB2312" w:cs="Times New Roman"/>
          <w:b w:val="0"/>
          <w:bCs w:val="0"/>
          <w:kern w:val="30"/>
          <w:sz w:val="32"/>
          <w:szCs w:val="32"/>
        </w:rPr>
        <w:t>（一）绩效评价目的</w:t>
      </w:r>
      <w:bookmarkEnd w:id="16"/>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全面了解项目管理过程是否规范</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产出目标是否完成以及效果目标是否实现等方面的内容，总结经验，查找不足，为项目在以后年度的开展提供可行性参考建议。在此基础上，重点分析项目预算编制的合理性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成本支出的真实性和控制有效性，评价财政资金的使用效率和效果，为以后年度编制项目预算</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选择项目实施主体等提供参考依据。</w:t>
      </w:r>
    </w:p>
    <w:p>
      <w:pPr>
        <w:ind w:firstLine="640" w:firstLineChars="200"/>
        <w:outlineLvl w:val="1"/>
        <w:rPr>
          <w:rFonts w:hint="default" w:ascii="Times New Roman" w:hAnsi="Times New Roman" w:eastAsia="楷体_GB2312" w:cs="Times New Roman"/>
          <w:b w:val="0"/>
          <w:bCs w:val="0"/>
          <w:kern w:val="30"/>
          <w:sz w:val="32"/>
          <w:szCs w:val="32"/>
        </w:rPr>
      </w:pPr>
      <w:bookmarkStart w:id="17" w:name="_Toc30942"/>
      <w:r>
        <w:rPr>
          <w:rFonts w:hint="default" w:ascii="Times New Roman" w:hAnsi="Times New Roman" w:eastAsia="楷体_GB2312" w:cs="Times New Roman"/>
          <w:b w:val="0"/>
          <w:bCs w:val="0"/>
          <w:kern w:val="30"/>
          <w:sz w:val="32"/>
          <w:szCs w:val="32"/>
        </w:rPr>
        <w:t>（二）绩效评价工作方案制定过程</w:t>
      </w:r>
      <w:bookmarkEnd w:id="17"/>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前期调研</w:t>
      </w:r>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根据《昆明市委托中介机构参与土地增值税清算业务管理办法（暂行）》等相关政策文件的精神及要求，结合项目开展实际情况，本着坚持依规审核</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讲求绩效</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公开透明</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强化监督的原则，确保财政资金的规范</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安全和高效使用。盘龙区税收清算业务项目工作由盘龙区财政局按照政府采购有关规定招标引入中介机构，中介机构协助税务部门对溪畔丽景</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丽水雅苑</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北泰花园</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风尚沸腾公寓</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万派中心</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低碳中心6个房地产项目开展土地增值税评估清算，以确保税收清算前期准备工作的到位。</w:t>
      </w:r>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２</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研究文件</w:t>
      </w:r>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根据《中华人民共和国税收征收管理法》及其实施细则</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《中华人民共和国土地增值税暂行条例》及其实施细则</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《国家税务总局关于进一步做好土地增值税征管工作的通知》（税总发〔2013〕67号）</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《国家税务总局关于深入开展土地增值税清算工作的通知》（税总函〔2013〕658号）</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《国家税务总局关于房地产开发企业土地增值税清算管理有关问题的通知》（国税发〔2006〕187号）</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国家税务总局关于加强土地增值税清算征管工作的通知》（国税发〔2010〕53号）和《国家税务总局关于印发〈土地增值税清算鉴证业务准则〉的通知》（国税发〔2007〕132号）《昆明市人民政府关于加强士地增值税征管和清算的实施意见》（昆政发〔2014〕116号）《昆明市委托中介机构参与土地增值税清算业务管理办法（暂行）》等国家和行业现行的相关法规</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规范</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标准进行税务清算。</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3</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绩效评价指标体系及工作方案的设计</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按照项目预算绩效目标，结合部门职能职责的履职内容要求，按照完整性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相关性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适当性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可行性原则进行绩效自评指标体系的设置。</w:t>
      </w:r>
    </w:p>
    <w:p>
      <w:pPr>
        <w:ind w:firstLine="640" w:firstLineChars="200"/>
        <w:outlineLvl w:val="1"/>
        <w:rPr>
          <w:rFonts w:hint="default" w:ascii="Times New Roman" w:hAnsi="Times New Roman" w:eastAsia="楷体_GB2312" w:cs="Times New Roman"/>
          <w:b w:val="0"/>
          <w:bCs w:val="0"/>
          <w:kern w:val="30"/>
          <w:sz w:val="32"/>
          <w:szCs w:val="32"/>
        </w:rPr>
      </w:pPr>
      <w:bookmarkStart w:id="18" w:name="_Toc9290"/>
      <w:r>
        <w:rPr>
          <w:rFonts w:hint="default" w:ascii="Times New Roman" w:hAnsi="Times New Roman" w:eastAsia="楷体_GB2312" w:cs="Times New Roman"/>
          <w:b w:val="0"/>
          <w:bCs w:val="0"/>
          <w:kern w:val="30"/>
          <w:sz w:val="32"/>
          <w:szCs w:val="32"/>
        </w:rPr>
        <w:t>（三）绩效评价原则</w:t>
      </w:r>
      <w:r>
        <w:rPr>
          <w:rFonts w:hint="default" w:ascii="Times New Roman" w:hAnsi="Times New Roman" w:eastAsia="楷体_GB2312" w:cs="Times New Roman"/>
          <w:b w:val="0"/>
          <w:bCs w:val="0"/>
          <w:kern w:val="30"/>
          <w:sz w:val="32"/>
          <w:szCs w:val="32"/>
          <w:lang w:eastAsia="zh-CN"/>
        </w:rPr>
        <w:t>.</w:t>
      </w:r>
      <w:r>
        <w:rPr>
          <w:rFonts w:hint="default" w:ascii="Times New Roman" w:hAnsi="Times New Roman" w:eastAsia="楷体_GB2312" w:cs="Times New Roman"/>
          <w:b w:val="0"/>
          <w:bCs w:val="0"/>
          <w:kern w:val="30"/>
          <w:sz w:val="32"/>
          <w:szCs w:val="32"/>
        </w:rPr>
        <w:t>评价方法</w:t>
      </w:r>
      <w:bookmarkEnd w:id="18"/>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绩效自评原则</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（1）绩效相关原则。绩效自评应围绕绩效目标</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针对具体支出及其产出绩效进行，评价结果应清晰反映支出和产出绩效之间的对应关系。</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（2）科学规范原则。绩效自评应严格执行规定的程序，按照科学可行的要求，采用定量与定性分析相结合的方式，具体评价过程应坚持定量优先的原则。</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（3）公正公开原则。绩效自评应符合真实</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客观</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公正的要求，按照规定公开并接受社会监督。</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（4）结果导向原则。绩效自评结果将运用于预算安排和预算执行中，不断提高单位预算管理水平。</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绩效自评方法</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评价方式以综合体系评价为主，从项目的投入</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产出</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效果等方面进行评价，按完整性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相关性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适当性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可行性原则对项目预算投入</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实施管理过程</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所得效益进行评价。</w:t>
      </w:r>
    </w:p>
    <w:p>
      <w:pPr>
        <w:ind w:firstLine="640" w:firstLineChars="200"/>
        <w:outlineLvl w:val="1"/>
        <w:rPr>
          <w:rFonts w:hint="default" w:ascii="Times New Roman" w:hAnsi="Times New Roman" w:eastAsia="楷体_GB2312" w:cs="Times New Roman"/>
          <w:b w:val="0"/>
          <w:bCs w:val="0"/>
          <w:kern w:val="30"/>
          <w:sz w:val="32"/>
          <w:szCs w:val="32"/>
        </w:rPr>
      </w:pPr>
      <w:bookmarkStart w:id="19" w:name="_Toc14793"/>
      <w:r>
        <w:rPr>
          <w:rFonts w:hint="default" w:ascii="Times New Roman" w:hAnsi="Times New Roman" w:eastAsia="楷体_GB2312" w:cs="Times New Roman"/>
          <w:b w:val="0"/>
          <w:bCs w:val="0"/>
          <w:kern w:val="30"/>
          <w:sz w:val="32"/>
          <w:szCs w:val="32"/>
        </w:rPr>
        <w:t>（四）绩效评价实施过程</w:t>
      </w:r>
      <w:bookmarkEnd w:id="19"/>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数据填报和采集：项目评价依据以项目工作计划及项目开展执行情况为基础，按照工作实际推进情况及相关业务数据，结合项目相关财务资料</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业务数据等材料进行整合采集。</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数据分析和撰写报告：项目数据分析以财务部门</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业务部门年度数据和资料等相关材料为基础，得出最终数据后撰写项目绩效自评报告。</w:t>
      </w:r>
    </w:p>
    <w:p>
      <w:pPr>
        <w:ind w:firstLine="640" w:firstLineChars="200"/>
        <w:outlineLvl w:val="1"/>
        <w:rPr>
          <w:rFonts w:hint="default" w:ascii="Times New Roman" w:hAnsi="Times New Roman" w:eastAsia="楷体_GB2312" w:cs="Times New Roman"/>
          <w:b w:val="0"/>
          <w:bCs w:val="0"/>
          <w:kern w:val="30"/>
          <w:sz w:val="32"/>
          <w:szCs w:val="32"/>
        </w:rPr>
      </w:pPr>
      <w:bookmarkStart w:id="20" w:name="_Toc2809"/>
      <w:r>
        <w:rPr>
          <w:rFonts w:hint="default" w:ascii="Times New Roman" w:hAnsi="Times New Roman" w:eastAsia="楷体_GB2312" w:cs="Times New Roman"/>
          <w:b w:val="0"/>
          <w:bCs w:val="0"/>
          <w:kern w:val="30"/>
          <w:sz w:val="32"/>
          <w:szCs w:val="32"/>
        </w:rPr>
        <w:t>（五）本次绩效评价的局限性</w:t>
      </w:r>
      <w:bookmarkEnd w:id="20"/>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本次绩效自评按照《盘龙区区级部门预算绩效自评管理暂行办法》（盘财〔2018〕71号）《盘龙区区级部门预算绩效自评管理暂行办法》相关内容和要求进行评价，以达到绩效目标全面</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完整</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明确</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清晰等全面性考核。</w:t>
      </w:r>
    </w:p>
    <w:p>
      <w:pPr>
        <w:pStyle w:val="4"/>
        <w:keepNext w:val="0"/>
        <w:keepLines w:val="0"/>
        <w:widowControl/>
        <w:spacing w:before="0" w:after="0" w:line="360" w:lineRule="auto"/>
        <w:ind w:firstLine="640" w:firstLineChars="200"/>
        <w:contextualSpacing/>
        <w:rPr>
          <w:rFonts w:hint="default" w:ascii="Times New Roman" w:hAnsi="Times New Roman" w:eastAsia="黑体" w:cs="Times New Roman"/>
          <w:b w:val="0"/>
          <w:bCs w:val="0"/>
          <w:color w:val="000000"/>
          <w:kern w:val="0"/>
          <w:sz w:val="32"/>
          <w:szCs w:val="32"/>
        </w:rPr>
      </w:pPr>
      <w:bookmarkStart w:id="21" w:name="_Toc6038"/>
      <w:r>
        <w:rPr>
          <w:rFonts w:hint="default" w:ascii="Times New Roman" w:hAnsi="Times New Roman" w:eastAsia="黑体" w:cs="Times New Roman"/>
          <w:b w:val="0"/>
          <w:bCs w:val="0"/>
          <w:color w:val="000000"/>
          <w:kern w:val="0"/>
          <w:sz w:val="32"/>
          <w:szCs w:val="32"/>
        </w:rPr>
        <w:t>三</w:t>
      </w:r>
      <w:r>
        <w:rPr>
          <w:rFonts w:hint="default" w:ascii="Times New Roman" w:hAnsi="Times New Roman" w:eastAsia="黑体" w:cs="Times New Roman"/>
          <w:b w:val="0"/>
          <w:bCs w:val="0"/>
          <w:color w:val="000000"/>
          <w:kern w:val="0"/>
          <w:sz w:val="32"/>
          <w:szCs w:val="32"/>
          <w:lang w:eastAsia="zh-CN"/>
        </w:rPr>
        <w:t>、</w:t>
      </w:r>
      <w:r>
        <w:rPr>
          <w:rFonts w:hint="default" w:ascii="Times New Roman" w:hAnsi="Times New Roman" w:eastAsia="黑体" w:cs="Times New Roman"/>
          <w:b w:val="0"/>
          <w:bCs w:val="0"/>
          <w:color w:val="000000"/>
          <w:kern w:val="0"/>
          <w:sz w:val="32"/>
          <w:szCs w:val="32"/>
        </w:rPr>
        <w:t>评价结论和绩效分析</w:t>
      </w:r>
      <w:bookmarkEnd w:id="21"/>
    </w:p>
    <w:p>
      <w:pPr>
        <w:ind w:firstLine="640" w:firstLineChars="200"/>
        <w:outlineLvl w:val="1"/>
        <w:rPr>
          <w:rFonts w:hint="default" w:ascii="Times New Roman" w:hAnsi="Times New Roman" w:eastAsia="楷体_GB2312" w:cs="Times New Roman"/>
          <w:b w:val="0"/>
          <w:bCs w:val="0"/>
          <w:kern w:val="30"/>
          <w:sz w:val="32"/>
          <w:szCs w:val="32"/>
        </w:rPr>
      </w:pPr>
      <w:bookmarkStart w:id="22" w:name="_Toc4518"/>
      <w:r>
        <w:rPr>
          <w:rFonts w:hint="default" w:ascii="Times New Roman" w:hAnsi="Times New Roman" w:eastAsia="楷体_GB2312" w:cs="Times New Roman"/>
          <w:b w:val="0"/>
          <w:bCs w:val="0"/>
          <w:kern w:val="30"/>
          <w:sz w:val="32"/>
          <w:szCs w:val="32"/>
        </w:rPr>
        <w:t>（一）评价结论</w:t>
      </w:r>
      <w:bookmarkEnd w:id="22"/>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评价结果</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依据《盘龙区区级部门预算绩效自评管理暂行办法》（盘财〔2018〕71号）《盘龙区区级部门预算绩效自评管理暂行办法》相关内容和要求进行评价，综合得分</w:t>
      </w:r>
      <w:r>
        <w:rPr>
          <w:rFonts w:hint="eastAsia" w:ascii="Times New Roman" w:hAnsi="Times New Roman" w:eastAsia="仿宋_GB2312" w:cs="Times New Roman"/>
          <w:bCs/>
          <w:sz w:val="32"/>
          <w:szCs w:val="32"/>
          <w:lang w:val="en-US" w:eastAsia="zh-CN"/>
        </w:rPr>
        <w:t>99</w:t>
      </w:r>
      <w:r>
        <w:rPr>
          <w:rFonts w:hint="default" w:ascii="Times New Roman" w:hAnsi="Times New Roman" w:eastAsia="仿宋_GB2312" w:cs="Times New Roman"/>
          <w:bCs/>
          <w:sz w:val="32"/>
          <w:szCs w:val="32"/>
        </w:rPr>
        <w:t>分。</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２</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主要绩效</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全面提高了土地增值税征管和清算的专业化</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信息化</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制度化水平。同时，促进盘龙区房地产市场健康发展，保障国家土地资源增值收益，加强房地产业税收征管工作，维护税收环境的公平公正，促进财税收入稳定增长。</w:t>
      </w:r>
    </w:p>
    <w:p>
      <w:pPr>
        <w:ind w:firstLine="640" w:firstLineChars="200"/>
        <w:outlineLvl w:val="1"/>
        <w:rPr>
          <w:rFonts w:hint="default" w:ascii="Times New Roman" w:hAnsi="Times New Roman" w:eastAsia="楷体_GB2312" w:cs="Times New Roman"/>
          <w:b w:val="0"/>
          <w:bCs w:val="0"/>
          <w:kern w:val="30"/>
          <w:sz w:val="32"/>
          <w:szCs w:val="32"/>
        </w:rPr>
      </w:pPr>
      <w:bookmarkStart w:id="23" w:name="_Toc8813"/>
      <w:r>
        <w:rPr>
          <w:rFonts w:hint="default" w:ascii="Times New Roman" w:hAnsi="Times New Roman" w:eastAsia="楷体_GB2312" w:cs="Times New Roman"/>
          <w:b w:val="0"/>
          <w:bCs w:val="0"/>
          <w:kern w:val="30"/>
          <w:sz w:val="32"/>
          <w:szCs w:val="32"/>
        </w:rPr>
        <w:t>（二）具体绩效分析</w:t>
      </w:r>
      <w:bookmarkEnd w:id="23"/>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val="en-US" w:eastAsia="zh-CN"/>
        </w:rPr>
        <w:t>1.</w:t>
      </w:r>
      <w:r>
        <w:rPr>
          <w:rFonts w:hint="default" w:ascii="Times New Roman" w:hAnsi="Times New Roman" w:eastAsia="仿宋_GB2312" w:cs="Times New Roman"/>
          <w:bCs/>
          <w:sz w:val="32"/>
          <w:szCs w:val="32"/>
        </w:rPr>
        <w:t>预算执行率</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项目截止2022年12月31日，项目收入5</w:t>
      </w:r>
      <w:r>
        <w:rPr>
          <w:rFonts w:hint="eastAsia"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0,000.00元，项目2022年共计支出5</w:t>
      </w:r>
      <w:r>
        <w:rPr>
          <w:rFonts w:hint="eastAsia"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0,000.00元，预算执行率为</w:t>
      </w:r>
      <w:r>
        <w:rPr>
          <w:rFonts w:hint="eastAsia" w:ascii="Times New Roman" w:hAnsi="Times New Roman" w:eastAsia="仿宋_GB2312" w:cs="Times New Roman"/>
          <w:bCs/>
          <w:sz w:val="32"/>
          <w:szCs w:val="32"/>
          <w:lang w:val="en-US" w:eastAsia="zh-CN"/>
        </w:rPr>
        <w:t>100</w:t>
      </w:r>
      <w:r>
        <w:rPr>
          <w:rFonts w:hint="default" w:ascii="Times New Roman" w:hAnsi="Times New Roman" w:eastAsia="仿宋_GB2312" w:cs="Times New Roman"/>
          <w:bCs/>
          <w:sz w:val="32"/>
          <w:szCs w:val="32"/>
        </w:rPr>
        <w:t>%。</w:t>
      </w:r>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产出指标</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（1）各主管地税机关土地增值税中介清算项目数量</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2022年内中介机构协助税务部门对溪畔丽景</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丽水雅苑</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北泰花园</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风尚沸腾公寓</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万派中心</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低碳中心完成6个房地产开发项目的土地增值税清，清算项目完成率为100%。</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（2）质量指标</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根据招投标存档资料，参与土地增值税清算的中介机构均需要具备相应条件。</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（3）项目完成时限</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根据《昆明市人民政府关于加强士地增值税征管和清算的实施意见》（昆政发〔2014〕116号）《昆明市委托中介机构参与土地增值税清算业务管理办法（暂行）》等相关文件要求，税收清算业务为延续性项目。截止2022年12月31日，项目已完成。</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3</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效益指标</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根据税收清算业务相关材料及项目完成情况，按照省</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市部署要求，将开展土地增值税清算作为应对减税降费影响</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促进财政收入增收的突破口。以客观公正</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实事求是的原则，严格遵从税收法律法规，挖掘潜在税源，全面提高土地增值税征管和清算的专业化</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信息化</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制度化水平。同时，促进盘龙区房地产市场健康发展，保障国家土地资源增值收益，加强房地产业税收征管工作，维护税收环境的公平公正，促进财税收入稳定增长。</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4</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满意度指标</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区级</w:t>
      </w:r>
      <w:r>
        <w:rPr>
          <w:rFonts w:hint="default" w:ascii="Times New Roman" w:hAnsi="Times New Roman" w:eastAsia="仿宋_GB2312" w:cs="Times New Roman"/>
          <w:bCs/>
          <w:sz w:val="32"/>
          <w:szCs w:val="32"/>
        </w:rPr>
        <w:t>征收机关满意度</w:t>
      </w:r>
    </w:p>
    <w:p>
      <w:pPr>
        <w:ind w:firstLine="56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根据项目完成情况，对征收机关的满意度进行电话询问调查，区级征收机关满意度为100.00%。</w:t>
      </w:r>
    </w:p>
    <w:p>
      <w:pPr>
        <w:pStyle w:val="4"/>
        <w:keepNext w:val="0"/>
        <w:keepLines w:val="0"/>
        <w:widowControl/>
        <w:spacing w:before="0" w:after="0" w:line="360" w:lineRule="auto"/>
        <w:ind w:firstLine="640" w:firstLineChars="200"/>
        <w:contextualSpacing/>
        <w:rPr>
          <w:rFonts w:hint="default" w:ascii="Times New Roman" w:hAnsi="Times New Roman" w:eastAsia="黑体" w:cs="Times New Roman"/>
          <w:b w:val="0"/>
          <w:bCs w:val="0"/>
          <w:color w:val="000000"/>
          <w:kern w:val="0"/>
          <w:sz w:val="32"/>
          <w:szCs w:val="32"/>
        </w:rPr>
      </w:pPr>
      <w:bookmarkStart w:id="24" w:name="_Toc5920"/>
      <w:r>
        <w:rPr>
          <w:rFonts w:hint="default" w:ascii="Times New Roman" w:hAnsi="Times New Roman" w:eastAsia="黑体" w:cs="Times New Roman"/>
          <w:b w:val="0"/>
          <w:bCs w:val="0"/>
          <w:color w:val="000000"/>
          <w:kern w:val="0"/>
          <w:sz w:val="32"/>
          <w:szCs w:val="32"/>
        </w:rPr>
        <w:t>四</w:t>
      </w:r>
      <w:r>
        <w:rPr>
          <w:rFonts w:hint="eastAsia" w:ascii="Times New Roman" w:hAnsi="Times New Roman" w:eastAsia="黑体" w:cs="Times New Roman"/>
          <w:b w:val="0"/>
          <w:bCs w:val="0"/>
          <w:color w:val="000000"/>
          <w:kern w:val="0"/>
          <w:sz w:val="32"/>
          <w:szCs w:val="32"/>
          <w:lang w:eastAsia="zh-CN"/>
        </w:rPr>
        <w:t>、</w:t>
      </w:r>
      <w:r>
        <w:rPr>
          <w:rFonts w:hint="default" w:ascii="Times New Roman" w:hAnsi="Times New Roman" w:eastAsia="黑体" w:cs="Times New Roman"/>
          <w:b w:val="0"/>
          <w:bCs w:val="0"/>
          <w:color w:val="000000"/>
          <w:kern w:val="0"/>
          <w:sz w:val="32"/>
          <w:szCs w:val="32"/>
        </w:rPr>
        <w:t>成本效益分析</w:t>
      </w:r>
      <w:bookmarkEnd w:id="24"/>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项目共引入五家中介机构协助税务机关开展土地增值税清算工作，项目总支出580,000.00元，全面推进土地增值税清算工作，顺利实现税款入库，促进盘龙区房地产市场健康发展，保障国家土地资源增值收益，加强房地产业税收征管工作，维护税收环境的公平公正，促进财税收入稳定增长。</w:t>
      </w:r>
    </w:p>
    <w:p>
      <w:pPr>
        <w:pStyle w:val="4"/>
        <w:keepNext w:val="0"/>
        <w:keepLines w:val="0"/>
        <w:widowControl/>
        <w:spacing w:before="0" w:after="0" w:line="360" w:lineRule="auto"/>
        <w:ind w:firstLine="640" w:firstLineChars="200"/>
        <w:contextualSpacing/>
        <w:rPr>
          <w:rFonts w:hint="default" w:ascii="Times New Roman" w:hAnsi="Times New Roman" w:eastAsia="黑体" w:cs="Times New Roman"/>
          <w:b w:val="0"/>
          <w:bCs w:val="0"/>
          <w:color w:val="000000"/>
          <w:kern w:val="0"/>
          <w:sz w:val="32"/>
          <w:szCs w:val="32"/>
        </w:rPr>
      </w:pPr>
      <w:bookmarkStart w:id="25" w:name="_Toc6176"/>
      <w:r>
        <w:rPr>
          <w:rFonts w:hint="default" w:ascii="Times New Roman" w:hAnsi="Times New Roman" w:eastAsia="黑体" w:cs="Times New Roman"/>
          <w:b w:val="0"/>
          <w:bCs w:val="0"/>
          <w:color w:val="000000"/>
          <w:kern w:val="0"/>
          <w:sz w:val="32"/>
          <w:szCs w:val="32"/>
        </w:rPr>
        <w:t>五</w:t>
      </w:r>
      <w:r>
        <w:rPr>
          <w:rFonts w:hint="eastAsia" w:ascii="Times New Roman" w:hAnsi="Times New Roman" w:eastAsia="黑体" w:cs="Times New Roman"/>
          <w:b w:val="0"/>
          <w:bCs w:val="0"/>
          <w:color w:val="000000"/>
          <w:kern w:val="0"/>
          <w:sz w:val="32"/>
          <w:szCs w:val="32"/>
          <w:lang w:eastAsia="zh-CN"/>
        </w:rPr>
        <w:t>、</w:t>
      </w:r>
      <w:r>
        <w:rPr>
          <w:rFonts w:hint="default" w:ascii="Times New Roman" w:hAnsi="Times New Roman" w:eastAsia="黑体" w:cs="Times New Roman"/>
          <w:b w:val="0"/>
          <w:bCs w:val="0"/>
          <w:color w:val="000000"/>
          <w:kern w:val="0"/>
          <w:sz w:val="32"/>
          <w:szCs w:val="32"/>
        </w:rPr>
        <w:t>主要经验及做法</w:t>
      </w:r>
      <w:r>
        <w:rPr>
          <w:rFonts w:hint="eastAsia" w:ascii="Times New Roman" w:hAnsi="Times New Roman" w:eastAsia="黑体" w:cs="Times New Roman"/>
          <w:b w:val="0"/>
          <w:bCs w:val="0"/>
          <w:color w:val="000000"/>
          <w:kern w:val="0"/>
          <w:sz w:val="32"/>
          <w:szCs w:val="32"/>
          <w:lang w:eastAsia="zh-CN"/>
        </w:rPr>
        <w:t>及</w:t>
      </w:r>
      <w:r>
        <w:rPr>
          <w:rFonts w:hint="default" w:ascii="Times New Roman" w:hAnsi="Times New Roman" w:eastAsia="黑体" w:cs="Times New Roman"/>
          <w:b w:val="0"/>
          <w:bCs w:val="0"/>
          <w:color w:val="000000"/>
          <w:kern w:val="0"/>
          <w:sz w:val="32"/>
          <w:szCs w:val="32"/>
        </w:rPr>
        <w:t>存在的问题和建议</w:t>
      </w:r>
      <w:bookmarkEnd w:id="25"/>
    </w:p>
    <w:p>
      <w:pPr>
        <w:ind w:firstLine="640" w:firstLineChars="200"/>
        <w:outlineLvl w:val="1"/>
        <w:rPr>
          <w:rFonts w:hint="default" w:ascii="Times New Roman" w:hAnsi="Times New Roman" w:eastAsia="楷体_GB2312" w:cs="Times New Roman"/>
          <w:b w:val="0"/>
          <w:bCs w:val="0"/>
          <w:kern w:val="30"/>
          <w:sz w:val="32"/>
          <w:szCs w:val="32"/>
        </w:rPr>
      </w:pPr>
      <w:bookmarkStart w:id="26" w:name="_Toc15170"/>
      <w:r>
        <w:rPr>
          <w:rFonts w:hint="default" w:ascii="Times New Roman" w:hAnsi="Times New Roman" w:eastAsia="楷体_GB2312" w:cs="Times New Roman"/>
          <w:b w:val="0"/>
          <w:bCs w:val="0"/>
          <w:kern w:val="30"/>
          <w:sz w:val="32"/>
          <w:szCs w:val="32"/>
        </w:rPr>
        <w:t>（一）主要经验及做法</w:t>
      </w:r>
      <w:bookmarkEnd w:id="26"/>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项目资金拨付程序完整</w:t>
      </w:r>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项目的开展严格按照单位的内控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收支及采购等相关的管理制度，各项经费支出均按照相关审批管理制度执行，通过相关报账手续后，由财政局进行资金拨付。项目实际支出与项目计划投入资金的用途相符，资金的拨付有完整的审批程序和手续，符合项目预算批复或合同规定的用途，不存在超标列支相关费用，基本做到了专款专用，不存在截留</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挤占</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挪用</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虚列支出。</w:t>
      </w:r>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项目</w:t>
      </w:r>
      <w:bookmarkStart w:id="27" w:name="_Toc111549043"/>
      <w:r>
        <w:rPr>
          <w:rFonts w:hint="default" w:ascii="Times New Roman" w:hAnsi="Times New Roman" w:eastAsia="仿宋_GB2312" w:cs="Times New Roman"/>
          <w:bCs/>
          <w:sz w:val="32"/>
          <w:szCs w:val="32"/>
        </w:rPr>
        <w:t>开展过程中，明确高标准</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立足严要求</w:t>
      </w:r>
      <w:bookmarkEnd w:id="27"/>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项目根据《昆明市人民政府关于加强士地增值税征管和清算的实施意见》（昆政发〔2014〕116号）《昆明市委托中介机构参与土地增值税清算业务管理办法（暂行）》等文件所规定的标准开展，并结合所面临的实际情况，制订了2022年度项目的实施方案《盘龙区引入中介机构开展土地增值税清算项目绩效实施方案》，明确了区财政局</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区</w:t>
      </w:r>
      <w:r>
        <w:rPr>
          <w:rFonts w:hint="default" w:ascii="Times New Roman" w:hAnsi="Times New Roman" w:eastAsia="仿宋_GB2312" w:cs="Times New Roman"/>
          <w:bCs/>
          <w:sz w:val="32"/>
          <w:szCs w:val="32"/>
          <w:lang w:eastAsia="zh-CN"/>
        </w:rPr>
        <w:t>税务</w:t>
      </w:r>
      <w:r>
        <w:rPr>
          <w:rFonts w:hint="default" w:ascii="Times New Roman" w:hAnsi="Times New Roman" w:eastAsia="仿宋_GB2312" w:cs="Times New Roman"/>
          <w:bCs/>
          <w:sz w:val="32"/>
          <w:szCs w:val="32"/>
        </w:rPr>
        <w:t>局及中介机构的职责分工，以确保项目的顺利开展。</w:t>
      </w:r>
    </w:p>
    <w:p>
      <w:pPr>
        <w:ind w:firstLine="640" w:firstLineChars="200"/>
        <w:outlineLvl w:val="1"/>
        <w:rPr>
          <w:rFonts w:hint="default" w:ascii="Times New Roman" w:hAnsi="Times New Roman" w:eastAsia="楷体_GB2312" w:cs="Times New Roman"/>
          <w:b w:val="0"/>
          <w:bCs w:val="0"/>
          <w:kern w:val="30"/>
          <w:sz w:val="32"/>
          <w:szCs w:val="32"/>
        </w:rPr>
      </w:pPr>
      <w:bookmarkStart w:id="28" w:name="_Toc21799"/>
      <w:r>
        <w:rPr>
          <w:rFonts w:hint="default" w:ascii="Times New Roman" w:hAnsi="Times New Roman" w:eastAsia="楷体_GB2312" w:cs="Times New Roman"/>
          <w:b w:val="0"/>
          <w:bCs w:val="0"/>
          <w:kern w:val="30"/>
          <w:sz w:val="32"/>
          <w:szCs w:val="32"/>
        </w:rPr>
        <w:t>（二）存在的问题</w:t>
      </w:r>
      <w:bookmarkEnd w:id="28"/>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项目申报表中总体目标及年度目标设置不规范，未对项目的实施内容</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预期达到的产出效果进行明确阐述；绩效指标精炼度不高，明确性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完善性尚有欠缺，绩效指标清晰</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细化</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可衡量性有待进一步完善。</w:t>
      </w:r>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设定的项目绩效评价指标时，部分指标设置不合理或，如：质量指标设置为“参与土地增值税清算的中介机构，需要具备相应条件”，且本项目无社会效果指标，指标内容应精简；以及部分效果指标难以量化考核，如：社会效益指标。</w:t>
      </w:r>
    </w:p>
    <w:p>
      <w:pPr>
        <w:ind w:firstLine="640" w:firstLineChars="200"/>
        <w:outlineLvl w:val="1"/>
        <w:rPr>
          <w:rFonts w:hint="default" w:ascii="Times New Roman" w:hAnsi="Times New Roman" w:eastAsia="楷体_GB2312" w:cs="Times New Roman"/>
          <w:b w:val="0"/>
          <w:bCs w:val="0"/>
          <w:kern w:val="30"/>
          <w:sz w:val="32"/>
          <w:szCs w:val="32"/>
        </w:rPr>
      </w:pPr>
      <w:bookmarkStart w:id="29" w:name="_Toc23687"/>
      <w:r>
        <w:rPr>
          <w:rFonts w:hint="default" w:ascii="Times New Roman" w:hAnsi="Times New Roman" w:eastAsia="楷体_GB2312" w:cs="Times New Roman"/>
          <w:b w:val="0"/>
          <w:bCs w:val="0"/>
          <w:kern w:val="30"/>
          <w:sz w:val="32"/>
          <w:szCs w:val="32"/>
        </w:rPr>
        <w:t>（三）建议和改进措施</w:t>
      </w:r>
      <w:bookmarkEnd w:id="29"/>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绩效目标的设置内容应该有效客观反映项目实施的内容，并对项目开展预期的产出数量和实施效果进行明确清晰的阐述，从而合理反映项目一定时期内预期达到的产出和效果，以便于对项目的实施结果开展有效评价。在下年度的申报中根据上年工作开展情况及绩效自评结果，结合下年工作目标</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计划，在设置绩效目标时有效客观反映项目实施的内容，并对项目开展预期的产出数量和实施效果进行明确清晰的阐述；在设置指标时，根据绩效目标进行细化分解。</w:t>
      </w:r>
    </w:p>
    <w:p>
      <w:pPr>
        <w:ind w:firstLine="640" w:firstLineChars="200"/>
        <w:rPr>
          <w:rFonts w:hint="default" w:ascii="Times New Roman" w:hAnsi="Times New Roman" w:eastAsia="仿宋_GB2312" w:cs="Times New Roman"/>
          <w:bCs/>
          <w:sz w:val="32"/>
          <w:szCs w:val="32"/>
        </w:rPr>
      </w:pPr>
    </w:p>
    <w:p>
      <w:pPr>
        <w:ind w:left="1918" w:leftChars="304" w:hanging="1280" w:hangingChars="4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附件：1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税收清算业务项目支出绩效评价指标体系及评分表</w:t>
      </w:r>
    </w:p>
    <w:p>
      <w:pPr>
        <w:ind w:firstLine="1600" w:firstLineChars="5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税收清算业务经费</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预览申报书</w:t>
      </w: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PMingLiU">
    <w:panose1 w:val="02020500000000000000"/>
    <w:charset w:val="88"/>
    <w:family w:val="roman"/>
    <w:pitch w:val="default"/>
    <w:sig w:usb0="A00002FF" w:usb1="28CFFCFA" w:usb2="00000016" w:usb3="00000000" w:csb0="0010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DMrwO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&#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GoMyvA4CAAAJBAAADgAAAAAAAAABACAAAAAf&#10;AQAAZHJzL2Uyb0RvYy54bWxQSwUGAAAAAAYABgBZAQAAn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mSwMQAgAABwQAAA4AAABkcnMvZTJvRG9jLnhtbK1TzY7TMBC+I/EO&#10;lu80aRGrbt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8JksDEAIAAAcEAAAOAAAAAAAAAAEAIAAA&#10;AB8BAABkcnMvZTJvRG9jLnhtbFBLBQYAAAAABgAGAFkBAACh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xMDdkZTBiYmQyMjFjNmNhOTc2ZmRjODY1NzdhMjMifQ=="/>
  </w:docVars>
  <w:rsids>
    <w:rsidRoot w:val="00F50054"/>
    <w:rsid w:val="00146EC0"/>
    <w:rsid w:val="00636937"/>
    <w:rsid w:val="00CA6F68"/>
    <w:rsid w:val="00F50054"/>
    <w:rsid w:val="05785C61"/>
    <w:rsid w:val="06BA03AE"/>
    <w:rsid w:val="19F33C52"/>
    <w:rsid w:val="1BBE52B0"/>
    <w:rsid w:val="1FD6316A"/>
    <w:rsid w:val="241D4D79"/>
    <w:rsid w:val="26E14857"/>
    <w:rsid w:val="2D864C46"/>
    <w:rsid w:val="2E3C65C0"/>
    <w:rsid w:val="2F4C4176"/>
    <w:rsid w:val="37764526"/>
    <w:rsid w:val="3805338D"/>
    <w:rsid w:val="3A9E375D"/>
    <w:rsid w:val="429D2B10"/>
    <w:rsid w:val="42E04252"/>
    <w:rsid w:val="45A673F5"/>
    <w:rsid w:val="4F603032"/>
    <w:rsid w:val="4FAE2458"/>
    <w:rsid w:val="56882555"/>
    <w:rsid w:val="63830AF6"/>
    <w:rsid w:val="654A5819"/>
    <w:rsid w:val="6E7B5ABE"/>
    <w:rsid w:val="7EC6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9"/>
    <w:pPr>
      <w:outlineLvl w:val="1"/>
    </w:pPr>
    <w:rPr>
      <w:rFonts w:ascii="Cambria" w:hAnsi="Cambria" w:eastAsia="仿宋_GB2312"/>
      <w:b/>
      <w:bCs/>
      <w:sz w:val="28"/>
      <w:szCs w:val="2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qFormat/>
    <w:uiPriority w:val="0"/>
  </w:style>
  <w:style w:type="paragraph" w:customStyle="1" w:styleId="11">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2">
    <w:name w:val="TOC 标题1"/>
    <w:basedOn w:val="4"/>
    <w:next w:val="1"/>
    <w:qFormat/>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13">
    <w:name w:val="行间距 Char"/>
    <w:link w:val="14"/>
    <w:qFormat/>
    <w:uiPriority w:val="0"/>
    <w:rPr>
      <w:rFonts w:ascii="仿宋" w:hAnsi="仿宋" w:eastAsia="仿宋"/>
      <w:kern w:val="30"/>
      <w:sz w:val="30"/>
      <w:szCs w:val="30"/>
      <w:lang w:bidi="ar-SA"/>
    </w:rPr>
  </w:style>
  <w:style w:type="paragraph" w:customStyle="1" w:styleId="14">
    <w:name w:val="行间距"/>
    <w:basedOn w:val="1"/>
    <w:link w:val="13"/>
    <w:qFormat/>
    <w:uiPriority w:val="0"/>
    <w:pPr>
      <w:spacing w:line="579" w:lineRule="exact"/>
      <w:ind w:firstLine="600"/>
    </w:pPr>
    <w:rPr>
      <w:rFonts w:ascii="仿宋" w:hAnsi="仿宋" w:eastAsia="仿宋"/>
      <w:kern w:val="30"/>
      <w:sz w:val="30"/>
      <w:szCs w:val="30"/>
    </w:rPr>
  </w:style>
  <w:style w:type="character" w:customStyle="1" w:styleId="15">
    <w:name w:val="公文标题"/>
    <w:qFormat/>
    <w:uiPriority w:val="0"/>
    <w:rPr>
      <w:rFonts w:ascii="方正小标宋_GBK" w:hAnsi="华文中宋" w:eastAsia="方正小标宋_GBK"/>
      <w:color w:val="000000"/>
      <w:sz w:val="44"/>
      <w:szCs w:val="84"/>
    </w:rPr>
  </w:style>
  <w:style w:type="paragraph" w:customStyle="1" w:styleId="16">
    <w:name w:val="列出段落121"/>
    <w:basedOn w:val="1"/>
    <w:qFormat/>
    <w:uiPriority w:val="34"/>
    <w:pPr>
      <w:ind w:firstLine="420"/>
    </w:pPr>
  </w:style>
  <w:style w:type="paragraph" w:customStyle="1" w:styleId="17">
    <w:name w:val="WPSOffice手动目录 1"/>
    <w:qFormat/>
    <w:uiPriority w:val="0"/>
    <w:pPr>
      <w:ind w:leftChars="0"/>
    </w:pPr>
    <w:rPr>
      <w:rFonts w:ascii="Times New Roman" w:hAnsi="Times New Roman" w:eastAsia="宋体" w:cs="Times New Roman"/>
      <w:sz w:val="20"/>
      <w:szCs w:val="20"/>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5364</Words>
  <Characters>5623</Characters>
  <Lines>41</Lines>
  <Paragraphs>11</Paragraphs>
  <TotalTime>2</TotalTime>
  <ScaleCrop>false</ScaleCrop>
  <LinksUpToDate>false</LinksUpToDate>
  <CharactersWithSpaces>5638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2023-03-27T02:44:00Z</dcterms:created>
  <dc:creator>Administrator</dc:creator>
  <cp:lastModifiedBy>Administrator</cp:lastModifiedBy>
  <dcterms:modified xsi:type="dcterms:W3CDTF">2023-06-13T02:05:37Z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3293F6CB80F94485A2CB0F93C54B66D3</vt:lpwstr>
  </property>
</Properties>
</file>