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方正小标宋_GBK" w:eastAsia="方正小标宋_GBK"/>
          <w:sz w:val="28"/>
          <w:szCs w:val="28"/>
        </w:rPr>
      </w:pPr>
      <w:r>
        <w:rPr>
          <w:rFonts w:hint="eastAsia" w:ascii="方正小标宋_GBK" w:eastAsia="方正小标宋_GBK"/>
          <w:sz w:val="28"/>
          <w:szCs w:val="28"/>
        </w:rPr>
        <w:t>项目支出绩效评价共性指标体系框架</w:t>
      </w:r>
    </w:p>
    <w:tbl>
      <w:tblPr>
        <w:tblStyle w:val="3"/>
        <w:tblpPr w:leftFromText="180" w:rightFromText="180" w:vertAnchor="text" w:horzAnchor="page" w:tblpX="1201" w:tblpY="383"/>
        <w:tblW w:w="10412" w:type="dxa"/>
        <w:tblInd w:w="0" w:type="dxa"/>
        <w:tblLayout w:type="fixed"/>
        <w:tblCellMar>
          <w:top w:w="0" w:type="dxa"/>
          <w:left w:w="108" w:type="dxa"/>
          <w:bottom w:w="0" w:type="dxa"/>
          <w:right w:w="108" w:type="dxa"/>
        </w:tblCellMar>
      </w:tblPr>
      <w:tblGrid>
        <w:gridCol w:w="846"/>
        <w:gridCol w:w="971"/>
        <w:gridCol w:w="1143"/>
        <w:gridCol w:w="1091"/>
        <w:gridCol w:w="499"/>
        <w:gridCol w:w="568"/>
        <w:gridCol w:w="2101"/>
        <w:gridCol w:w="1975"/>
        <w:gridCol w:w="1218"/>
      </w:tblGrid>
      <w:tr>
        <w:tblPrEx>
          <w:tblLayout w:type="fixed"/>
          <w:tblCellMar>
            <w:top w:w="0" w:type="dxa"/>
            <w:left w:w="108" w:type="dxa"/>
            <w:bottom w:w="0" w:type="dxa"/>
            <w:right w:w="108" w:type="dxa"/>
          </w:tblCellMar>
        </w:tblPrEx>
        <w:trPr>
          <w:trHeight w:val="540" w:hRule="atLeast"/>
        </w:trPr>
        <w:tc>
          <w:tcPr>
            <w:tcW w:w="84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一级</w:t>
            </w:r>
          </w:p>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w:t>
            </w:r>
          </w:p>
        </w:tc>
        <w:tc>
          <w:tcPr>
            <w:tcW w:w="971"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二级指标</w:t>
            </w:r>
          </w:p>
        </w:tc>
        <w:tc>
          <w:tcPr>
            <w:tcW w:w="1143"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三级指标</w:t>
            </w:r>
          </w:p>
        </w:tc>
        <w:tc>
          <w:tcPr>
            <w:tcW w:w="1091"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四级指标</w:t>
            </w:r>
          </w:p>
        </w:tc>
        <w:tc>
          <w:tcPr>
            <w:tcW w:w="499"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分值</w:t>
            </w:r>
          </w:p>
        </w:tc>
        <w:tc>
          <w:tcPr>
            <w:tcW w:w="568"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得分</w:t>
            </w:r>
          </w:p>
        </w:tc>
        <w:tc>
          <w:tcPr>
            <w:tcW w:w="2101"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指标解释</w:t>
            </w:r>
          </w:p>
        </w:tc>
        <w:tc>
          <w:tcPr>
            <w:tcW w:w="1975"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评分标准</w:t>
            </w:r>
          </w:p>
        </w:tc>
        <w:tc>
          <w:tcPr>
            <w:tcW w:w="1218"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数据来源</w:t>
            </w:r>
          </w:p>
        </w:tc>
      </w:tr>
      <w:tr>
        <w:tblPrEx>
          <w:tblLayout w:type="fixed"/>
          <w:tblCellMar>
            <w:top w:w="0" w:type="dxa"/>
            <w:left w:w="108" w:type="dxa"/>
            <w:bottom w:w="0" w:type="dxa"/>
            <w:right w:w="108" w:type="dxa"/>
          </w:tblCellMar>
        </w:tblPrEx>
        <w:trPr>
          <w:trHeight w:val="900" w:hRule="atLeast"/>
        </w:trPr>
        <w:tc>
          <w:tcPr>
            <w:tcW w:w="846"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A.项目决策（20%）</w:t>
            </w:r>
          </w:p>
        </w:tc>
        <w:tc>
          <w:tcPr>
            <w:tcW w:w="971"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A1.项目立项（8%）</w:t>
            </w: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A11.与部门中长期规划目标适应性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A111.与部门中长期规划目标匹配性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考察项目与部门中长期目标是否匹配</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匹配，得满分；不匹配，不得分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部门中长期规划目标</w:t>
            </w:r>
          </w:p>
        </w:tc>
      </w:tr>
      <w:tr>
        <w:tblPrEx>
          <w:tblLayout w:type="fixed"/>
          <w:tblCellMar>
            <w:top w:w="0" w:type="dxa"/>
            <w:left w:w="108" w:type="dxa"/>
            <w:bottom w:w="0" w:type="dxa"/>
            <w:right w:w="108" w:type="dxa"/>
          </w:tblCellMar>
        </w:tblPrEx>
        <w:trPr>
          <w:trHeight w:val="105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A12.立项依据充分性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A121.与市政府相关规划、决策匹配性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考察项目是否符合区政府相关发展规划和政府决策</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符合，得满分；不符合，不得分。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区政府相关规划、决策、批复</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A122.与部门职责适应性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考察项目是否与部门职责密切相关。</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部门职责文件</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A13.项目立项规范性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A131.前期调研情况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考察项目立项是否经过前期调研。</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调研报告</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A132.立项程序规范性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考察项目的申请、设立过程是否符合相关要求。</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立项申请、批复文件</w:t>
            </w:r>
          </w:p>
        </w:tc>
      </w:tr>
      <w:tr>
        <w:tblPrEx>
          <w:tblLayout w:type="fixed"/>
          <w:tblCellMar>
            <w:top w:w="0" w:type="dxa"/>
            <w:left w:w="108" w:type="dxa"/>
            <w:bottom w:w="0" w:type="dxa"/>
            <w:right w:w="108" w:type="dxa"/>
          </w:tblCellMar>
        </w:tblPrEx>
        <w:trPr>
          <w:trHeight w:val="91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A2.项目目标（12%）</w:t>
            </w: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A21.绩效目标设定的合理性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A211.绩效目标相关性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考察设定的绩效目标是否与事业发展规划相关。</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绩效目标申报表、部门规划、年度工作目标</w:t>
            </w:r>
          </w:p>
        </w:tc>
      </w:tr>
      <w:tr>
        <w:tblPrEx>
          <w:tblLayout w:type="fixed"/>
          <w:tblCellMar>
            <w:top w:w="0" w:type="dxa"/>
            <w:left w:w="108" w:type="dxa"/>
            <w:bottom w:w="0" w:type="dxa"/>
            <w:right w:w="108" w:type="dxa"/>
          </w:tblCellMar>
        </w:tblPrEx>
        <w:trPr>
          <w:trHeight w:val="108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A212.绩效目标完整性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考察设定的绩效目标是否完整地反应预期产出和效果</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绩效目标申报表、年度工作目标、立项申请、批复文件</w:t>
            </w:r>
          </w:p>
        </w:tc>
      </w:tr>
      <w:tr>
        <w:tblPrEx>
          <w:tblLayout w:type="fixed"/>
          <w:tblCellMar>
            <w:top w:w="0" w:type="dxa"/>
            <w:left w:w="108" w:type="dxa"/>
            <w:bottom w:w="0" w:type="dxa"/>
            <w:right w:w="108" w:type="dxa"/>
          </w:tblCellMar>
        </w:tblPrEx>
        <w:trPr>
          <w:trHeight w:val="82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A213.目标与预算的匹配性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考察设定的绩效目标是否与年度预算相匹配。</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绩效目标申报表、立项申请、批复文件</w:t>
            </w:r>
          </w:p>
        </w:tc>
      </w:tr>
      <w:tr>
        <w:tblPrEx>
          <w:tblLayout w:type="fixed"/>
          <w:tblCellMar>
            <w:top w:w="0" w:type="dxa"/>
            <w:left w:w="108" w:type="dxa"/>
            <w:bottom w:w="0" w:type="dxa"/>
            <w:right w:w="108" w:type="dxa"/>
          </w:tblCellMar>
        </w:tblPrEx>
        <w:trPr>
          <w:trHeight w:val="79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A22.绩效指标设定的明确性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A221.指标细化分解情况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3</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考察是否将绩效目标细化分解为清晰、可衡量的绩效指标。</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绩效目标申报表、立项申请、批复文件</w:t>
            </w:r>
          </w:p>
        </w:tc>
      </w:tr>
      <w:tr>
        <w:tblPrEx>
          <w:tblLayout w:type="fixed"/>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A222.指标与目标的匹配性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3</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考察设定的绩效指标是否与年度工作任务相对应。</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绩效目标申报表、年度工作任务</w:t>
            </w:r>
          </w:p>
        </w:tc>
      </w:tr>
      <w:tr>
        <w:tblPrEx>
          <w:tblLayout w:type="fixed"/>
          <w:tblCellMar>
            <w:top w:w="0" w:type="dxa"/>
            <w:left w:w="108" w:type="dxa"/>
            <w:bottom w:w="0" w:type="dxa"/>
            <w:right w:w="108" w:type="dxa"/>
          </w:tblCellMar>
        </w:tblPrEx>
        <w:trPr>
          <w:trHeight w:val="720" w:hRule="atLeast"/>
        </w:trPr>
        <w:tc>
          <w:tcPr>
            <w:tcW w:w="846"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B.项目管理（20%）</w:t>
            </w:r>
          </w:p>
        </w:tc>
        <w:tc>
          <w:tcPr>
            <w:tcW w:w="971"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B1.投入管理（4%）</w:t>
            </w: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B11.预算编制合理性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考察预算编制是否充分、合理的预计项目支出并完整反应</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合理得满分；存在一项不合理，扣0.5分，扣完为止</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预算分析、预算批复</w:t>
            </w:r>
          </w:p>
        </w:tc>
      </w:tr>
      <w:tr>
        <w:tblPrEx>
          <w:tblLayout w:type="fixed"/>
          <w:tblCellMar>
            <w:top w:w="0" w:type="dxa"/>
            <w:left w:w="108" w:type="dxa"/>
            <w:bottom w:w="0" w:type="dxa"/>
            <w:right w:w="108" w:type="dxa"/>
          </w:tblCellMar>
        </w:tblPrEx>
        <w:trPr>
          <w:trHeight w:val="81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B12.预算调整规范性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考察存在预算调整时是否按照相关规定执行调整程序。</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规范，得满分；部分规范，扣0.5分；不规范，不得分。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预算调整文件</w:t>
            </w:r>
          </w:p>
        </w:tc>
      </w:tr>
      <w:tr>
        <w:tblPrEx>
          <w:tblLayout w:type="fixed"/>
          <w:tblCellMar>
            <w:top w:w="0" w:type="dxa"/>
            <w:left w:w="108" w:type="dxa"/>
            <w:bottom w:w="0" w:type="dxa"/>
            <w:right w:w="108" w:type="dxa"/>
          </w:tblCellMar>
        </w:tblPrEx>
        <w:trPr>
          <w:trHeight w:val="123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B13.预算执行率</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考察项目预算执行的进度。预算执行率=实际支出金额/项目预算金额×100%</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预算执行率95%以上，得满分；低于95%，每下降1%扣权重的1%；预算执行率60%以下，不计分。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绩效目标申报表、支付指令、合同、财务凭证</w:t>
            </w:r>
          </w:p>
        </w:tc>
      </w:tr>
      <w:tr>
        <w:tblPrEx>
          <w:tblLayout w:type="fixed"/>
          <w:tblCellMar>
            <w:top w:w="0" w:type="dxa"/>
            <w:left w:w="108" w:type="dxa"/>
            <w:bottom w:w="0" w:type="dxa"/>
            <w:right w:w="108" w:type="dxa"/>
          </w:tblCellMar>
        </w:tblPrEx>
        <w:trPr>
          <w:trHeight w:val="97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B2.财务管理（6%）</w:t>
            </w: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B21.资金使用情况</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考察项目资金使用是否符合预算批复的用途，是否存在截留、挤占、挪用、虚列支出等情况。</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合规，得满分；存在一项不合规，扣1分，扣完为止。</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绩效目标申报表、支付指令，合同、财务凭证</w:t>
            </w:r>
          </w:p>
        </w:tc>
      </w:tr>
      <w:tr>
        <w:tblPrEx>
          <w:tblLayout w:type="fixed"/>
          <w:tblCellMar>
            <w:top w:w="0" w:type="dxa"/>
            <w:left w:w="108" w:type="dxa"/>
            <w:bottom w:w="0" w:type="dxa"/>
            <w:right w:w="108" w:type="dxa"/>
          </w:tblCellMar>
        </w:tblPrEx>
        <w:trPr>
          <w:trHeight w:val="228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B22.财务管理制度健全性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考察项目的财务制度是否健全、完善、有效。</w:t>
            </w:r>
          </w:p>
        </w:tc>
        <w:tc>
          <w:tcPr>
            <w:tcW w:w="1975" w:type="dxa"/>
            <w:tcBorders>
              <w:top w:val="nil"/>
              <w:left w:val="nil"/>
              <w:bottom w:val="single" w:color="auto" w:sz="4" w:space="0"/>
              <w:right w:val="single" w:color="auto" w:sz="4" w:space="0"/>
            </w:tcBorders>
            <w:shd w:val="clear" w:color="auto" w:fill="auto"/>
            <w:noWrap w:val="0"/>
            <w:vAlign w:val="top"/>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a.是否已制定或具有相应的财务管理办法；                         b.项目财务管理办法是否符合相关财务会计制度的规定；                                              c.是否存在需要完善的风险控制环节。                            符合所有条件，得满分； 一项不符合，扣0.5分，扣完为止。</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财务管理制度</w:t>
            </w:r>
          </w:p>
        </w:tc>
      </w:tr>
      <w:tr>
        <w:tblPrEx>
          <w:tblLayout w:type="fixed"/>
          <w:tblCellMar>
            <w:top w:w="0" w:type="dxa"/>
            <w:left w:w="108" w:type="dxa"/>
            <w:bottom w:w="0" w:type="dxa"/>
            <w:right w:w="108" w:type="dxa"/>
          </w:tblCellMar>
        </w:tblPrEx>
        <w:trPr>
          <w:trHeight w:val="75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B23.财务监控有效性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B231.资金拨付程序完整性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考察资金拨付是否具有完整的审批程序和手续，是否符合相关制度规定。</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资金拨付申请、审批手续完整，得满分；存在一例手续不完整，不得分。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支付申请单、支付指令</w:t>
            </w:r>
          </w:p>
        </w:tc>
      </w:tr>
      <w:tr>
        <w:tblPrEx>
          <w:tblLayout w:type="fixed"/>
          <w:tblCellMar>
            <w:top w:w="0" w:type="dxa"/>
            <w:left w:w="108" w:type="dxa"/>
            <w:bottom w:w="0" w:type="dxa"/>
            <w:right w:w="108" w:type="dxa"/>
          </w:tblCellMar>
        </w:tblPrEx>
        <w:trPr>
          <w:trHeight w:val="75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B232财务制度执行有效性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考察是否存在违反相关财务管理制度的情况。</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不存在，得满分；存在1例，不得分。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财务管理制度、访谈、会计凭证</w:t>
            </w:r>
          </w:p>
        </w:tc>
      </w:tr>
      <w:tr>
        <w:tblPrEx>
          <w:tblLayout w:type="fixed"/>
          <w:tblCellMar>
            <w:top w:w="0" w:type="dxa"/>
            <w:left w:w="108" w:type="dxa"/>
            <w:bottom w:w="0" w:type="dxa"/>
            <w:right w:w="108" w:type="dxa"/>
          </w:tblCellMar>
        </w:tblPrEx>
        <w:trPr>
          <w:trHeight w:val="120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B3.项目实施（10%）</w:t>
            </w: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B31.项目管理制度健全性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B311.项目实施单位管理制度健全性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项目实施单位为保障项目顺利实施制订的与项目直接相关的业务管理制度是否健全、完善和有效。</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制订相关制度或采取措施，得满分；制度不完善或者措施不明确，得权重的60%；没有相关制度或措施，不得分。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项目实施单位管理制度、访谈、现场调查</w:t>
            </w:r>
          </w:p>
        </w:tc>
      </w:tr>
      <w:tr>
        <w:tblPrEx>
          <w:tblLayout w:type="fixed"/>
          <w:tblCellMar>
            <w:top w:w="0" w:type="dxa"/>
            <w:left w:w="108" w:type="dxa"/>
            <w:bottom w:w="0" w:type="dxa"/>
            <w:right w:w="108" w:type="dxa"/>
          </w:tblCellMar>
        </w:tblPrEx>
        <w:trPr>
          <w:trHeight w:val="97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B312.管理方监管措施健全性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考察项目主管部门为保障项目顺利实施采取的监管措施是否明确，是否存在需要完善的风险控制环节。</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监管措施明确、完善，得满分；每存在一项需要完善的风险控制点，扣权重的30%，扣完为止。</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管理制度、访谈、现场调查</w:t>
            </w:r>
          </w:p>
        </w:tc>
      </w:tr>
      <w:tr>
        <w:tblPrEx>
          <w:tblLayout w:type="fixed"/>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B32.项目管理制度执行有效性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B321.项目实施单位管理制度执行情况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考察项目实施单位制订的管理制度是否有效执行。</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项目实施单位管理制度、现场调查</w:t>
            </w:r>
          </w:p>
        </w:tc>
      </w:tr>
      <w:tr>
        <w:tblPrEx>
          <w:tblLayout w:type="fixed"/>
          <w:tblCellMar>
            <w:top w:w="0" w:type="dxa"/>
            <w:left w:w="108" w:type="dxa"/>
            <w:bottom w:w="0" w:type="dxa"/>
            <w:right w:w="108" w:type="dxa"/>
          </w:tblCellMar>
        </w:tblPrEx>
        <w:trPr>
          <w:trHeight w:val="94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B322.监管措施执行情况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项目主管部门所制订的监管措施是否有效执行。</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管理制度、现场调查</w:t>
            </w:r>
          </w:p>
        </w:tc>
      </w:tr>
      <w:tr>
        <w:tblPrEx>
          <w:tblLayout w:type="fixed"/>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B323.合同执行情况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考察与项目相关的合同是否有效执行。</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合同、现场调查</w:t>
            </w:r>
          </w:p>
        </w:tc>
      </w:tr>
      <w:tr>
        <w:tblPrEx>
          <w:tblLayout w:type="fixed"/>
          <w:tblCellMar>
            <w:top w:w="0" w:type="dxa"/>
            <w:left w:w="108" w:type="dxa"/>
            <w:bottom w:w="0" w:type="dxa"/>
            <w:right w:w="108" w:type="dxa"/>
          </w:tblCellMar>
        </w:tblPrEx>
        <w:trPr>
          <w:trHeight w:val="78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B324.台账记录规范性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考察项目实施过程中的相关台账记录是否完整，并符合要求。</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规范，得满分；部分规范，得权重的60%；不规范，不得分。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台账记录</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B33.政府采购规范性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B331.采购方式合规性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考察采购方式是否符合中央、省、市、区的相关要求。</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符合相关要求，得满分；一项不符合，不得分。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政府采购相关材料</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B332.采购流程规范性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考察采购流程是否符合相关规定。</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符合相关要求，得满分；一项不符合，不得分。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政府采购相关材料</w:t>
            </w:r>
          </w:p>
        </w:tc>
      </w:tr>
      <w:tr>
        <w:tblPrEx>
          <w:tblLayout w:type="fixed"/>
          <w:tblCellMar>
            <w:top w:w="0" w:type="dxa"/>
            <w:left w:w="108" w:type="dxa"/>
            <w:bottom w:w="0" w:type="dxa"/>
            <w:right w:w="108" w:type="dxa"/>
          </w:tblCellMar>
        </w:tblPrEx>
        <w:trPr>
          <w:trHeight w:val="1200" w:hRule="atLeast"/>
        </w:trPr>
        <w:tc>
          <w:tcPr>
            <w:tcW w:w="846"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C.项目绩效（60%）</w:t>
            </w:r>
          </w:p>
        </w:tc>
        <w:tc>
          <w:tcPr>
            <w:tcW w:w="971"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C1.项目产出（30%）（说明：该指标主要反映部门（单位）项目工作任务的完成情况。三、四级指标以 XX年度污泥厂经费支出绩效评价为例设置，供各部门（单位）参考。各部门（单位）在绩效自评工作中要结合项目特征设置个性化的三、四级指标。）</w:t>
            </w: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C11.项目产出</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C111.</w:t>
            </w:r>
            <w:r>
              <w:rPr>
                <w:rFonts w:hint="eastAsia" w:ascii="宋体" w:hAnsi="宋体" w:cs="宋体"/>
                <w:color w:val="000000"/>
                <w:kern w:val="0"/>
                <w:sz w:val="18"/>
                <w:szCs w:val="18"/>
                <w:lang w:eastAsia="zh-CN"/>
              </w:rPr>
              <w:t>内控编报</w:t>
            </w:r>
            <w:r>
              <w:rPr>
                <w:rFonts w:hint="eastAsia" w:ascii="宋体" w:hAnsi="宋体" w:cs="宋体"/>
                <w:color w:val="000000"/>
                <w:kern w:val="0"/>
                <w:sz w:val="18"/>
                <w:szCs w:val="18"/>
              </w:rPr>
              <w:t>完成率</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5</w:t>
            </w:r>
          </w:p>
        </w:tc>
        <w:tc>
          <w:tcPr>
            <w:tcW w:w="2101"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rPr>
            </w:pPr>
            <w:r>
              <w:rPr>
                <w:rFonts w:hint="eastAsia" w:ascii="宋体" w:hAnsi="宋体" w:cs="宋体"/>
                <w:color w:val="000000"/>
                <w:kern w:val="0"/>
                <w:sz w:val="18"/>
                <w:szCs w:val="18"/>
              </w:rPr>
              <w:t>考察完成</w:t>
            </w:r>
            <w:r>
              <w:rPr>
                <w:rFonts w:hint="eastAsia" w:ascii="宋体" w:hAnsi="宋体" w:cs="宋体"/>
                <w:color w:val="000000"/>
                <w:kern w:val="0"/>
                <w:sz w:val="18"/>
                <w:szCs w:val="18"/>
                <w:lang w:eastAsia="zh-CN"/>
              </w:rPr>
              <w:t>内控编报</w:t>
            </w:r>
            <w:r>
              <w:rPr>
                <w:rFonts w:hint="eastAsia" w:ascii="宋体" w:hAnsi="宋体" w:cs="宋体"/>
                <w:color w:val="000000"/>
                <w:kern w:val="0"/>
                <w:sz w:val="18"/>
                <w:szCs w:val="18"/>
              </w:rPr>
              <w:t>工作。</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全部处理，得满分；每降低1%，扣权重的3%，扣完为止。</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台账</w:t>
            </w:r>
          </w:p>
        </w:tc>
      </w:tr>
      <w:tr>
        <w:tblPrEx>
          <w:tblLayout w:type="fixed"/>
          <w:tblCellMar>
            <w:top w:w="0" w:type="dxa"/>
            <w:left w:w="108" w:type="dxa"/>
            <w:bottom w:w="0" w:type="dxa"/>
            <w:right w:w="108" w:type="dxa"/>
          </w:tblCellMar>
        </w:tblPrEx>
        <w:trPr>
          <w:trHeight w:val="82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C112.</w:t>
            </w:r>
            <w:r>
              <w:rPr>
                <w:rFonts w:hint="eastAsia" w:ascii="宋体" w:hAnsi="宋体" w:cs="宋体"/>
                <w:color w:val="000000"/>
                <w:kern w:val="0"/>
                <w:sz w:val="18"/>
                <w:szCs w:val="18"/>
                <w:lang w:eastAsia="zh-CN"/>
              </w:rPr>
              <w:t>内控编报</w:t>
            </w:r>
            <w:r>
              <w:rPr>
                <w:rFonts w:hint="eastAsia" w:ascii="宋体" w:hAnsi="宋体" w:cs="宋体"/>
                <w:color w:val="000000"/>
                <w:kern w:val="0"/>
                <w:sz w:val="18"/>
                <w:szCs w:val="18"/>
              </w:rPr>
              <w:t>及时处理情况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3</w:t>
            </w:r>
          </w:p>
        </w:tc>
        <w:tc>
          <w:tcPr>
            <w:tcW w:w="2101"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rPr>
            </w:pPr>
            <w:r>
              <w:rPr>
                <w:rFonts w:hint="eastAsia" w:ascii="宋体" w:hAnsi="宋体" w:cs="宋体"/>
                <w:color w:val="000000"/>
                <w:kern w:val="0"/>
                <w:sz w:val="18"/>
                <w:szCs w:val="18"/>
              </w:rPr>
              <w:t>完成</w:t>
            </w:r>
            <w:r>
              <w:rPr>
                <w:rFonts w:hint="eastAsia" w:ascii="宋体" w:hAnsi="宋体" w:cs="宋体"/>
                <w:color w:val="000000"/>
                <w:kern w:val="0"/>
                <w:sz w:val="18"/>
                <w:szCs w:val="18"/>
                <w:lang w:eastAsia="zh-CN"/>
              </w:rPr>
              <w:t>内控编报</w:t>
            </w:r>
            <w:r>
              <w:rPr>
                <w:rFonts w:hint="eastAsia" w:ascii="宋体" w:hAnsi="宋体" w:cs="宋体"/>
                <w:color w:val="000000"/>
                <w:kern w:val="0"/>
                <w:sz w:val="18"/>
                <w:szCs w:val="18"/>
              </w:rPr>
              <w:t>工作业务合规性及有效性建设</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全部及时处理，得满分；存在一次未及时处理的，扣权重的10%，扣完为止。</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台账</w:t>
            </w:r>
          </w:p>
        </w:tc>
      </w:tr>
      <w:tr>
        <w:tblPrEx>
          <w:tblLayout w:type="fixed"/>
          <w:tblCellMar>
            <w:top w:w="0" w:type="dxa"/>
            <w:left w:w="108" w:type="dxa"/>
            <w:bottom w:w="0" w:type="dxa"/>
            <w:right w:w="108" w:type="dxa"/>
          </w:tblCellMar>
        </w:tblPrEx>
        <w:trPr>
          <w:trHeight w:val="84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C113.</w:t>
            </w:r>
            <w:r>
              <w:rPr>
                <w:rFonts w:hint="eastAsia" w:ascii="宋体" w:hAnsi="宋体" w:cs="宋体"/>
                <w:color w:val="000000"/>
                <w:kern w:val="0"/>
                <w:sz w:val="18"/>
                <w:szCs w:val="18"/>
                <w:lang w:eastAsia="zh-CN"/>
              </w:rPr>
              <w:t>内控编报</w:t>
            </w:r>
            <w:r>
              <w:rPr>
                <w:rFonts w:hint="eastAsia" w:ascii="宋体" w:hAnsi="宋体" w:cs="宋体"/>
                <w:color w:val="000000"/>
                <w:kern w:val="0"/>
                <w:sz w:val="18"/>
                <w:szCs w:val="18"/>
              </w:rPr>
              <w:t>业务建设完成情况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4</w:t>
            </w:r>
          </w:p>
        </w:tc>
        <w:tc>
          <w:tcPr>
            <w:tcW w:w="2101"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rPr>
            </w:pPr>
            <w:r>
              <w:rPr>
                <w:rFonts w:hint="eastAsia" w:ascii="宋体" w:hAnsi="宋体" w:cs="宋体"/>
                <w:color w:val="000000"/>
                <w:kern w:val="0"/>
                <w:sz w:val="18"/>
                <w:szCs w:val="18"/>
              </w:rPr>
              <w:t>完成</w:t>
            </w:r>
            <w:r>
              <w:rPr>
                <w:rFonts w:hint="eastAsia" w:ascii="宋体" w:hAnsi="宋体" w:cs="宋体"/>
                <w:color w:val="000000"/>
                <w:kern w:val="0"/>
                <w:sz w:val="18"/>
                <w:szCs w:val="18"/>
                <w:lang w:eastAsia="zh-CN"/>
              </w:rPr>
              <w:t>内控编报</w:t>
            </w:r>
            <w:r>
              <w:rPr>
                <w:rFonts w:hint="eastAsia" w:ascii="宋体" w:hAnsi="宋体" w:cs="宋体"/>
                <w:color w:val="000000"/>
                <w:kern w:val="0"/>
                <w:sz w:val="18"/>
                <w:szCs w:val="18"/>
              </w:rPr>
              <w:t>工作业务合规性及有效性建设</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全部合格，得满分；存在一次超标，扣权重的10%，扣完为止。</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报告</w:t>
            </w:r>
          </w:p>
        </w:tc>
      </w:tr>
      <w:tr>
        <w:tblPrEx>
          <w:tblLayout w:type="fixed"/>
          <w:tblCellMar>
            <w:top w:w="0" w:type="dxa"/>
            <w:left w:w="108" w:type="dxa"/>
            <w:bottom w:w="0" w:type="dxa"/>
            <w:right w:w="108" w:type="dxa"/>
          </w:tblCellMar>
        </w:tblPrEx>
        <w:trPr>
          <w:trHeight w:val="70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C114.</w:t>
            </w:r>
            <w:r>
              <w:rPr>
                <w:rFonts w:hint="eastAsia" w:ascii="宋体" w:hAnsi="宋体" w:cs="宋体"/>
                <w:color w:val="000000"/>
                <w:kern w:val="0"/>
                <w:sz w:val="18"/>
                <w:szCs w:val="18"/>
                <w:lang w:eastAsia="zh-CN"/>
              </w:rPr>
              <w:t>内控编报</w:t>
            </w:r>
            <w:r>
              <w:rPr>
                <w:rFonts w:hint="eastAsia" w:ascii="宋体" w:hAnsi="宋体" w:cs="宋体"/>
                <w:color w:val="000000"/>
                <w:kern w:val="0"/>
                <w:sz w:val="18"/>
                <w:szCs w:val="18"/>
              </w:rPr>
              <w:t>经费支出进度</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4</w:t>
            </w:r>
          </w:p>
        </w:tc>
        <w:tc>
          <w:tcPr>
            <w:tcW w:w="2101" w:type="dxa"/>
            <w:tcBorders>
              <w:top w:val="nil"/>
              <w:left w:val="nil"/>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rPr>
            </w:pPr>
            <w:r>
              <w:rPr>
                <w:rFonts w:hint="eastAsia" w:ascii="宋体" w:hAnsi="宋体" w:cs="宋体"/>
                <w:color w:val="000000"/>
                <w:kern w:val="0"/>
                <w:sz w:val="18"/>
                <w:szCs w:val="18"/>
              </w:rPr>
              <w:t>是否严格按照执行进度计划支出工作经费</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全部合格，得满分；存在一日超标，扣权重的1%，扣完为止。</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结果</w:t>
            </w:r>
          </w:p>
        </w:tc>
      </w:tr>
      <w:tr>
        <w:tblPrEx>
          <w:tblLayout w:type="fixed"/>
          <w:tblCellMar>
            <w:top w:w="0" w:type="dxa"/>
            <w:left w:w="108" w:type="dxa"/>
            <w:bottom w:w="0" w:type="dxa"/>
            <w:right w:w="108" w:type="dxa"/>
          </w:tblCellMar>
        </w:tblPrEx>
        <w:trPr>
          <w:trHeight w:val="123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C12.项目完成情况</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C121.项目完成率</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5</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lang w:eastAsia="zh-CN"/>
              </w:rPr>
              <w:t>内控编报</w:t>
            </w:r>
            <w:r>
              <w:rPr>
                <w:rFonts w:hint="eastAsia" w:ascii="宋体" w:hAnsi="宋体" w:cs="宋体"/>
                <w:color w:val="000000"/>
                <w:kern w:val="0"/>
                <w:sz w:val="18"/>
                <w:szCs w:val="18"/>
              </w:rPr>
              <w:t>工作业务是否全部</w:t>
            </w:r>
            <w:r>
              <w:rPr>
                <w:rFonts w:hint="eastAsia" w:ascii="宋体" w:hAnsi="宋体" w:cs="宋体"/>
                <w:color w:val="000000"/>
                <w:kern w:val="0"/>
                <w:sz w:val="18"/>
                <w:szCs w:val="18"/>
                <w:lang w:eastAsia="zh-CN"/>
              </w:rPr>
              <w:t>完成</w:t>
            </w:r>
            <w:r>
              <w:rPr>
                <w:rFonts w:hint="eastAsia" w:ascii="宋体" w:hAnsi="宋体" w:cs="宋体"/>
                <w:color w:val="000000"/>
                <w:kern w:val="0"/>
                <w:sz w:val="18"/>
                <w:szCs w:val="18"/>
              </w:rPr>
              <w:t>。</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全部处置，得满分；每降低1%，扣权重的3%，扣完为止。</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台账</w:t>
            </w:r>
          </w:p>
        </w:tc>
      </w:tr>
      <w:tr>
        <w:tblPrEx>
          <w:tblLayout w:type="fixed"/>
          <w:tblCellMar>
            <w:top w:w="0" w:type="dxa"/>
            <w:left w:w="108" w:type="dxa"/>
            <w:bottom w:w="0" w:type="dxa"/>
            <w:right w:w="108" w:type="dxa"/>
          </w:tblCellMar>
        </w:tblPrEx>
        <w:trPr>
          <w:trHeight w:val="78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C122.项目及时处置情况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3</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lang w:eastAsia="zh-CN"/>
              </w:rPr>
              <w:t>内控编报</w:t>
            </w:r>
            <w:r>
              <w:rPr>
                <w:rFonts w:hint="eastAsia" w:ascii="宋体" w:hAnsi="宋体" w:cs="宋体"/>
                <w:color w:val="000000"/>
                <w:kern w:val="0"/>
                <w:sz w:val="18"/>
                <w:szCs w:val="18"/>
              </w:rPr>
              <w:t>工作业务是否及时</w:t>
            </w:r>
            <w:r>
              <w:rPr>
                <w:rFonts w:hint="eastAsia" w:ascii="宋体" w:hAnsi="宋体" w:cs="宋体"/>
                <w:color w:val="000000"/>
                <w:kern w:val="0"/>
                <w:sz w:val="18"/>
                <w:szCs w:val="18"/>
                <w:lang w:eastAsia="zh-CN"/>
              </w:rPr>
              <w:t>按进度推进</w:t>
            </w:r>
            <w:r>
              <w:rPr>
                <w:rFonts w:hint="eastAsia" w:ascii="宋体" w:hAnsi="宋体" w:cs="宋体"/>
                <w:color w:val="000000"/>
                <w:kern w:val="0"/>
                <w:sz w:val="18"/>
                <w:szCs w:val="18"/>
              </w:rPr>
              <w:t>，</w:t>
            </w:r>
            <w:r>
              <w:rPr>
                <w:rFonts w:hint="eastAsia" w:ascii="宋体" w:hAnsi="宋体" w:cs="宋体"/>
                <w:color w:val="000000"/>
                <w:kern w:val="0"/>
                <w:sz w:val="18"/>
                <w:szCs w:val="18"/>
                <w:lang w:eastAsia="zh-CN"/>
              </w:rPr>
              <w:t>支付是否</w:t>
            </w:r>
            <w:r>
              <w:rPr>
                <w:rFonts w:hint="eastAsia" w:ascii="宋体" w:hAnsi="宋体" w:cs="宋体"/>
                <w:color w:val="000000"/>
                <w:kern w:val="0"/>
                <w:sz w:val="18"/>
                <w:szCs w:val="18"/>
              </w:rPr>
              <w:t>做到不积压</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全部及时处置，得满分；存在一次未及时处置的扣权重的10%，扣完为止。</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台账</w:t>
            </w:r>
          </w:p>
        </w:tc>
      </w:tr>
      <w:tr>
        <w:tblPrEx>
          <w:tblLayout w:type="fixed"/>
          <w:tblCellMar>
            <w:top w:w="0" w:type="dxa"/>
            <w:left w:w="108" w:type="dxa"/>
            <w:bottom w:w="0" w:type="dxa"/>
            <w:right w:w="108" w:type="dxa"/>
          </w:tblCellMar>
        </w:tblPrEx>
        <w:trPr>
          <w:trHeight w:val="81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C13.项目完成情况</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C131.业务完成情况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lang w:eastAsia="zh-CN"/>
              </w:rPr>
              <w:t>内控编报</w:t>
            </w:r>
            <w:r>
              <w:rPr>
                <w:rFonts w:hint="eastAsia" w:ascii="宋体" w:hAnsi="宋体" w:cs="宋体"/>
                <w:color w:val="000000"/>
                <w:kern w:val="0"/>
                <w:sz w:val="18"/>
                <w:szCs w:val="18"/>
              </w:rPr>
              <w:t>工作</w:t>
            </w:r>
            <w:r>
              <w:rPr>
                <w:rFonts w:hint="eastAsia" w:ascii="宋体" w:hAnsi="宋体" w:cs="宋体"/>
                <w:color w:val="000000"/>
                <w:kern w:val="0"/>
                <w:sz w:val="18"/>
                <w:szCs w:val="18"/>
                <w:lang w:eastAsia="zh-CN"/>
              </w:rPr>
              <w:t>相关</w:t>
            </w:r>
            <w:r>
              <w:rPr>
                <w:rFonts w:hint="eastAsia" w:ascii="宋体" w:hAnsi="宋体" w:cs="宋体"/>
                <w:color w:val="000000"/>
                <w:kern w:val="0"/>
                <w:sz w:val="18"/>
                <w:szCs w:val="18"/>
              </w:rPr>
              <w:t>业务是否在合同期限内及时完成。</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及时完成，得满分；完成但不及时，得权重的50%；未完成，不得分。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合同、结题报告</w:t>
            </w:r>
          </w:p>
        </w:tc>
      </w:tr>
      <w:tr>
        <w:tblPrEx>
          <w:tblLayout w:type="fixed"/>
          <w:tblCellMar>
            <w:top w:w="0" w:type="dxa"/>
            <w:left w:w="108" w:type="dxa"/>
            <w:bottom w:w="0" w:type="dxa"/>
            <w:right w:w="108" w:type="dxa"/>
          </w:tblCellMar>
        </w:tblPrEx>
        <w:trPr>
          <w:trHeight w:val="123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C14.项目成本控制情况</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C141.</w:t>
            </w:r>
            <w:r>
              <w:rPr>
                <w:rFonts w:hint="eastAsia" w:ascii="宋体" w:hAnsi="宋体" w:cs="宋体"/>
                <w:color w:val="000000"/>
                <w:kern w:val="0"/>
                <w:sz w:val="18"/>
                <w:szCs w:val="18"/>
                <w:lang w:eastAsia="zh-CN"/>
              </w:rPr>
              <w:t>经费</w:t>
            </w:r>
            <w:r>
              <w:rPr>
                <w:rFonts w:hint="eastAsia" w:ascii="宋体" w:hAnsi="宋体" w:cs="宋体"/>
                <w:color w:val="000000"/>
                <w:kern w:val="0"/>
                <w:sz w:val="18"/>
                <w:szCs w:val="18"/>
              </w:rPr>
              <w:t>成本节约率</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5</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是否可以节约2</w:t>
            </w:r>
            <w:r>
              <w:rPr>
                <w:rFonts w:hint="eastAsia" w:ascii="宋体" w:hAnsi="宋体" w:cs="宋体"/>
                <w:color w:val="000000"/>
                <w:kern w:val="0"/>
                <w:sz w:val="18"/>
                <w:szCs w:val="18"/>
                <w:lang w:val="en-US" w:eastAsia="zh-CN"/>
              </w:rPr>
              <w:t>022</w:t>
            </w:r>
            <w:r>
              <w:rPr>
                <w:rFonts w:hint="eastAsia" w:ascii="宋体" w:hAnsi="宋体" w:cs="宋体"/>
                <w:color w:val="000000"/>
                <w:kern w:val="0"/>
                <w:sz w:val="18"/>
                <w:szCs w:val="18"/>
              </w:rPr>
              <w:t>年度财政支出。</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节约在100万以上，得满分；每降低1%，扣权重的额1%；未节约或财政支出增加，不得分。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成本核查分析</w:t>
            </w:r>
          </w:p>
        </w:tc>
      </w:tr>
      <w:tr>
        <w:tblPrEx>
          <w:tblLayout w:type="fixed"/>
          <w:tblCellMar>
            <w:top w:w="0" w:type="dxa"/>
            <w:left w:w="108" w:type="dxa"/>
            <w:bottom w:w="0" w:type="dxa"/>
            <w:right w:w="108" w:type="dxa"/>
          </w:tblCellMar>
        </w:tblPrEx>
        <w:trPr>
          <w:trHeight w:val="271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项目效益（30%）（说明：该指标主要反映部门（单位）项目的实施效果。三、四级指标以XX年度污泥厂经费支出绩效评价为例设置，供各部门（单位）参考。各部门（单位）在绩效自评工作中要结合项目特征设置个性化的三、四级指标。）</w:t>
            </w: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C21.社会效益</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C211.</w:t>
            </w:r>
            <w:r>
              <w:rPr>
                <w:rFonts w:hint="eastAsia" w:ascii="宋体" w:hAnsi="宋体" w:cs="宋体"/>
                <w:color w:val="000000"/>
                <w:kern w:val="0"/>
                <w:sz w:val="18"/>
                <w:szCs w:val="18"/>
                <w:lang w:eastAsia="zh-CN"/>
              </w:rPr>
              <w:t>内控编报</w:t>
            </w:r>
            <w:r>
              <w:rPr>
                <w:rFonts w:hint="eastAsia" w:ascii="宋体" w:hAnsi="宋体" w:cs="宋体"/>
                <w:color w:val="000000"/>
                <w:kern w:val="0"/>
                <w:sz w:val="18"/>
                <w:szCs w:val="18"/>
              </w:rPr>
              <w:t>满足情况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15</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10.5</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是否满足市财政相关考核，对区级完成评价。</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满足</w:t>
            </w:r>
            <w:r>
              <w:rPr>
                <w:rFonts w:hint="eastAsia" w:ascii="宋体" w:hAnsi="宋体" w:cs="宋体"/>
                <w:color w:val="000000"/>
                <w:kern w:val="0"/>
                <w:sz w:val="18"/>
                <w:szCs w:val="18"/>
                <w:lang w:eastAsia="zh-CN"/>
              </w:rPr>
              <w:t>考核</w:t>
            </w:r>
            <w:r>
              <w:rPr>
                <w:rFonts w:hint="eastAsia" w:ascii="宋体" w:hAnsi="宋体" w:cs="宋体"/>
                <w:color w:val="000000"/>
                <w:kern w:val="0"/>
                <w:sz w:val="18"/>
                <w:szCs w:val="18"/>
              </w:rPr>
              <w:t>，得满分；存在一次不能满足的情况，扣权重的30%，扣完为止。</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昆明市财政局关于昆明市盘龙区财政局2021年度内部控制报告检查结果的通知</w:t>
            </w:r>
          </w:p>
        </w:tc>
      </w:tr>
      <w:tr>
        <w:tblPrEx>
          <w:tblLayout w:type="fixed"/>
          <w:tblCellMar>
            <w:top w:w="0" w:type="dxa"/>
            <w:left w:w="108" w:type="dxa"/>
            <w:bottom w:w="0" w:type="dxa"/>
            <w:right w:w="108" w:type="dxa"/>
          </w:tblCellMar>
        </w:tblPrEx>
        <w:trPr>
          <w:trHeight w:val="232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C22.可持续影响</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C221.</w:t>
            </w:r>
            <w:r>
              <w:rPr>
                <w:rFonts w:hint="eastAsia" w:ascii="宋体" w:hAnsi="宋体" w:cs="宋体"/>
                <w:color w:val="000000"/>
                <w:kern w:val="0"/>
                <w:sz w:val="18"/>
                <w:szCs w:val="18"/>
                <w:lang w:eastAsia="zh-CN"/>
              </w:rPr>
              <w:t>内控编报工作</w:t>
            </w:r>
            <w:r>
              <w:rPr>
                <w:rFonts w:hint="eastAsia" w:ascii="宋体" w:hAnsi="宋体" w:cs="宋体"/>
                <w:color w:val="000000"/>
                <w:kern w:val="0"/>
                <w:sz w:val="18"/>
                <w:szCs w:val="18"/>
              </w:rPr>
              <w:t>可持续影响</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15</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15</w:t>
            </w:r>
            <w:r>
              <w:rPr>
                <w:rFonts w:hint="eastAsia" w:ascii="宋体" w:hAnsi="宋体" w:cs="宋体"/>
                <w:color w:val="000000"/>
                <w:kern w:val="0"/>
                <w:sz w:val="18"/>
                <w:szCs w:val="18"/>
              </w:rPr>
              <w:t>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优化结构，提高资金使用效率。</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低于55%，得满分；每增加1%，扣权重的10%，扣完为止。</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台账</w:t>
            </w:r>
          </w:p>
        </w:tc>
      </w:tr>
      <w:tr>
        <w:tblPrEx>
          <w:tblLayout w:type="fixed"/>
          <w:tblCellMar>
            <w:top w:w="0" w:type="dxa"/>
            <w:left w:w="108" w:type="dxa"/>
            <w:bottom w:w="0" w:type="dxa"/>
            <w:right w:w="108" w:type="dxa"/>
          </w:tblCellMar>
        </w:tblPrEx>
        <w:trPr>
          <w:trHeight w:val="540" w:hRule="atLeast"/>
        </w:trPr>
        <w:tc>
          <w:tcPr>
            <w:tcW w:w="846" w:type="dxa"/>
            <w:tcBorders>
              <w:top w:val="nil"/>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合计</w:t>
            </w:r>
          </w:p>
        </w:tc>
        <w:tc>
          <w:tcPr>
            <w:tcW w:w="97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100%</w:t>
            </w: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100分</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95.5</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r>
    </w:tbl>
    <w:p>
      <w:pPr>
        <w:jc w:val="center"/>
        <w:rPr>
          <w:rFonts w:hint="eastAsia" w:ascii="黑体" w:hAnsi="黑体" w:eastAsia="黑体" w:cs="黑体"/>
          <w:bCs/>
          <w:sz w:val="52"/>
          <w:szCs w:val="52"/>
        </w:rPr>
      </w:pPr>
    </w:p>
    <w:p>
      <w:pPr>
        <w:jc w:val="center"/>
        <w:rPr>
          <w:rFonts w:hint="eastAsia" w:ascii="黑体" w:hAnsi="黑体" w:eastAsia="黑体" w:cs="黑体"/>
          <w:bCs/>
          <w:sz w:val="52"/>
          <w:szCs w:val="52"/>
        </w:rPr>
      </w:pPr>
    </w:p>
    <w:p>
      <w:pPr>
        <w:jc w:val="center"/>
        <w:rPr>
          <w:rFonts w:hint="eastAsia" w:ascii="黑体" w:hAnsi="黑体" w:eastAsia="黑体" w:cs="黑体"/>
          <w:bCs/>
          <w:sz w:val="52"/>
          <w:szCs w:val="52"/>
        </w:rPr>
      </w:pPr>
    </w:p>
    <w:p>
      <w:pPr>
        <w:jc w:val="center"/>
        <w:rPr>
          <w:rFonts w:hint="eastAsia" w:ascii="黑体" w:hAnsi="黑体" w:eastAsia="黑体" w:cs="黑体"/>
          <w:bCs/>
          <w:sz w:val="52"/>
          <w:szCs w:val="52"/>
        </w:rPr>
      </w:pPr>
    </w:p>
    <w:p>
      <w:pPr>
        <w:jc w:val="center"/>
        <w:rPr>
          <w:rFonts w:ascii="黑体" w:hAnsi="黑体" w:eastAsia="黑体" w:cs="黑体"/>
          <w:bCs/>
          <w:sz w:val="52"/>
          <w:szCs w:val="52"/>
        </w:rPr>
      </w:pPr>
      <w:r>
        <w:rPr>
          <w:rFonts w:hint="eastAsia" w:ascii="黑体" w:hAnsi="黑体" w:eastAsia="黑体" w:cs="黑体"/>
          <w:bCs/>
          <w:sz w:val="52"/>
          <w:szCs w:val="52"/>
        </w:rPr>
        <w:t>盘龙区内部控制规范化建设工作经费项目支出绩效自评报告</w:t>
      </w:r>
    </w:p>
    <w:p>
      <w:pPr>
        <w:jc w:val="center"/>
        <w:rPr>
          <w:rFonts w:ascii="黑体" w:hAnsi="黑体" w:eastAsia="黑体"/>
          <w:bCs/>
          <w:sz w:val="52"/>
          <w:szCs w:val="52"/>
        </w:rPr>
      </w:pPr>
      <w:r>
        <w:rPr>
          <w:rFonts w:hint="eastAsia" w:ascii="黑体" w:hAnsi="黑体" w:eastAsia="黑体" w:cs="黑体"/>
          <w:bCs/>
          <w:sz w:val="52"/>
          <w:szCs w:val="52"/>
        </w:rPr>
        <w:t>（</w:t>
      </w:r>
      <w:r>
        <w:rPr>
          <w:rFonts w:hint="eastAsia" w:ascii="黑体" w:hAnsi="黑体" w:eastAsia="黑体" w:cs="黑体"/>
          <w:bCs/>
          <w:sz w:val="52"/>
          <w:szCs w:val="52"/>
          <w:lang w:val="en-US" w:eastAsia="zh-CN"/>
        </w:rPr>
        <w:t>2022</w:t>
      </w:r>
      <w:r>
        <w:rPr>
          <w:rFonts w:hint="eastAsia" w:ascii="黑体" w:hAnsi="黑体" w:eastAsia="黑体" w:cs="黑体"/>
          <w:bCs/>
          <w:sz w:val="52"/>
          <w:szCs w:val="52"/>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58240"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8240;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KXqXKDXAAAACQEA&#10;AA8AAAAAAAAAAQAgAAAAIgAAAGRycy9kb3ducmV2LnhtbFBLAQIUABQAAAAIAIdO4kBTqpAm4gEA&#10;AJ4DAAAOAAAAAAAAAAEAIAAAACYBAABkcnMvZTJvRG9jLnhtbFBLBQYAAAAABgAGAFkBAAB6BQAA&#10;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w:t>
      </w:r>
      <w:r>
        <w:rPr>
          <w:rFonts w:hint="eastAsia" w:ascii="Times New Roman" w:hAnsi="Times New Roman" w:eastAsia="黑体" w:cs="黑体"/>
          <w:b/>
          <w:bCs/>
          <w:sz w:val="28"/>
          <w:szCs w:val="28"/>
          <w:lang w:val="en-US" w:eastAsia="zh-CN"/>
        </w:rPr>
        <w:t xml:space="preserve"> </w:t>
      </w:r>
      <w:r>
        <w:rPr>
          <w:rFonts w:hint="eastAsia" w:ascii="Times New Roman" w:hAnsi="Times New Roman" w:eastAsia="黑体" w:cs="黑体"/>
          <w:b/>
          <w:bCs/>
          <w:sz w:val="28"/>
          <w:szCs w:val="28"/>
        </w:rPr>
        <w:t>昆明市盘龙区财政局</w:t>
      </w:r>
    </w:p>
    <w:p>
      <w:pPr>
        <w:adjustRightInd w:val="0"/>
        <w:snapToGrid w:val="0"/>
        <w:spacing w:line="360" w:lineRule="auto"/>
        <w:ind w:left="1260" w:leftChars="600"/>
        <w:rPr>
          <w:rFonts w:hint="eastAsia" w:ascii="Times New Roman" w:hAnsi="Times New Roman" w:eastAsia="黑体" w:cs="黑体"/>
          <w:b/>
          <w:bCs/>
          <w:sz w:val="28"/>
          <w:szCs w:val="28"/>
          <w:lang w:val="en-US" w:eastAsia="zh-CN"/>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59264;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DxhF2DXAAAACQEA&#10;AA8AAAAAAAAAAQAgAAAAIgAAAGRycy9kb3ducmV2LnhtbFBLAQIUABQAAAAIAIdO4kC+lQRR4gEA&#10;AJ4DAAAOAAAAAAAAAAEAIAAAACYBAABkcnMvZTJvRG9jLnhtbFBLBQYAAAAABgAGAFkBAAB6BQAA&#10;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w:t>
      </w:r>
      <w:r>
        <w:rPr>
          <w:rFonts w:ascii="Times New Roman" w:hAnsi="Times New Roman" w:eastAsia="黑体" w:cs="黑体"/>
          <w:b/>
          <w:bCs/>
          <w:sz w:val="28"/>
          <w:szCs w:val="28"/>
        </w:rPr>
        <w:t xml:space="preserve"> </w:t>
      </w:r>
      <w:r>
        <w:rPr>
          <w:rFonts w:hint="eastAsia" w:ascii="Times New Roman" w:hAnsi="Times New Roman" w:eastAsia="黑体" w:cs="黑体"/>
          <w:b/>
          <w:bCs/>
          <w:sz w:val="28"/>
          <w:szCs w:val="28"/>
        </w:rPr>
        <w:t>昆明市盘龙区财政局</w:t>
      </w:r>
      <w:r>
        <w:rPr>
          <w:rFonts w:hint="eastAsia" w:ascii="Times New Roman" w:hAnsi="Times New Roman" w:eastAsia="黑体" w:cs="黑体"/>
          <w:b/>
          <w:bCs/>
          <w:sz w:val="28"/>
          <w:szCs w:val="28"/>
          <w:lang w:eastAsia="zh-CN"/>
        </w:rPr>
        <w:t>（会计监察科）</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0288;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Qgv7vXAAAACQEA&#10;AA8AAAAAAAAAAQAgAAAAIgAAAGRycy9kb3ducmV2LnhtbFBLAQIUABQAAAAIAIdO4kAA/Y8l4gEA&#10;AJ4DAAAOAAAAAAAAAAEAIAAAACYBAABkcnMvZTJvRG9jLnhtbFBLBQYAAAAABgAGAFkBAAB6BQAA&#10;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ascii="Times New Roman" w:hAnsi="Times New Roman" w:eastAsia="黑体"/>
          <w:b/>
          <w:bCs/>
          <w:sz w:val="28"/>
          <w:szCs w:val="28"/>
        </w:rPr>
        <w:t xml:space="preserve"> </w:t>
      </w:r>
      <w:r>
        <w:rPr>
          <w:rFonts w:hint="eastAsia" w:ascii="Times New Roman" w:hAnsi="Times New Roman" w:eastAsia="黑体" w:cs="黑体"/>
          <w:b/>
          <w:bCs/>
          <w:sz w:val="28"/>
          <w:szCs w:val="28"/>
        </w:rPr>
        <w:t>昆明市盘龙区财政局</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0IL+71wAAAAkB&#10;AAAPAAAAAAAAAAEAIAAAACIAAABkcnMvZG93bnJldi54bWxQSwECFAAUAAAACACHTuJA2oKnyuMB&#10;AACeAwAADgAAAAAAAAABACAAAAAmAQAAZHJzL2Uyb0RvYy54bWxQSwUGAAAAAAYABgBZAQAAewUA&#10;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hint="eastAsia" w:ascii="Times New Roman" w:hAnsi="Times New Roman" w:eastAsia="黑体" w:cs="黑体"/>
          <w:b/>
          <w:bCs/>
          <w:sz w:val="28"/>
          <w:szCs w:val="28"/>
          <w:lang w:eastAsia="zh-CN"/>
        </w:rPr>
        <w:t xml:space="preserve"> 盘龙区内部控制规范化建设工作经费</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0IL+71wAAAAkB&#10;AAAPAAAAAAAAAAEAIAAAACIAAABkcnMvZG93bnJldi54bWxQSwECFAAUAAAACACHTuJAZOosvuMB&#10;AACeAwAADgAAAAAAAAABACAAAAAmAQAAZHJzL2Uyb0RvYy54bWxQSwUGAAAAAAYABgBZAQAAewUA&#10;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ascii="Times New Roman" w:hAnsi="Times New Roman" w:eastAsia="黑体"/>
          <w:b/>
          <w:bCs/>
          <w:sz w:val="28"/>
          <w:szCs w:val="28"/>
        </w:rPr>
        <w:t xml:space="preserve">  </w:t>
      </w:r>
      <w:r>
        <w:rPr>
          <w:rFonts w:hint="eastAsia" w:ascii="Times New Roman" w:hAnsi="Times New Roman" w:eastAsia="黑体"/>
          <w:b/>
          <w:bCs/>
          <w:sz w:val="28"/>
          <w:szCs w:val="28"/>
        </w:rPr>
        <w:t>20</w:t>
      </w:r>
      <w:r>
        <w:rPr>
          <w:rFonts w:hint="eastAsia" w:ascii="Times New Roman" w:hAnsi="Times New Roman" w:eastAsia="黑体"/>
          <w:b/>
          <w:bCs/>
          <w:sz w:val="28"/>
          <w:szCs w:val="28"/>
          <w:lang w:val="en-US" w:eastAsia="zh-CN"/>
        </w:rPr>
        <w:t>23</w:t>
      </w:r>
      <w:r>
        <w:rPr>
          <w:rFonts w:hint="eastAsia" w:ascii="Times New Roman" w:hAnsi="Times New Roman" w:eastAsia="黑体"/>
          <w:b/>
          <w:bCs/>
          <w:sz w:val="28"/>
          <w:szCs w:val="28"/>
        </w:rPr>
        <w:t>年</w:t>
      </w:r>
      <w:r>
        <w:rPr>
          <w:rFonts w:hint="eastAsia" w:ascii="Times New Roman" w:hAnsi="Times New Roman" w:eastAsia="黑体"/>
          <w:b/>
          <w:bCs/>
          <w:sz w:val="28"/>
          <w:szCs w:val="28"/>
          <w:lang w:val="en-US" w:eastAsia="zh-CN"/>
        </w:rPr>
        <w:t>4</w:t>
      </w:r>
      <w:r>
        <w:rPr>
          <w:rFonts w:hint="eastAsia" w:ascii="Times New Roman" w:hAnsi="Times New Roman" w:eastAsia="黑体"/>
          <w:b/>
          <w:bCs/>
          <w:sz w:val="28"/>
          <w:szCs w:val="28"/>
        </w:rPr>
        <w:t>月</w:t>
      </w: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23</w:t>
      </w:r>
      <w:r>
        <w:rPr>
          <w:rFonts w:hint="eastAsia" w:ascii="Times New Roman" w:hAnsi="Times New Roman" w:eastAsia="黑体" w:cs="黑体"/>
          <w:b/>
          <w:bCs/>
          <w:sz w:val="28"/>
          <w:szCs w:val="28"/>
        </w:rPr>
        <w:t>年</w:t>
      </w:r>
      <w:r>
        <w:rPr>
          <w:rFonts w:hint="eastAsia" w:ascii="Times New Roman" w:hAnsi="Times New Roman" w:eastAsia="黑体" w:cs="黑体"/>
          <w:b/>
          <w:bCs/>
          <w:sz w:val="28"/>
          <w:szCs w:val="28"/>
          <w:lang w:val="en-US" w:eastAsia="zh-CN"/>
        </w:rPr>
        <w:t>4</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pgSz w:w="11906" w:h="16838"/>
          <w:pgMar w:top="1440" w:right="1800" w:bottom="1440" w:left="1800" w:header="851" w:footer="992" w:gutter="0"/>
          <w:cols w:space="425" w:num="1"/>
          <w:titlePg/>
          <w:docGrid w:type="lines" w:linePitch="312" w:charSpace="0"/>
        </w:sectPr>
      </w:pPr>
    </w:p>
    <w:p>
      <w:pPr>
        <w:pStyle w:val="5"/>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3"/>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评价小组</w:t>
            </w:r>
          </w:p>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机构职位</w:t>
            </w:r>
          </w:p>
        </w:tc>
        <w:tc>
          <w:tcPr>
            <w:tcW w:w="1620" w:type="dxa"/>
            <w:noWrap w:val="0"/>
            <w:vAlign w:val="center"/>
          </w:tcPr>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姓名</w:t>
            </w:r>
          </w:p>
        </w:tc>
        <w:tc>
          <w:tcPr>
            <w:tcW w:w="1620" w:type="dxa"/>
            <w:noWrap w:val="0"/>
            <w:vAlign w:val="center"/>
          </w:tcPr>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职务/职称</w:t>
            </w:r>
          </w:p>
        </w:tc>
        <w:tc>
          <w:tcPr>
            <w:tcW w:w="1621" w:type="dxa"/>
            <w:noWrap w:val="0"/>
            <w:vAlign w:val="center"/>
          </w:tcPr>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所属</w:t>
            </w:r>
          </w:p>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单位/处室</w:t>
            </w:r>
          </w:p>
        </w:tc>
        <w:tc>
          <w:tcPr>
            <w:tcW w:w="1621" w:type="dxa"/>
            <w:noWrap w:val="0"/>
            <w:vAlign w:val="center"/>
          </w:tcPr>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组长</w:t>
            </w:r>
          </w:p>
        </w:tc>
        <w:tc>
          <w:tcPr>
            <w:tcW w:w="1620" w:type="dxa"/>
            <w:noWrap w:val="0"/>
            <w:vAlign w:val="top"/>
          </w:tcPr>
          <w:p>
            <w:pPr>
              <w:pStyle w:val="5"/>
              <w:widowControl w:val="0"/>
              <w:spacing w:after="0" w:line="240" w:lineRule="auto"/>
              <w:jc w:val="both"/>
              <w:rPr>
                <w:rFonts w:hint="eastAsia" w:ascii="Times New Roman" w:hAnsi="Times New Roman" w:eastAsia="黑体" w:cs="黑体"/>
                <w:kern w:val="2"/>
                <w:sz w:val="24"/>
                <w:szCs w:val="24"/>
                <w:lang w:val="en-US" w:eastAsia="zh-CN"/>
              </w:rPr>
            </w:pPr>
            <w:r>
              <w:rPr>
                <w:rFonts w:hint="eastAsia" w:ascii="Times New Roman" w:hAnsi="Times New Roman" w:eastAsia="黑体" w:cs="黑体"/>
                <w:kern w:val="2"/>
                <w:sz w:val="24"/>
                <w:szCs w:val="24"/>
                <w:lang w:val="en-US" w:eastAsia="zh-CN"/>
              </w:rPr>
              <w:t>陈阳</w:t>
            </w:r>
          </w:p>
        </w:tc>
        <w:tc>
          <w:tcPr>
            <w:tcW w:w="1620" w:type="dxa"/>
            <w:noWrap w:val="0"/>
            <w:vAlign w:val="top"/>
          </w:tcPr>
          <w:p>
            <w:pPr>
              <w:pStyle w:val="5"/>
              <w:widowControl w:val="0"/>
              <w:spacing w:after="0" w:line="24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副局长</w:t>
            </w:r>
          </w:p>
        </w:tc>
        <w:tc>
          <w:tcPr>
            <w:tcW w:w="1621" w:type="dxa"/>
            <w:noWrap w:val="0"/>
            <w:vAlign w:val="top"/>
          </w:tcPr>
          <w:p>
            <w:pPr>
              <w:pStyle w:val="5"/>
              <w:widowControl w:val="0"/>
              <w:spacing w:after="0" w:line="24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区财政局</w:t>
            </w:r>
            <w:bookmarkStart w:id="0" w:name="_GoBack"/>
            <w:bookmarkEnd w:id="0"/>
          </w:p>
        </w:tc>
        <w:tc>
          <w:tcPr>
            <w:tcW w:w="1621" w:type="dxa"/>
            <w:noWrap w:val="0"/>
            <w:vAlign w:val="top"/>
          </w:tcPr>
          <w:p>
            <w:pPr>
              <w:pStyle w:val="5"/>
              <w:widowControl w:val="0"/>
              <w:spacing w:after="0" w:line="24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5"/>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副组长</w:t>
            </w:r>
          </w:p>
        </w:tc>
        <w:tc>
          <w:tcPr>
            <w:tcW w:w="1620" w:type="dxa"/>
            <w:noWrap w:val="0"/>
            <w:vAlign w:val="top"/>
          </w:tcPr>
          <w:p>
            <w:pPr>
              <w:pStyle w:val="5"/>
              <w:widowControl w:val="0"/>
              <w:spacing w:after="0" w:line="360" w:lineRule="auto"/>
              <w:jc w:val="both"/>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杨雪菱</w:t>
            </w:r>
          </w:p>
        </w:tc>
        <w:tc>
          <w:tcPr>
            <w:tcW w:w="1620" w:type="dxa"/>
            <w:noWrap w:val="0"/>
            <w:vAlign w:val="top"/>
          </w:tcPr>
          <w:p>
            <w:pPr>
              <w:pStyle w:val="5"/>
              <w:widowControl w:val="0"/>
              <w:spacing w:after="0" w:line="360" w:lineRule="auto"/>
              <w:jc w:val="both"/>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会计监察科科长</w:t>
            </w:r>
          </w:p>
        </w:tc>
        <w:tc>
          <w:tcPr>
            <w:tcW w:w="1621" w:type="dxa"/>
            <w:noWrap w:val="0"/>
            <w:vAlign w:val="top"/>
          </w:tcPr>
          <w:p>
            <w:pPr>
              <w:pStyle w:val="5"/>
              <w:widowControl w:val="0"/>
              <w:spacing w:after="0" w:line="360" w:lineRule="auto"/>
              <w:jc w:val="both"/>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会计监察科</w:t>
            </w:r>
          </w:p>
        </w:tc>
        <w:tc>
          <w:tcPr>
            <w:tcW w:w="1621" w:type="dxa"/>
            <w:noWrap w:val="0"/>
            <w:vAlign w:val="top"/>
          </w:tcPr>
          <w:p>
            <w:pPr>
              <w:pStyle w:val="5"/>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5"/>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成员</w:t>
            </w:r>
          </w:p>
        </w:tc>
        <w:tc>
          <w:tcPr>
            <w:tcW w:w="1620" w:type="dxa"/>
            <w:noWrap w:val="0"/>
            <w:vAlign w:val="top"/>
          </w:tcPr>
          <w:p>
            <w:pPr>
              <w:pStyle w:val="5"/>
              <w:widowControl w:val="0"/>
              <w:spacing w:after="0" w:line="360" w:lineRule="auto"/>
              <w:jc w:val="both"/>
              <w:rPr>
                <w:rFonts w:ascii="Times New Roman" w:hAnsi="Times New Roman" w:eastAsia="黑体" w:cs="黑体"/>
                <w:kern w:val="2"/>
                <w:sz w:val="24"/>
                <w:szCs w:val="24"/>
                <w:lang w:val="zh-TW" w:eastAsia="zh-TW"/>
              </w:rPr>
            </w:pPr>
          </w:p>
        </w:tc>
        <w:tc>
          <w:tcPr>
            <w:tcW w:w="1620" w:type="dxa"/>
            <w:noWrap w:val="0"/>
            <w:vAlign w:val="top"/>
          </w:tcPr>
          <w:p>
            <w:pPr>
              <w:pStyle w:val="5"/>
              <w:widowControl w:val="0"/>
              <w:spacing w:after="0" w:line="360" w:lineRule="auto"/>
              <w:jc w:val="both"/>
              <w:rPr>
                <w:rFonts w:ascii="Times New Roman" w:hAnsi="Times New Roman" w:eastAsia="黑体" w:cs="黑体"/>
                <w:kern w:val="2"/>
                <w:sz w:val="24"/>
                <w:szCs w:val="24"/>
                <w:lang w:val="zh-TW" w:eastAsia="zh-TW"/>
              </w:rPr>
            </w:pPr>
          </w:p>
        </w:tc>
        <w:tc>
          <w:tcPr>
            <w:tcW w:w="1621" w:type="dxa"/>
            <w:noWrap w:val="0"/>
            <w:vAlign w:val="top"/>
          </w:tcPr>
          <w:p>
            <w:pPr>
              <w:pStyle w:val="5"/>
              <w:widowControl w:val="0"/>
              <w:spacing w:after="0" w:line="360" w:lineRule="auto"/>
              <w:jc w:val="both"/>
              <w:rPr>
                <w:rFonts w:ascii="Times New Roman" w:hAnsi="Times New Roman" w:eastAsia="黑体" w:cs="黑体"/>
                <w:kern w:val="2"/>
                <w:sz w:val="24"/>
                <w:szCs w:val="24"/>
                <w:lang w:val="zh-TW" w:eastAsia="zh-TW"/>
              </w:rPr>
            </w:pPr>
          </w:p>
        </w:tc>
        <w:tc>
          <w:tcPr>
            <w:tcW w:w="1621" w:type="dxa"/>
            <w:noWrap w:val="0"/>
            <w:vAlign w:val="top"/>
          </w:tcPr>
          <w:p>
            <w:pPr>
              <w:pStyle w:val="5"/>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5"/>
              <w:widowControl w:val="0"/>
              <w:spacing w:after="0" w:line="360" w:lineRule="auto"/>
              <w:jc w:val="center"/>
              <w:rPr>
                <w:rFonts w:ascii="Times New Roman" w:hAnsi="Times New Roman" w:eastAsia="黑体" w:cs="黑体"/>
                <w:kern w:val="2"/>
                <w:sz w:val="24"/>
                <w:szCs w:val="24"/>
                <w:lang w:val="zh-TW"/>
              </w:rPr>
            </w:pPr>
            <w:r>
              <w:rPr>
                <w:rFonts w:ascii="Times New Roman" w:hAnsi="Times New Roman" w:eastAsia="黑体" w:cs="黑体"/>
                <w:kern w:val="2"/>
                <w:sz w:val="24"/>
                <w:szCs w:val="24"/>
                <w:lang w:val="zh-TW"/>
              </w:rPr>
              <w:t>……</w:t>
            </w:r>
          </w:p>
        </w:tc>
        <w:tc>
          <w:tcPr>
            <w:tcW w:w="1620" w:type="dxa"/>
            <w:noWrap w:val="0"/>
            <w:vAlign w:val="top"/>
          </w:tcPr>
          <w:p>
            <w:pPr>
              <w:pStyle w:val="5"/>
              <w:widowControl w:val="0"/>
              <w:spacing w:after="0" w:line="360" w:lineRule="auto"/>
              <w:jc w:val="both"/>
              <w:rPr>
                <w:rFonts w:ascii="Times New Roman" w:hAnsi="Times New Roman" w:eastAsia="黑体" w:cs="黑体"/>
                <w:kern w:val="2"/>
                <w:sz w:val="24"/>
                <w:szCs w:val="24"/>
                <w:lang w:val="zh-TW" w:eastAsia="zh-TW"/>
              </w:rPr>
            </w:pPr>
          </w:p>
        </w:tc>
        <w:tc>
          <w:tcPr>
            <w:tcW w:w="1620" w:type="dxa"/>
            <w:noWrap w:val="0"/>
            <w:vAlign w:val="top"/>
          </w:tcPr>
          <w:p>
            <w:pPr>
              <w:pStyle w:val="5"/>
              <w:widowControl w:val="0"/>
              <w:spacing w:after="0" w:line="360" w:lineRule="auto"/>
              <w:jc w:val="both"/>
              <w:rPr>
                <w:rFonts w:ascii="Times New Roman" w:hAnsi="Times New Roman" w:eastAsia="黑体" w:cs="黑体"/>
                <w:kern w:val="2"/>
                <w:sz w:val="24"/>
                <w:szCs w:val="24"/>
                <w:lang w:val="zh-TW" w:eastAsia="zh-TW"/>
              </w:rPr>
            </w:pPr>
          </w:p>
        </w:tc>
        <w:tc>
          <w:tcPr>
            <w:tcW w:w="1621" w:type="dxa"/>
            <w:noWrap w:val="0"/>
            <w:vAlign w:val="top"/>
          </w:tcPr>
          <w:p>
            <w:pPr>
              <w:pStyle w:val="5"/>
              <w:widowControl w:val="0"/>
              <w:spacing w:after="0" w:line="360" w:lineRule="auto"/>
              <w:jc w:val="both"/>
              <w:rPr>
                <w:rFonts w:ascii="Times New Roman" w:hAnsi="Times New Roman" w:eastAsia="黑体" w:cs="黑体"/>
                <w:kern w:val="2"/>
                <w:sz w:val="24"/>
                <w:szCs w:val="24"/>
                <w:lang w:val="zh-TW" w:eastAsia="zh-TW"/>
              </w:rPr>
            </w:pPr>
          </w:p>
        </w:tc>
        <w:tc>
          <w:tcPr>
            <w:tcW w:w="1621" w:type="dxa"/>
            <w:noWrap w:val="0"/>
            <w:vAlign w:val="top"/>
          </w:tcPr>
          <w:p>
            <w:pPr>
              <w:pStyle w:val="5"/>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102" w:type="dxa"/>
            <w:gridSpan w:val="5"/>
            <w:noWrap w:val="0"/>
            <w:vAlign w:val="top"/>
          </w:tcPr>
          <w:p>
            <w:pPr>
              <w:pStyle w:val="5"/>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报告撰写人（签字）：</w:t>
            </w:r>
          </w:p>
          <w:p>
            <w:pPr>
              <w:pStyle w:val="5"/>
              <w:widowControl w:val="0"/>
              <w:spacing w:after="0" w:line="360" w:lineRule="auto"/>
              <w:jc w:val="both"/>
              <w:rPr>
                <w:rFonts w:ascii="Times New Roman" w:hAnsi="Times New Roman" w:eastAsia="黑体" w:cs="黑体"/>
                <w:kern w:val="2"/>
                <w:sz w:val="24"/>
                <w:szCs w:val="24"/>
                <w:lang w:val="zh-TW"/>
              </w:rPr>
            </w:pPr>
          </w:p>
          <w:p>
            <w:pPr>
              <w:pStyle w:val="5"/>
              <w:widowControl w:val="0"/>
              <w:spacing w:after="0" w:line="360" w:lineRule="auto"/>
              <w:jc w:val="both"/>
              <w:rPr>
                <w:rFonts w:ascii="Times New Roman" w:hAnsi="Times New Roman" w:eastAsia="黑体" w:cs="黑体"/>
                <w:kern w:val="2"/>
                <w:sz w:val="24"/>
                <w:szCs w:val="24"/>
                <w:lang w:val="zh-TW"/>
              </w:rPr>
            </w:pPr>
          </w:p>
          <w:p>
            <w:pPr>
              <w:pStyle w:val="5"/>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102" w:type="dxa"/>
            <w:gridSpan w:val="5"/>
            <w:noWrap w:val="0"/>
            <w:vAlign w:val="top"/>
          </w:tcPr>
          <w:p>
            <w:pPr>
              <w:pStyle w:val="5"/>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评价工作负责人（签字）：</w:t>
            </w:r>
          </w:p>
          <w:p>
            <w:pPr>
              <w:pStyle w:val="5"/>
              <w:widowControl w:val="0"/>
              <w:spacing w:after="0" w:line="360" w:lineRule="auto"/>
              <w:jc w:val="both"/>
              <w:rPr>
                <w:rFonts w:ascii="Times New Roman" w:hAnsi="Times New Roman" w:eastAsia="黑体" w:cs="黑体"/>
                <w:kern w:val="2"/>
                <w:sz w:val="24"/>
                <w:szCs w:val="24"/>
                <w:lang w:val="zh-TW"/>
              </w:rPr>
            </w:pPr>
          </w:p>
          <w:p>
            <w:pPr>
              <w:pStyle w:val="5"/>
              <w:widowControl w:val="0"/>
              <w:spacing w:after="0" w:line="360" w:lineRule="auto"/>
              <w:jc w:val="both"/>
              <w:rPr>
                <w:rFonts w:ascii="Times New Roman" w:hAnsi="Times New Roman" w:eastAsia="黑体" w:cs="黑体"/>
                <w:kern w:val="2"/>
                <w:sz w:val="24"/>
                <w:szCs w:val="24"/>
                <w:lang w:val="zh-TW"/>
              </w:rPr>
            </w:pPr>
          </w:p>
          <w:p>
            <w:pPr>
              <w:pStyle w:val="5"/>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bl>
    <w:p>
      <w:pPr>
        <w:pStyle w:val="5"/>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5"/>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pStyle w:val="6"/>
        <w:keepNext/>
        <w:keepLines/>
        <w:pageBreakBefore w:val="0"/>
        <w:widowControl/>
        <w:kinsoku/>
        <w:wordWrap/>
        <w:overflowPunct/>
        <w:topLinePunct w:val="0"/>
        <w:autoSpaceDE/>
        <w:autoSpaceDN/>
        <w:bidi w:val="0"/>
        <w:adjustRightInd/>
        <w:snapToGrid/>
        <w:spacing w:before="0"/>
        <w:jc w:val="center"/>
        <w:textAlignment w:val="auto"/>
        <w:rPr>
          <w:rFonts w:ascii="Times New Roman" w:hAnsi="Times New Roman" w:cs="Times New Roman"/>
          <w:color w:val="auto"/>
        </w:rPr>
      </w:pPr>
      <w:r>
        <w:rPr>
          <w:rFonts w:hint="eastAsia" w:ascii="Times New Roman" w:hAnsi="Times New Roman" w:cs="宋体"/>
          <w:color w:val="auto"/>
          <w:lang w:val="zh-CN"/>
        </w:rPr>
        <w:t>目录</w:t>
      </w:r>
    </w:p>
    <w:p>
      <w:pPr>
        <w:spacing w:line="440" w:lineRule="exact"/>
        <w:ind w:firstLine="420" w:firstLineChars="200"/>
        <w:jc w:val="left"/>
        <w:rPr>
          <w:rFonts w:ascii="黑体" w:hAnsi="黑体" w:eastAsia="黑体"/>
          <w:szCs w:val="32"/>
        </w:rPr>
      </w:pPr>
      <w:r>
        <w:rPr>
          <w:rFonts w:hint="eastAsia" w:ascii="黑体" w:hAnsi="黑体" w:eastAsia="黑体"/>
          <w:szCs w:val="32"/>
        </w:rPr>
        <w:t>摘要</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 项目基本情况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（一）项目立项背景</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（二）项目立项依据 </w:t>
      </w:r>
    </w:p>
    <w:p>
      <w:pPr>
        <w:spacing w:line="440" w:lineRule="exact"/>
        <w:ind w:firstLine="420" w:firstLineChars="200"/>
        <w:jc w:val="left"/>
        <w:rPr>
          <w:rFonts w:ascii="黑体" w:hAnsi="黑体" w:eastAsia="黑体"/>
          <w:szCs w:val="32"/>
        </w:rPr>
      </w:pPr>
      <w:r>
        <w:rPr>
          <w:rFonts w:hint="eastAsia" w:ascii="黑体" w:hAnsi="黑体" w:eastAsia="黑体"/>
          <w:szCs w:val="32"/>
        </w:rPr>
        <w:t>（三）项目实施内容</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（四）项目实施计划及完成情况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（五）项目的组织及管理</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（六）项目绩效目标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(一)评价的目的和依据</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(二)绩效评价工作方案制定过程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(三)绩效评价原则、评价方法等</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(四)绩效评价实施过程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(五)绩效评价的局限性</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三、评价结论及绩效分析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(二)绩效分析</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四、项目主要经验及做法、存在的问题和建议 </w:t>
      </w:r>
    </w:p>
    <w:p>
      <w:pPr>
        <w:spacing w:line="440" w:lineRule="exact"/>
        <w:ind w:firstLine="420" w:firstLineChars="200"/>
        <w:jc w:val="left"/>
        <w:rPr>
          <w:rFonts w:ascii="黑体" w:hAnsi="黑体" w:eastAsia="黑体"/>
          <w:szCs w:val="32"/>
        </w:rPr>
      </w:pPr>
      <w:r>
        <w:rPr>
          <w:rFonts w:hint="eastAsia" w:ascii="黑体" w:hAnsi="黑体" w:eastAsia="黑体"/>
          <w:szCs w:val="32"/>
        </w:rPr>
        <w:t>(一)主要经验及做法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(二)存在的问题</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(三)建议和改进措施 </w:t>
      </w:r>
    </w:p>
    <w:p>
      <w:pPr>
        <w:spacing w:line="440" w:lineRule="exact"/>
        <w:ind w:firstLine="420" w:firstLineChars="200"/>
        <w:jc w:val="left"/>
        <w:rPr>
          <w:rFonts w:ascii="黑体" w:hAnsi="黑体" w:eastAsia="黑体"/>
          <w:szCs w:val="32"/>
        </w:rPr>
      </w:pPr>
      <w:r>
        <w:rPr>
          <w:rFonts w:hint="eastAsia" w:ascii="黑体" w:hAnsi="黑体" w:eastAsia="黑体"/>
          <w:szCs w:val="32"/>
        </w:rPr>
        <w:t>五、附件</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hint="eastAsia" w:ascii="黑体" w:hAnsi="黑体" w:eastAsia="黑体"/>
          <w:szCs w:val="32"/>
        </w:rPr>
      </w:pPr>
      <w:r>
        <w:rPr>
          <w:rFonts w:hint="eastAsia" w:ascii="黑体" w:hAnsi="黑体" w:eastAsia="黑体"/>
          <w:szCs w:val="32"/>
        </w:rPr>
        <w:t>附件一：昆明市财政局关于开展2021年度行政事业单位内部控制报告编报工作的通知；</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附件二：昆明市盘龙区财政局2021年度行政事业单位内部控制报告编报情况审查工作方案；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附件三：昆明市盘龙区财政局关于开展2021年度行政事业单位内部控制报告编报工作的通知；</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附件四：2021年度盘龙区（部门）行政事业单位内部控制报告；</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附件五：昆明市财政局关于昆明市盘龙区财政局2021年度内部控制报告检查结果的通知</w:t>
      </w:r>
    </w:p>
    <w:p>
      <w:pPr>
        <w:keepNext w:val="0"/>
        <w:keepLines w:val="0"/>
        <w:pageBreakBefore w:val="0"/>
        <w:widowControl w:val="0"/>
        <w:kinsoku/>
        <w:wordWrap/>
        <w:overflowPunct/>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盘龙区内部控制规范化建设工作经费</w:t>
      </w:r>
    </w:p>
    <w:p>
      <w:pPr>
        <w:keepNext w:val="0"/>
        <w:keepLines w:val="0"/>
        <w:pageBreakBefore w:val="0"/>
        <w:widowControl w:val="0"/>
        <w:kinsoku/>
        <w:wordWrap/>
        <w:overflowPunct/>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项目支出绩效自评报告</w:t>
      </w:r>
    </w:p>
    <w:p>
      <w:pPr>
        <w:keepNext w:val="0"/>
        <w:keepLines w:val="0"/>
        <w:pageBreakBefore w:val="0"/>
        <w:widowControl w:val="0"/>
        <w:kinsoku/>
        <w:wordWrap/>
        <w:overflowPunct/>
        <w:autoSpaceDE/>
        <w:autoSpaceDN/>
        <w:bidi w:val="0"/>
        <w:adjustRightInd/>
        <w:snapToGrid/>
        <w:spacing w:line="600" w:lineRule="exact"/>
        <w:ind w:firstLine="420" w:firstLineChars="200"/>
        <w:jc w:val="left"/>
        <w:textAlignment w:val="auto"/>
        <w:rPr>
          <w:rFonts w:ascii="黑体" w:hAnsi="黑体" w:eastAsia="黑体"/>
          <w:szCs w:val="32"/>
        </w:rPr>
      </w:pPr>
    </w:p>
    <w:p>
      <w:pPr>
        <w:keepNext w:val="0"/>
        <w:keepLines w:val="0"/>
        <w:pageBreakBefore w:val="0"/>
        <w:widowControl w:val="0"/>
        <w:kinsoku/>
        <w:wordWrap/>
        <w:overflowPunct/>
        <w:autoSpaceDE/>
        <w:autoSpaceDN/>
        <w:bidi w:val="0"/>
        <w:adjustRightInd/>
        <w:snapToGrid/>
        <w:spacing w:line="600" w:lineRule="exact"/>
        <w:ind w:firstLine="640" w:firstLineChars="200"/>
        <w:jc w:val="center"/>
        <w:textAlignment w:val="auto"/>
        <w:rPr>
          <w:rFonts w:hint="eastAsia" w:ascii="黑体" w:hAnsi="黑体" w:eastAsia="黑体" w:cs="黑体"/>
          <w:sz w:val="32"/>
          <w:szCs w:val="32"/>
        </w:rPr>
      </w:pPr>
      <w:r>
        <w:rPr>
          <w:rFonts w:hint="eastAsia" w:ascii="黑体" w:hAnsi="黑体" w:eastAsia="黑体" w:cs="黑体"/>
          <w:sz w:val="32"/>
          <w:szCs w:val="32"/>
        </w:rPr>
        <w:t>摘要</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一、项目概况</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ascii="仿宋_GB2312" w:hAnsi="黑体"/>
          <w:szCs w:val="32"/>
        </w:rPr>
      </w:pPr>
      <w:r>
        <w:rPr>
          <w:rFonts w:hint="eastAsia" w:ascii="仿宋_GB2312" w:eastAsia="仿宋_GB2312"/>
          <w:sz w:val="32"/>
          <w:szCs w:val="32"/>
          <w:lang w:eastAsia="zh-CN"/>
        </w:rPr>
        <w:t>根据</w:t>
      </w:r>
      <w:r>
        <w:rPr>
          <w:rFonts w:hint="eastAsia" w:ascii="仿宋_GB2312" w:eastAsia="仿宋_GB2312"/>
          <w:sz w:val="32"/>
          <w:szCs w:val="32"/>
        </w:rPr>
        <w:t>《昆明市实施行政事业单位内部控制规范工作领导小组办公室关于全面推进内部控制规范实施工作的通知》（昆内控办[2015]1号）关于成立昆明市盘龙区实施行政事业单位内部控制规范工作领导小组的通知[盘政办通]107号</w:t>
      </w:r>
      <w:r>
        <w:rPr>
          <w:rFonts w:hint="eastAsia" w:ascii="仿宋_GB2312" w:eastAsia="仿宋_GB2312"/>
          <w:sz w:val="32"/>
          <w:szCs w:val="32"/>
          <w:lang w:eastAsia="zh-CN"/>
        </w:rPr>
        <w:t>及</w:t>
      </w:r>
      <w:r>
        <w:rPr>
          <w:rFonts w:hint="eastAsia" w:ascii="仿宋_GB2312" w:eastAsia="仿宋_GB2312"/>
          <w:sz w:val="32"/>
          <w:szCs w:val="32"/>
        </w:rPr>
        <w:t>昆明市财政局关于开展2021年度行政事业单位内部控制报告编报工作的通知》</w:t>
      </w:r>
      <w:r>
        <w:rPr>
          <w:rFonts w:hint="eastAsia" w:ascii="仿宋_GB2312" w:eastAsia="仿宋_GB2312"/>
          <w:sz w:val="32"/>
          <w:szCs w:val="32"/>
          <w:lang w:eastAsia="zh-CN"/>
        </w:rPr>
        <w:t>，完成</w:t>
      </w:r>
      <w:r>
        <w:rPr>
          <w:rFonts w:hint="eastAsia" w:ascii="仿宋_GB2312" w:eastAsia="仿宋_GB2312"/>
          <w:sz w:val="32"/>
          <w:szCs w:val="32"/>
          <w:lang w:val="en-US" w:eastAsia="zh-CN"/>
        </w:rPr>
        <w:t>2021年全区160</w:t>
      </w:r>
      <w:r>
        <w:rPr>
          <w:rFonts w:hint="eastAsia" w:ascii="仿宋_GB2312" w:eastAsia="仿宋_GB2312"/>
          <w:sz w:val="32"/>
          <w:szCs w:val="32"/>
          <w:lang w:eastAsia="zh-CN"/>
        </w:rPr>
        <w:t>余家</w:t>
      </w:r>
      <w:r>
        <w:rPr>
          <w:rFonts w:hint="eastAsia" w:ascii="仿宋_GB2312" w:eastAsia="仿宋_GB2312"/>
          <w:sz w:val="32"/>
          <w:szCs w:val="32"/>
          <w:lang w:val="en-US" w:eastAsia="zh-CN"/>
        </w:rPr>
        <w:t>预算单位内部控制编制汇总及报送工作，同时</w:t>
      </w:r>
      <w:r>
        <w:rPr>
          <w:rFonts w:hint="eastAsia" w:ascii="仿宋_GB2312" w:hAnsi="楷体" w:eastAsia="仿宋_GB2312"/>
          <w:sz w:val="32"/>
          <w:szCs w:val="32"/>
          <w:lang w:eastAsia="zh-CN"/>
        </w:rPr>
        <w:t>支付20</w:t>
      </w:r>
      <w:r>
        <w:rPr>
          <w:rFonts w:hint="eastAsia" w:ascii="仿宋_GB2312" w:hAnsi="楷体" w:eastAsia="仿宋_GB2312"/>
          <w:sz w:val="32"/>
          <w:szCs w:val="32"/>
          <w:lang w:val="en-US" w:eastAsia="zh-CN"/>
        </w:rPr>
        <w:t>21</w:t>
      </w:r>
      <w:r>
        <w:rPr>
          <w:rFonts w:hint="eastAsia" w:ascii="仿宋_GB2312" w:hAnsi="楷体" w:eastAsia="仿宋_GB2312"/>
          <w:sz w:val="32"/>
          <w:szCs w:val="32"/>
          <w:lang w:eastAsia="zh-CN"/>
        </w:rPr>
        <w:t>年</w:t>
      </w:r>
      <w:r>
        <w:rPr>
          <w:rFonts w:hint="eastAsia" w:ascii="仿宋_GB2312" w:eastAsia="仿宋_GB2312"/>
          <w:sz w:val="32"/>
          <w:szCs w:val="32"/>
          <w:lang w:val="en-US" w:eastAsia="zh-CN"/>
        </w:rPr>
        <w:t>内部控制编制</w:t>
      </w:r>
      <w:r>
        <w:rPr>
          <w:rFonts w:hint="eastAsia" w:ascii="仿宋_GB2312" w:hAnsi="楷体" w:eastAsia="仿宋_GB2312"/>
          <w:sz w:val="32"/>
          <w:szCs w:val="32"/>
          <w:lang w:eastAsia="zh-CN"/>
        </w:rPr>
        <w:t>工作经费。</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ascii="黑体" w:hAnsi="黑体" w:eastAsia="黑体"/>
          <w:sz w:val="32"/>
          <w:szCs w:val="32"/>
        </w:rPr>
      </w:pPr>
      <w:r>
        <w:rPr>
          <w:rFonts w:hint="eastAsia" w:ascii="黑体" w:hAnsi="黑体" w:eastAsia="黑体"/>
          <w:sz w:val="32"/>
          <w:szCs w:val="32"/>
        </w:rPr>
        <w:t>二、评价结论</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hint="eastAsia" w:ascii="仿宋_GB2312" w:hAnsi="仿宋" w:eastAsia="仿宋_GB2312"/>
          <w:sz w:val="32"/>
          <w:szCs w:val="32"/>
        </w:rPr>
      </w:pPr>
      <w:r>
        <w:rPr>
          <w:rFonts w:hint="eastAsia" w:ascii="仿宋_GB2312" w:hAnsi="仿宋" w:eastAsia="仿宋_GB2312"/>
          <w:sz w:val="32"/>
          <w:szCs w:val="32"/>
        </w:rPr>
        <w:t>本次项目绩效目标总体完成情况良好，自评得分</w:t>
      </w:r>
      <w:r>
        <w:rPr>
          <w:rFonts w:hint="eastAsia" w:ascii="仿宋_GB2312" w:hAnsi="仿宋" w:eastAsia="仿宋_GB2312"/>
          <w:sz w:val="32"/>
          <w:szCs w:val="32"/>
          <w:lang w:val="en-US" w:eastAsia="zh-CN"/>
        </w:rPr>
        <w:t>95.5</w:t>
      </w:r>
      <w:r>
        <w:rPr>
          <w:rFonts w:hint="eastAsia" w:ascii="仿宋_GB2312" w:hAnsi="仿宋" w:eastAsia="仿宋_GB2312"/>
          <w:sz w:val="32"/>
          <w:szCs w:val="32"/>
        </w:rPr>
        <w:t>分。</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ascii="黑体" w:hAnsi="黑体" w:eastAsia="黑体"/>
          <w:szCs w:val="32"/>
        </w:rPr>
      </w:pPr>
      <w:r>
        <w:rPr>
          <w:rFonts w:hint="eastAsia" w:ascii="黑体" w:hAnsi="黑体" w:eastAsia="黑体"/>
          <w:sz w:val="32"/>
          <w:szCs w:val="32"/>
        </w:rPr>
        <w:t>三、经验、问题和建议</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hint="eastAsia" w:ascii="楷体" w:hAnsi="楷体" w:eastAsia="仿宋_GB2312"/>
          <w:szCs w:val="32"/>
          <w:lang w:eastAsia="zh-CN"/>
        </w:rPr>
      </w:pPr>
      <w:r>
        <w:rPr>
          <w:rFonts w:hint="eastAsia" w:ascii="楷体" w:hAnsi="楷体" w:eastAsia="楷体" w:cs="Times New Roman"/>
          <w:sz w:val="32"/>
          <w:szCs w:val="32"/>
        </w:rPr>
        <w:t>1.主要经验及做法</w:t>
      </w:r>
      <w:r>
        <w:rPr>
          <w:rFonts w:hint="eastAsia" w:ascii="楷体" w:hAnsi="楷体" w:eastAsia="楷体" w:cs="Times New Roman"/>
          <w:sz w:val="32"/>
          <w:szCs w:val="32"/>
          <w:lang w:val="en-US" w:eastAsia="zh-CN"/>
        </w:rPr>
        <w:t>:</w:t>
      </w:r>
      <w:r>
        <w:rPr>
          <w:rFonts w:hint="eastAsia" w:ascii="仿宋_GB2312" w:eastAsia="仿宋_GB2312"/>
          <w:sz w:val="32"/>
          <w:szCs w:val="32"/>
          <w:lang w:eastAsia="zh-CN"/>
        </w:rPr>
        <w:t>根据</w:t>
      </w:r>
      <w:r>
        <w:rPr>
          <w:rFonts w:hint="eastAsia" w:ascii="仿宋_GB2312" w:eastAsia="仿宋_GB2312"/>
          <w:sz w:val="32"/>
          <w:szCs w:val="32"/>
        </w:rPr>
        <w:t>《昆明市实施行政事业单位内部控制规范工作领导小组办公室关于全面推进内部控制规范实施工作的通知》（昆内控办[2015]1号）</w:t>
      </w:r>
      <w:r>
        <w:rPr>
          <w:rFonts w:hint="eastAsia" w:ascii="仿宋_GB2312" w:eastAsia="仿宋_GB2312"/>
          <w:sz w:val="32"/>
          <w:szCs w:val="32"/>
          <w:lang w:eastAsia="zh-CN"/>
        </w:rPr>
        <w:t>、</w:t>
      </w:r>
      <w:r>
        <w:rPr>
          <w:rFonts w:hint="eastAsia" w:ascii="仿宋_GB2312" w:eastAsia="仿宋_GB2312"/>
          <w:sz w:val="32"/>
          <w:szCs w:val="32"/>
        </w:rPr>
        <w:t>《昆明市财政局关于开展2021年度行政事业单位内部控制报告编报工作的通知》</w:t>
      </w:r>
      <w:r>
        <w:rPr>
          <w:rFonts w:hint="eastAsia" w:ascii="仿宋_GB2312" w:eastAsia="仿宋_GB2312"/>
          <w:sz w:val="32"/>
          <w:szCs w:val="32"/>
          <w:lang w:eastAsia="zh-CN"/>
        </w:rPr>
        <w:t>及内控编报工作服务合同，对全区</w:t>
      </w:r>
      <w:r>
        <w:rPr>
          <w:rFonts w:hint="eastAsia" w:ascii="仿宋_GB2312" w:hAnsi="仿宋_GB2312" w:eastAsia="仿宋_GB2312" w:cs="仿宋_GB2312"/>
          <w:b w:val="0"/>
          <w:bCs/>
          <w:sz w:val="32"/>
          <w:szCs w:val="32"/>
          <w:lang w:val="en-US" w:eastAsia="zh-CN"/>
        </w:rPr>
        <w:t>167</w:t>
      </w:r>
      <w:r>
        <w:rPr>
          <w:rFonts w:hint="eastAsia" w:ascii="仿宋_GB2312" w:eastAsia="仿宋_GB2312"/>
          <w:sz w:val="32"/>
          <w:szCs w:val="32"/>
          <w:lang w:eastAsia="zh-CN"/>
        </w:rPr>
        <w:t>余家</w:t>
      </w:r>
      <w:r>
        <w:rPr>
          <w:rFonts w:hint="eastAsia" w:ascii="仿宋_GB2312" w:eastAsia="仿宋_GB2312"/>
          <w:sz w:val="32"/>
          <w:szCs w:val="32"/>
          <w:lang w:val="en-US" w:eastAsia="zh-CN"/>
        </w:rPr>
        <w:t>预算</w:t>
      </w:r>
      <w:r>
        <w:rPr>
          <w:rFonts w:hint="eastAsia" w:ascii="仿宋_GB2312" w:eastAsia="仿宋_GB2312"/>
          <w:sz w:val="32"/>
          <w:szCs w:val="32"/>
          <w:lang w:eastAsia="zh-CN"/>
        </w:rPr>
        <w:t>单位202</w:t>
      </w:r>
      <w:r>
        <w:rPr>
          <w:rFonts w:hint="eastAsia" w:ascii="仿宋_GB2312" w:eastAsia="仿宋_GB2312"/>
          <w:sz w:val="32"/>
          <w:szCs w:val="32"/>
          <w:lang w:val="en-US" w:eastAsia="zh-CN"/>
        </w:rPr>
        <w:t>1</w:t>
      </w:r>
      <w:r>
        <w:rPr>
          <w:rFonts w:hint="eastAsia" w:ascii="仿宋_GB2312" w:eastAsia="仿宋_GB2312"/>
          <w:sz w:val="32"/>
          <w:szCs w:val="32"/>
          <w:lang w:eastAsia="zh-CN"/>
        </w:rPr>
        <w:t>年</w:t>
      </w:r>
      <w:r>
        <w:rPr>
          <w:rFonts w:hint="eastAsia" w:ascii="仿宋_GB2312" w:eastAsia="仿宋_GB2312"/>
          <w:sz w:val="32"/>
          <w:szCs w:val="32"/>
          <w:lang w:val="en-US" w:eastAsia="zh-CN"/>
        </w:rPr>
        <w:t>内部控制编制汇总并报送</w:t>
      </w:r>
      <w:r>
        <w:rPr>
          <w:rFonts w:hint="eastAsia" w:ascii="仿宋_GB2312" w:eastAsia="仿宋_GB2312"/>
          <w:sz w:val="32"/>
          <w:szCs w:val="32"/>
          <w:lang w:eastAsia="zh-CN"/>
        </w:rPr>
        <w:t>工作</w:t>
      </w:r>
      <w:r>
        <w:rPr>
          <w:rFonts w:hint="eastAsia" w:ascii="仿宋_GB2312" w:eastAsia="仿宋_GB2312"/>
          <w:sz w:val="32"/>
          <w:szCs w:val="32"/>
          <w:lang w:val="en-US" w:eastAsia="zh-CN"/>
        </w:rPr>
        <w:t>。</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ascii="楷体" w:hAnsi="楷体" w:eastAsia="楷体"/>
          <w:szCs w:val="32"/>
        </w:rPr>
      </w:pPr>
      <w:r>
        <w:rPr>
          <w:rFonts w:hint="eastAsia" w:ascii="楷体" w:hAnsi="楷体" w:eastAsia="楷体" w:cs="Times New Roman"/>
          <w:sz w:val="32"/>
          <w:szCs w:val="32"/>
        </w:rPr>
        <w:t>2.保障措施：</w:t>
      </w:r>
      <w:r>
        <w:rPr>
          <w:rFonts w:hint="eastAsia" w:ascii="仿宋_GB2312" w:eastAsia="仿宋_GB2312"/>
          <w:sz w:val="32"/>
          <w:szCs w:val="32"/>
          <w:lang w:eastAsia="zh-CN"/>
        </w:rPr>
        <w:t>根据</w:t>
      </w:r>
      <w:r>
        <w:rPr>
          <w:rFonts w:hint="eastAsia" w:ascii="仿宋_GB2312" w:eastAsia="仿宋_GB2312"/>
          <w:sz w:val="32"/>
          <w:szCs w:val="32"/>
        </w:rPr>
        <w:t>《昆明市实施行政事业单位内部控制规范工作领导小组办公室关于全面推进内部控制规范实施工作的通知》（昆内控办[2015]1号）</w:t>
      </w:r>
      <w:r>
        <w:rPr>
          <w:rFonts w:hint="eastAsia" w:ascii="仿宋_GB2312" w:eastAsia="仿宋_GB2312"/>
          <w:sz w:val="32"/>
          <w:szCs w:val="32"/>
          <w:lang w:eastAsia="zh-CN"/>
        </w:rPr>
        <w:t>、</w:t>
      </w:r>
      <w:r>
        <w:rPr>
          <w:rFonts w:hint="eastAsia" w:ascii="仿宋_GB2312" w:eastAsia="仿宋_GB2312"/>
          <w:sz w:val="32"/>
          <w:szCs w:val="32"/>
        </w:rPr>
        <w:t>《昆明市财政局关于开展2021年度行政事业单位内部控制报告编报工作的通知》</w:t>
      </w:r>
      <w:r>
        <w:rPr>
          <w:rFonts w:hint="eastAsia" w:ascii="仿宋_GB2312" w:eastAsia="仿宋_GB2312"/>
          <w:sz w:val="32"/>
          <w:szCs w:val="32"/>
          <w:lang w:eastAsia="zh-CN"/>
        </w:rPr>
        <w:t>及内控编报工作服务合同，对全区</w:t>
      </w:r>
      <w:r>
        <w:rPr>
          <w:rFonts w:hint="eastAsia" w:ascii="仿宋_GB2312" w:hAnsi="仿宋_GB2312" w:eastAsia="仿宋_GB2312" w:cs="仿宋_GB2312"/>
          <w:b w:val="0"/>
          <w:bCs/>
          <w:sz w:val="32"/>
          <w:szCs w:val="32"/>
          <w:lang w:val="en-US" w:eastAsia="zh-CN"/>
        </w:rPr>
        <w:t>167</w:t>
      </w:r>
      <w:r>
        <w:rPr>
          <w:rFonts w:hint="eastAsia" w:ascii="仿宋_GB2312" w:eastAsia="仿宋_GB2312"/>
          <w:sz w:val="32"/>
          <w:szCs w:val="32"/>
          <w:lang w:eastAsia="zh-CN"/>
        </w:rPr>
        <w:t>余家</w:t>
      </w:r>
      <w:r>
        <w:rPr>
          <w:rFonts w:hint="eastAsia" w:ascii="仿宋_GB2312" w:eastAsia="仿宋_GB2312"/>
          <w:sz w:val="32"/>
          <w:szCs w:val="32"/>
          <w:lang w:val="en-US" w:eastAsia="zh-CN"/>
        </w:rPr>
        <w:t>预算</w:t>
      </w:r>
      <w:r>
        <w:rPr>
          <w:rFonts w:hint="eastAsia" w:ascii="仿宋_GB2312" w:eastAsia="仿宋_GB2312"/>
          <w:sz w:val="32"/>
          <w:szCs w:val="32"/>
          <w:lang w:eastAsia="zh-CN"/>
        </w:rPr>
        <w:t>单位202</w:t>
      </w:r>
      <w:r>
        <w:rPr>
          <w:rFonts w:hint="eastAsia" w:ascii="仿宋_GB2312" w:eastAsia="仿宋_GB2312"/>
          <w:sz w:val="32"/>
          <w:szCs w:val="32"/>
          <w:lang w:val="en-US" w:eastAsia="zh-CN"/>
        </w:rPr>
        <w:t>1</w:t>
      </w:r>
      <w:r>
        <w:rPr>
          <w:rFonts w:hint="eastAsia" w:ascii="仿宋_GB2312" w:eastAsia="仿宋_GB2312"/>
          <w:sz w:val="32"/>
          <w:szCs w:val="32"/>
          <w:lang w:eastAsia="zh-CN"/>
        </w:rPr>
        <w:t>年</w:t>
      </w:r>
      <w:r>
        <w:rPr>
          <w:rFonts w:hint="eastAsia" w:ascii="仿宋_GB2312" w:eastAsia="仿宋_GB2312"/>
          <w:sz w:val="32"/>
          <w:szCs w:val="32"/>
          <w:lang w:val="en-US" w:eastAsia="zh-CN"/>
        </w:rPr>
        <w:t>内部控制编制汇总并报送</w:t>
      </w:r>
      <w:r>
        <w:rPr>
          <w:rFonts w:hint="eastAsia" w:ascii="仿宋_GB2312" w:eastAsia="仿宋_GB2312"/>
          <w:sz w:val="32"/>
          <w:szCs w:val="32"/>
          <w:lang w:eastAsia="zh-CN"/>
        </w:rPr>
        <w:t>工作</w:t>
      </w:r>
      <w:r>
        <w:rPr>
          <w:rFonts w:hint="eastAsia" w:ascii="仿宋_GB2312" w:eastAsia="仿宋_GB2312"/>
          <w:sz w:val="32"/>
          <w:szCs w:val="32"/>
          <w:lang w:val="en-US" w:eastAsia="zh-CN"/>
        </w:rPr>
        <w:t>。市财政局</w:t>
      </w:r>
      <w:r>
        <w:rPr>
          <w:rFonts w:hint="eastAsia" w:ascii="仿宋_GB2312" w:hAnsi="仿宋_GB2312" w:eastAsia="仿宋_GB2312" w:cs="仿宋_GB2312"/>
          <w:sz w:val="32"/>
          <w:szCs w:val="32"/>
        </w:rPr>
        <w:t>考评结束后</w:t>
      </w:r>
      <w:r>
        <w:rPr>
          <w:rFonts w:hint="eastAsia" w:ascii="仿宋_GB2312" w:hAnsi="仿宋_GB2312" w:eastAsia="仿宋_GB2312" w:cs="仿宋_GB2312"/>
          <w:sz w:val="32"/>
          <w:szCs w:val="32"/>
          <w:lang w:eastAsia="zh-CN"/>
        </w:rPr>
        <w:t>，根据合同约定</w:t>
      </w:r>
      <w:r>
        <w:rPr>
          <w:rFonts w:hint="eastAsia" w:ascii="仿宋_GB2312" w:hAnsi="仿宋_GB2312" w:eastAsia="仿宋_GB2312" w:cs="仿宋_GB2312"/>
          <w:sz w:val="32"/>
          <w:szCs w:val="32"/>
        </w:rPr>
        <w:t>支付</w:t>
      </w:r>
      <w:r>
        <w:rPr>
          <w:rFonts w:hint="eastAsia" w:ascii="仿宋_GB2312" w:hAnsi="仿宋_GB2312" w:eastAsia="仿宋_GB2312" w:cs="仿宋_GB2312"/>
          <w:sz w:val="32"/>
          <w:szCs w:val="32"/>
          <w:lang w:eastAsia="zh-CN"/>
        </w:rPr>
        <w:t>其工作经费。</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hint="eastAsia" w:ascii="楷体_GB2312" w:hAnsi="楷体_GB2312" w:eastAsia="楷体_GB2312" w:cs="楷体_GB2312"/>
          <w:sz w:val="32"/>
          <w:szCs w:val="32"/>
        </w:rPr>
      </w:pPr>
      <w:r>
        <w:rPr>
          <w:rFonts w:hint="eastAsia" w:ascii="楷体" w:hAnsi="楷体" w:eastAsia="楷体"/>
          <w:sz w:val="32"/>
          <w:szCs w:val="32"/>
        </w:rPr>
        <w:t>3.改进措施及建议：</w:t>
      </w:r>
      <w:r>
        <w:rPr>
          <w:rFonts w:hint="eastAsia" w:ascii="仿宋_GB2312" w:hAnsi="仿宋_GB2312" w:eastAsia="仿宋_GB2312" w:cs="仿宋_GB2312"/>
          <w:sz w:val="32"/>
          <w:szCs w:val="32"/>
          <w:lang w:eastAsia="zh-CN"/>
        </w:rPr>
        <w:t>对服务中介内控编制指导方面提出改进意见。加强对我区各部门内控编制信息化水平，优化部门内控编制工作质量</w:t>
      </w:r>
      <w:r>
        <w:rPr>
          <w:rFonts w:hint="eastAsia" w:ascii="仿宋_GB2312" w:hAnsi="仿宋_GB2312" w:eastAsia="仿宋_GB2312" w:cs="仿宋_GB2312"/>
          <w:sz w:val="32"/>
          <w:szCs w:val="32"/>
        </w:rPr>
        <w:t>。</w:t>
      </w:r>
    </w:p>
    <w:p>
      <w:pPr>
        <w:keepNext w:val="0"/>
        <w:keepLines w:val="0"/>
        <w:pageBreakBefore w:val="0"/>
        <w:widowControl w:val="0"/>
        <w:kinsoku/>
        <w:wordWrap/>
        <w:overflowPunct/>
        <w:autoSpaceDE/>
        <w:autoSpaceDN/>
        <w:bidi w:val="0"/>
        <w:adjustRightInd/>
        <w:snapToGrid/>
        <w:spacing w:line="600" w:lineRule="exact"/>
        <w:ind w:firstLine="420" w:firstLineChars="200"/>
        <w:jc w:val="left"/>
        <w:textAlignment w:val="auto"/>
        <w:rPr>
          <w:rFonts w:ascii="楷体" w:hAnsi="楷体" w:eastAsia="楷体"/>
          <w:szCs w:val="32"/>
        </w:rPr>
      </w:pPr>
    </w:p>
    <w:p>
      <w:pPr>
        <w:keepNext w:val="0"/>
        <w:keepLines w:val="0"/>
        <w:pageBreakBefore w:val="0"/>
        <w:widowControl w:val="0"/>
        <w:kinsoku/>
        <w:wordWrap/>
        <w:overflowPunct/>
        <w:autoSpaceDE/>
        <w:autoSpaceDN/>
        <w:bidi w:val="0"/>
        <w:adjustRightInd/>
        <w:snapToGrid/>
        <w:spacing w:line="600" w:lineRule="exact"/>
        <w:ind w:firstLine="420" w:firstLineChars="200"/>
        <w:jc w:val="left"/>
        <w:textAlignment w:val="auto"/>
        <w:rPr>
          <w:rFonts w:ascii="楷体" w:hAnsi="楷体" w:eastAsia="楷体"/>
          <w:szCs w:val="32"/>
        </w:rPr>
      </w:pPr>
    </w:p>
    <w:p>
      <w:pPr>
        <w:keepNext w:val="0"/>
        <w:keepLines w:val="0"/>
        <w:pageBreakBefore w:val="0"/>
        <w:widowControl w:val="0"/>
        <w:kinsoku/>
        <w:wordWrap/>
        <w:overflowPunct/>
        <w:autoSpaceDE/>
        <w:autoSpaceDN/>
        <w:bidi w:val="0"/>
        <w:adjustRightInd/>
        <w:snapToGrid/>
        <w:spacing w:line="600" w:lineRule="exact"/>
        <w:ind w:firstLine="880" w:firstLineChars="20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盘龙区内部控制规范化建设工作经费项目支出绩效自评报告</w:t>
      </w:r>
    </w:p>
    <w:p>
      <w:pPr>
        <w:keepNext w:val="0"/>
        <w:keepLines w:val="0"/>
        <w:pageBreakBefore w:val="0"/>
        <w:widowControl w:val="0"/>
        <w:kinsoku/>
        <w:wordWrap/>
        <w:overflowPunct/>
        <w:topLinePunct/>
        <w:autoSpaceDE/>
        <w:autoSpaceDN/>
        <w:bidi w:val="0"/>
        <w:adjustRightInd/>
        <w:snapToGrid/>
        <w:spacing w:line="600" w:lineRule="exact"/>
        <w:ind w:firstLine="525" w:firstLineChars="250"/>
        <w:textAlignment w:val="auto"/>
        <w:rPr>
          <w:rFonts w:ascii="黑体" w:eastAsia="黑体"/>
          <w:szCs w:val="32"/>
        </w:rPr>
      </w:pP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黑体" w:eastAsia="黑体"/>
          <w:sz w:val="32"/>
          <w:szCs w:val="32"/>
        </w:rPr>
      </w:pPr>
      <w:r>
        <w:rPr>
          <w:rFonts w:hint="eastAsia" w:ascii="黑体" w:eastAsia="黑体"/>
          <w:sz w:val="32"/>
          <w:szCs w:val="32"/>
        </w:rPr>
        <w:t>一、项目基本情况</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楷体" w:hAnsi="楷体" w:eastAsia="楷体"/>
          <w:sz w:val="32"/>
          <w:szCs w:val="32"/>
        </w:rPr>
      </w:pPr>
      <w:r>
        <w:rPr>
          <w:rFonts w:hint="eastAsia" w:ascii="楷体" w:hAnsi="楷体" w:eastAsia="楷体"/>
          <w:sz w:val="32"/>
          <w:szCs w:val="32"/>
        </w:rPr>
        <w:t>（一）项目概况</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1.项目立项背景及目的</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仿宋_GB2312" w:hAnsi="楷体" w:eastAsia="仿宋_GB2312"/>
          <w:szCs w:val="32"/>
        </w:rPr>
      </w:pPr>
      <w:r>
        <w:rPr>
          <w:rFonts w:hint="eastAsia" w:ascii="仿宋_GB2312" w:eastAsia="仿宋_GB2312"/>
          <w:sz w:val="32"/>
          <w:szCs w:val="32"/>
          <w:lang w:eastAsia="zh-CN"/>
        </w:rPr>
        <w:t>根据</w:t>
      </w:r>
      <w:r>
        <w:rPr>
          <w:rFonts w:hint="eastAsia" w:ascii="仿宋_GB2312" w:eastAsia="仿宋_GB2312"/>
          <w:sz w:val="32"/>
          <w:szCs w:val="32"/>
        </w:rPr>
        <w:t>《昆明市实施行政事业单位内部控制规范工作领导小组办公室关于全面推进内部控制规范实施工作的通知》（昆内控办[2015]1号）关于成立昆明市盘龙区实施行政事业单位内部控制规范工作领导小组的通知</w:t>
      </w:r>
      <w:r>
        <w:rPr>
          <w:rFonts w:hint="eastAsia" w:ascii="仿宋_GB2312" w:eastAsia="仿宋_GB2312"/>
          <w:sz w:val="32"/>
          <w:szCs w:val="32"/>
          <w:lang w:eastAsia="zh-CN"/>
        </w:rPr>
        <w:t>（</w:t>
      </w:r>
      <w:r>
        <w:rPr>
          <w:rFonts w:hint="eastAsia" w:ascii="仿宋_GB2312" w:eastAsia="仿宋_GB2312"/>
          <w:sz w:val="32"/>
          <w:szCs w:val="32"/>
        </w:rPr>
        <w:t>[盘政办通]107号</w:t>
      </w:r>
      <w:r>
        <w:rPr>
          <w:rFonts w:hint="eastAsia" w:ascii="仿宋_GB2312" w:eastAsia="仿宋_GB2312"/>
          <w:sz w:val="32"/>
          <w:szCs w:val="32"/>
          <w:lang w:eastAsia="zh-CN"/>
        </w:rPr>
        <w:t>）及</w:t>
      </w:r>
      <w:r>
        <w:rPr>
          <w:rFonts w:hint="eastAsia" w:ascii="仿宋_GB2312" w:eastAsia="仿宋_GB2312"/>
          <w:sz w:val="32"/>
          <w:szCs w:val="32"/>
        </w:rPr>
        <w:t>《昆明市财政局关于开展2021年度行政事业单位内部控制报告编报工作的通知》</w:t>
      </w:r>
      <w:r>
        <w:rPr>
          <w:rFonts w:hint="eastAsia" w:ascii="仿宋_GB2312" w:eastAsia="仿宋_GB2312"/>
          <w:sz w:val="32"/>
          <w:szCs w:val="32"/>
          <w:lang w:eastAsia="zh-CN"/>
        </w:rPr>
        <w:t>，完成</w:t>
      </w:r>
      <w:r>
        <w:rPr>
          <w:rFonts w:hint="eastAsia" w:ascii="仿宋_GB2312" w:eastAsia="仿宋_GB2312"/>
          <w:sz w:val="32"/>
          <w:szCs w:val="32"/>
          <w:lang w:val="en-US" w:eastAsia="zh-CN"/>
        </w:rPr>
        <w:t>2021年全区160</w:t>
      </w:r>
      <w:r>
        <w:rPr>
          <w:rFonts w:hint="eastAsia" w:ascii="仿宋_GB2312" w:eastAsia="仿宋_GB2312"/>
          <w:sz w:val="32"/>
          <w:szCs w:val="32"/>
          <w:lang w:eastAsia="zh-CN"/>
        </w:rPr>
        <w:t>余家</w:t>
      </w:r>
      <w:r>
        <w:rPr>
          <w:rFonts w:hint="eastAsia" w:ascii="仿宋_GB2312" w:eastAsia="仿宋_GB2312"/>
          <w:sz w:val="32"/>
          <w:szCs w:val="32"/>
          <w:lang w:val="en-US" w:eastAsia="zh-CN"/>
        </w:rPr>
        <w:t>预算单位内部控制编制汇总及报送工作，同时</w:t>
      </w:r>
      <w:r>
        <w:rPr>
          <w:rFonts w:hint="eastAsia" w:ascii="仿宋_GB2312" w:hAnsi="楷体" w:eastAsia="仿宋_GB2312"/>
          <w:sz w:val="32"/>
          <w:szCs w:val="32"/>
          <w:lang w:eastAsia="zh-CN"/>
        </w:rPr>
        <w:t>支付20</w:t>
      </w:r>
      <w:r>
        <w:rPr>
          <w:rFonts w:hint="eastAsia" w:ascii="仿宋_GB2312" w:hAnsi="楷体" w:eastAsia="仿宋_GB2312"/>
          <w:sz w:val="32"/>
          <w:szCs w:val="32"/>
          <w:lang w:val="en-US" w:eastAsia="zh-CN"/>
        </w:rPr>
        <w:t>21</w:t>
      </w:r>
      <w:r>
        <w:rPr>
          <w:rFonts w:hint="eastAsia" w:ascii="仿宋_GB2312" w:hAnsi="楷体" w:eastAsia="仿宋_GB2312"/>
          <w:sz w:val="32"/>
          <w:szCs w:val="32"/>
          <w:lang w:eastAsia="zh-CN"/>
        </w:rPr>
        <w:t>年</w:t>
      </w:r>
      <w:r>
        <w:rPr>
          <w:rFonts w:hint="eastAsia" w:ascii="仿宋_GB2312" w:eastAsia="仿宋_GB2312"/>
          <w:sz w:val="32"/>
          <w:szCs w:val="32"/>
          <w:lang w:val="en-US" w:eastAsia="zh-CN"/>
        </w:rPr>
        <w:t>内部控制编制</w:t>
      </w:r>
      <w:r>
        <w:rPr>
          <w:rFonts w:hint="eastAsia" w:ascii="仿宋_GB2312" w:hAnsi="楷体" w:eastAsia="仿宋_GB2312"/>
          <w:sz w:val="32"/>
          <w:szCs w:val="32"/>
          <w:lang w:eastAsia="zh-CN"/>
        </w:rPr>
        <w:t>工作经费。</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2.项目实施情况</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截止20</w:t>
      </w:r>
      <w:r>
        <w:rPr>
          <w:rFonts w:hint="eastAsia" w:ascii="仿宋_GB2312" w:hAnsi="楷体" w:eastAsia="仿宋_GB2312"/>
          <w:sz w:val="32"/>
          <w:szCs w:val="32"/>
          <w:lang w:val="en-US" w:eastAsia="zh-CN"/>
        </w:rPr>
        <w:t>22</w:t>
      </w:r>
      <w:r>
        <w:rPr>
          <w:rFonts w:hint="eastAsia" w:ascii="仿宋_GB2312" w:hAnsi="楷体" w:eastAsia="仿宋_GB2312"/>
          <w:sz w:val="32"/>
          <w:szCs w:val="32"/>
        </w:rPr>
        <w:t>年底，</w:t>
      </w:r>
      <w:r>
        <w:rPr>
          <w:rFonts w:hint="eastAsia" w:ascii="仿宋_GB2312" w:hAnsi="楷体" w:eastAsia="仿宋_GB2312"/>
          <w:sz w:val="32"/>
          <w:szCs w:val="32"/>
          <w:lang w:eastAsia="zh-CN"/>
        </w:rPr>
        <w:t>盘龙区各行政事业单位</w:t>
      </w:r>
      <w:r>
        <w:rPr>
          <w:rFonts w:hint="eastAsia" w:ascii="仿宋_GB2312" w:hAnsi="楷体" w:eastAsia="仿宋_GB2312"/>
          <w:sz w:val="32"/>
          <w:szCs w:val="32"/>
        </w:rPr>
        <w:t>均完成了</w:t>
      </w:r>
      <w:r>
        <w:rPr>
          <w:rFonts w:hint="eastAsia" w:ascii="仿宋_GB2312" w:hAnsi="楷体" w:eastAsia="仿宋_GB2312"/>
          <w:sz w:val="32"/>
          <w:szCs w:val="32"/>
          <w:lang w:val="en-US" w:eastAsia="zh-CN"/>
        </w:rPr>
        <w:t>2021年内部控制编制</w:t>
      </w:r>
      <w:r>
        <w:rPr>
          <w:rFonts w:hint="eastAsia" w:ascii="仿宋_GB2312" w:hAnsi="楷体" w:eastAsia="仿宋_GB2312"/>
          <w:sz w:val="32"/>
          <w:szCs w:val="32"/>
        </w:rPr>
        <w:t>工作，</w:t>
      </w:r>
      <w:r>
        <w:rPr>
          <w:rFonts w:hint="eastAsia" w:ascii="仿宋_GB2312" w:hAnsi="楷体" w:eastAsia="仿宋_GB2312"/>
          <w:sz w:val="32"/>
          <w:szCs w:val="32"/>
          <w:lang w:eastAsia="zh-CN"/>
        </w:rPr>
        <w:t>并在市级部门要求时限内完成汇总及报送工作，</w:t>
      </w:r>
      <w:r>
        <w:rPr>
          <w:rFonts w:hint="eastAsia" w:ascii="仿宋_GB2312" w:hAnsi="楷体" w:eastAsia="仿宋_GB2312"/>
          <w:sz w:val="32"/>
          <w:szCs w:val="32"/>
        </w:rPr>
        <w:t>保证了项目完成的及时性</w:t>
      </w:r>
      <w:r>
        <w:rPr>
          <w:rFonts w:hint="eastAsia" w:ascii="仿宋_GB2312" w:hAnsi="楷体" w:eastAsia="仿宋_GB2312"/>
          <w:sz w:val="32"/>
          <w:szCs w:val="32"/>
          <w:lang w:eastAsia="zh-CN"/>
        </w:rPr>
        <w:t>，</w:t>
      </w:r>
      <w:r>
        <w:rPr>
          <w:rFonts w:hint="eastAsia" w:ascii="仿宋_GB2312" w:hAnsi="楷体" w:eastAsia="仿宋_GB2312"/>
          <w:sz w:val="32"/>
          <w:szCs w:val="32"/>
        </w:rPr>
        <w:t>项目绩效有效促进了部门绩效目标的实现。</w:t>
      </w:r>
    </w:p>
    <w:p>
      <w:pPr>
        <w:keepNext w:val="0"/>
        <w:keepLines w:val="0"/>
        <w:pageBreakBefore w:val="0"/>
        <w:widowControl w:val="0"/>
        <w:numPr>
          <w:ilvl w:val="0"/>
          <w:numId w:val="1"/>
        </w:numPr>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资金来源及使用情况</w:t>
      </w:r>
    </w:p>
    <w:p>
      <w:pPr>
        <w:keepNext w:val="0"/>
        <w:keepLines w:val="0"/>
        <w:pageBreakBefore w:val="0"/>
        <w:widowControl w:val="0"/>
        <w:numPr>
          <w:ilvl w:val="0"/>
          <w:numId w:val="0"/>
        </w:numPr>
        <w:kinsoku/>
        <w:wordWrap/>
        <w:overflowPunct/>
        <w:topLinePunct/>
        <w:autoSpaceDE/>
        <w:autoSpaceDN/>
        <w:bidi w:val="0"/>
        <w:adjustRightInd/>
        <w:snapToGrid/>
        <w:spacing w:line="600" w:lineRule="exact"/>
        <w:ind w:firstLine="640" w:firstLineChars="200"/>
        <w:textAlignment w:val="auto"/>
        <w:rPr>
          <w:rFonts w:ascii="仿宋_GB2312" w:hAnsi="楷体" w:eastAsia="仿宋_GB2312"/>
          <w:sz w:val="32"/>
          <w:szCs w:val="32"/>
        </w:rPr>
      </w:pPr>
      <w:r>
        <w:rPr>
          <w:rFonts w:hint="eastAsia" w:ascii="仿宋_GB2312" w:hAnsi="楷体" w:eastAsia="仿宋_GB2312"/>
          <w:sz w:val="32"/>
          <w:szCs w:val="32"/>
        </w:rPr>
        <w:t>盘龙区</w:t>
      </w:r>
      <w:r>
        <w:rPr>
          <w:rFonts w:hint="eastAsia" w:ascii="仿宋_GB2312" w:hAnsi="楷体" w:eastAsia="仿宋_GB2312" w:cs="Times New Roman"/>
          <w:sz w:val="32"/>
          <w:szCs w:val="32"/>
        </w:rPr>
        <w:t>内部控制</w:t>
      </w:r>
      <w:r>
        <w:rPr>
          <w:rFonts w:hint="eastAsia" w:ascii="仿宋_GB2312" w:hAnsi="楷体" w:eastAsia="仿宋_GB2312" w:cs="Times New Roman"/>
          <w:sz w:val="32"/>
          <w:szCs w:val="32"/>
          <w:lang w:eastAsia="zh-CN"/>
        </w:rPr>
        <w:t>编报</w:t>
      </w:r>
      <w:r>
        <w:rPr>
          <w:rFonts w:hint="eastAsia" w:ascii="仿宋_GB2312" w:hAnsi="楷体" w:eastAsia="仿宋_GB2312" w:cs="Times New Roman"/>
          <w:sz w:val="32"/>
          <w:szCs w:val="32"/>
        </w:rPr>
        <w:t>工作</w:t>
      </w:r>
      <w:r>
        <w:rPr>
          <w:rFonts w:hint="eastAsia" w:ascii="仿宋_GB2312" w:hAnsi="楷体" w:eastAsia="仿宋_GB2312"/>
          <w:sz w:val="32"/>
          <w:szCs w:val="32"/>
          <w:lang w:eastAsia="zh-CN"/>
        </w:rPr>
        <w:t>经</w:t>
      </w:r>
      <w:r>
        <w:rPr>
          <w:rFonts w:hint="eastAsia" w:ascii="仿宋_GB2312" w:hAnsi="楷体" w:eastAsia="仿宋_GB2312"/>
          <w:sz w:val="32"/>
          <w:szCs w:val="32"/>
        </w:rPr>
        <w:t>费资金来源为年初预算，截止20</w:t>
      </w:r>
      <w:r>
        <w:rPr>
          <w:rFonts w:hint="eastAsia" w:ascii="仿宋_GB2312" w:hAnsi="楷体" w:eastAsia="仿宋_GB2312"/>
          <w:sz w:val="32"/>
          <w:szCs w:val="32"/>
          <w:lang w:val="en-US" w:eastAsia="zh-CN"/>
        </w:rPr>
        <w:t>22</w:t>
      </w:r>
      <w:r>
        <w:rPr>
          <w:rFonts w:hint="eastAsia" w:ascii="仿宋_GB2312" w:hAnsi="楷体" w:eastAsia="仿宋_GB2312"/>
          <w:sz w:val="32"/>
          <w:szCs w:val="32"/>
        </w:rPr>
        <w:t>年底，该项目工作经费支出已达</w:t>
      </w:r>
      <w:r>
        <w:rPr>
          <w:rFonts w:hint="eastAsia" w:ascii="仿宋_GB2312" w:hAnsi="楷体" w:eastAsia="仿宋_GB2312"/>
          <w:sz w:val="32"/>
          <w:szCs w:val="32"/>
          <w:lang w:val="en-US" w:eastAsia="zh-CN"/>
        </w:rPr>
        <w:t>100</w:t>
      </w:r>
      <w:r>
        <w:rPr>
          <w:rFonts w:hint="eastAsia" w:ascii="仿宋_GB2312" w:hAnsi="楷体" w:eastAsia="仿宋_GB2312"/>
          <w:sz w:val="32"/>
          <w:szCs w:val="32"/>
        </w:rPr>
        <w:t>%。</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4.组织及管理情况</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lang w:eastAsia="zh-CN"/>
        </w:rPr>
      </w:pPr>
      <w:r>
        <w:rPr>
          <w:rFonts w:hint="eastAsia" w:ascii="仿宋_GB2312" w:hAnsi="楷体" w:eastAsia="仿宋_GB2312"/>
          <w:sz w:val="32"/>
          <w:szCs w:val="32"/>
        </w:rPr>
        <w:t>根据《昆明市财政局2021年度行政事业单位内部控制报告编报情况审查工作方案》</w:t>
      </w:r>
      <w:r>
        <w:rPr>
          <w:rFonts w:hint="eastAsia" w:ascii="仿宋_GB2312" w:hAnsi="楷体" w:eastAsia="仿宋_GB2312"/>
          <w:sz w:val="32"/>
          <w:szCs w:val="32"/>
          <w:lang w:eastAsia="zh-CN"/>
        </w:rPr>
        <w:t>、《昆明市财政局关于昆明市盘龙区财政局2021年度内部控制报告检查结果的通知》及内控编报工作服务合同</w:t>
      </w:r>
      <w:r>
        <w:rPr>
          <w:rFonts w:hint="eastAsia" w:ascii="仿宋_GB2312" w:hAnsi="楷体" w:eastAsia="仿宋_GB2312"/>
          <w:sz w:val="32"/>
          <w:szCs w:val="32"/>
        </w:rPr>
        <w:t>，考评结束后支付</w:t>
      </w:r>
      <w:r>
        <w:rPr>
          <w:rFonts w:hint="eastAsia" w:ascii="仿宋_GB2312" w:hAnsi="楷体" w:eastAsia="仿宋_GB2312"/>
          <w:sz w:val="32"/>
          <w:szCs w:val="32"/>
          <w:lang w:eastAsia="zh-CN"/>
        </w:rPr>
        <w:t>编报工作服务费。</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楷体" w:hAnsi="楷体" w:eastAsia="楷体"/>
          <w:sz w:val="32"/>
          <w:szCs w:val="32"/>
        </w:rPr>
      </w:pPr>
      <w:r>
        <w:rPr>
          <w:rFonts w:hint="eastAsia" w:ascii="楷体" w:hAnsi="楷体" w:eastAsia="楷体"/>
          <w:sz w:val="32"/>
          <w:szCs w:val="32"/>
        </w:rPr>
        <w:t>（二）绩效目标</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仿宋_GB2312" w:hAnsi="楷体" w:eastAsia="仿宋_GB2312"/>
          <w:sz w:val="32"/>
          <w:szCs w:val="32"/>
        </w:rPr>
      </w:pPr>
      <w:r>
        <w:rPr>
          <w:rFonts w:hint="eastAsia" w:ascii="仿宋_GB2312" w:hAnsi="楷体" w:eastAsia="仿宋_GB2312"/>
          <w:sz w:val="32"/>
          <w:szCs w:val="32"/>
        </w:rPr>
        <w:t>通过</w:t>
      </w:r>
      <w:r>
        <w:rPr>
          <w:rFonts w:hint="eastAsia" w:ascii="仿宋_GB2312" w:hAnsi="楷体" w:eastAsia="仿宋_GB2312"/>
          <w:sz w:val="32"/>
          <w:szCs w:val="32"/>
          <w:lang w:eastAsia="zh-CN"/>
        </w:rPr>
        <w:t>内控编报工作</w:t>
      </w:r>
      <w:r>
        <w:rPr>
          <w:rFonts w:hint="eastAsia" w:ascii="仿宋_GB2312" w:hAnsi="楷体" w:eastAsia="仿宋_GB2312"/>
          <w:sz w:val="32"/>
          <w:szCs w:val="32"/>
        </w:rPr>
        <w:t>，能</w:t>
      </w:r>
      <w:r>
        <w:rPr>
          <w:rFonts w:hint="eastAsia" w:ascii="仿宋_GB2312" w:hAnsi="宋体" w:eastAsia="仿宋_GB2312" w:cs="宋体"/>
          <w:color w:val="000000"/>
          <w:kern w:val="0"/>
          <w:sz w:val="32"/>
          <w:szCs w:val="32"/>
          <w:lang w:val="en-US" w:eastAsia="zh-CN"/>
        </w:rPr>
        <w:t>进一步推动全区行政事业单位内部控制建设和执行，</w:t>
      </w:r>
      <w:r>
        <w:rPr>
          <w:rFonts w:hint="eastAsia" w:ascii="仿宋_GB2312" w:hAnsi="楷体" w:eastAsia="仿宋_GB2312"/>
          <w:sz w:val="32"/>
          <w:szCs w:val="32"/>
        </w:rPr>
        <w:t>切实提高</w:t>
      </w:r>
      <w:r>
        <w:rPr>
          <w:rFonts w:hint="eastAsia" w:ascii="仿宋_GB2312" w:hAnsi="楷体" w:eastAsia="仿宋_GB2312"/>
          <w:sz w:val="32"/>
          <w:szCs w:val="32"/>
          <w:lang w:eastAsia="zh-CN"/>
        </w:rPr>
        <w:t>内部控制制度利用率，加强</w:t>
      </w:r>
      <w:r>
        <w:rPr>
          <w:rFonts w:hint="eastAsia" w:ascii="仿宋_GB2312" w:hAnsi="宋体" w:eastAsia="仿宋_GB2312" w:cs="宋体"/>
          <w:color w:val="000000"/>
          <w:kern w:val="0"/>
          <w:sz w:val="32"/>
          <w:szCs w:val="32"/>
          <w:lang w:val="en-US" w:eastAsia="zh-CN"/>
        </w:rPr>
        <w:t>内部控制</w:t>
      </w:r>
      <w:r>
        <w:rPr>
          <w:rFonts w:hint="eastAsia" w:ascii="仿宋_GB2312" w:hAnsi="楷体" w:eastAsia="仿宋_GB2312"/>
          <w:sz w:val="32"/>
          <w:szCs w:val="32"/>
          <w:lang w:eastAsia="zh-CN"/>
        </w:rPr>
        <w:t>对各单位内部约束</w:t>
      </w:r>
      <w:r>
        <w:rPr>
          <w:rFonts w:hint="eastAsia" w:ascii="仿宋_GB2312" w:hAnsi="楷体" w:eastAsia="仿宋_GB2312"/>
          <w:sz w:val="32"/>
          <w:szCs w:val="32"/>
        </w:rPr>
        <w:t>，项目绩效产出指标完成率为100%，</w:t>
      </w:r>
      <w:r>
        <w:rPr>
          <w:rFonts w:hint="eastAsia" w:ascii="仿宋_GB2312" w:hAnsi="楷体" w:eastAsia="仿宋_GB2312"/>
          <w:sz w:val="32"/>
          <w:szCs w:val="32"/>
          <w:lang w:eastAsia="zh-CN"/>
        </w:rPr>
        <w:t>项目完成情况</w:t>
      </w:r>
      <w:r>
        <w:rPr>
          <w:rFonts w:hint="eastAsia" w:ascii="仿宋_GB2312" w:hAnsi="楷体" w:eastAsia="仿宋_GB2312"/>
          <w:sz w:val="32"/>
          <w:szCs w:val="32"/>
        </w:rPr>
        <w:t>指标完成率为100%，项目清算进程于20</w:t>
      </w:r>
      <w:r>
        <w:rPr>
          <w:rFonts w:hint="eastAsia" w:ascii="仿宋_GB2312" w:hAnsi="楷体" w:eastAsia="仿宋_GB2312"/>
          <w:sz w:val="32"/>
          <w:szCs w:val="32"/>
          <w:lang w:val="en-US" w:eastAsia="zh-CN"/>
        </w:rPr>
        <w:t>22</w:t>
      </w:r>
      <w:r>
        <w:rPr>
          <w:rFonts w:hint="eastAsia" w:ascii="仿宋_GB2312" w:hAnsi="楷体" w:eastAsia="仿宋_GB2312"/>
          <w:sz w:val="32"/>
          <w:szCs w:val="32"/>
        </w:rPr>
        <w:t>年12月31日前完成，保证了项目完成的及时性。项目绩效有效促进了部门绩效目标的实现。</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黑体" w:hAnsi="黑体" w:eastAsia="黑体" w:cs="黑体"/>
          <w:sz w:val="32"/>
          <w:szCs w:val="32"/>
        </w:rPr>
      </w:pPr>
      <w:r>
        <w:rPr>
          <w:rFonts w:hint="eastAsia" w:ascii="黑体" w:hAnsi="黑体" w:eastAsia="黑体" w:cs="黑体"/>
          <w:sz w:val="32"/>
          <w:szCs w:val="32"/>
        </w:rPr>
        <w:t>二、绩效评价工作情况</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楷体" w:hAnsi="楷体" w:eastAsia="楷体" w:cs="楷体"/>
          <w:sz w:val="32"/>
          <w:szCs w:val="32"/>
        </w:rPr>
      </w:pPr>
      <w:r>
        <w:rPr>
          <w:rFonts w:hint="eastAsia" w:ascii="楷体" w:hAnsi="楷体" w:eastAsia="楷体" w:cs="楷体"/>
          <w:sz w:val="32"/>
          <w:szCs w:val="32"/>
        </w:rPr>
        <w:t>（一）绩效评价目的</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cs="Times New Roman"/>
          <w:sz w:val="32"/>
          <w:szCs w:val="32"/>
        </w:rPr>
      </w:pPr>
      <w:r>
        <w:rPr>
          <w:rFonts w:hint="eastAsia" w:ascii="仿宋_GB2312" w:hAnsi="楷体" w:eastAsia="仿宋_GB2312" w:cs="Times New Roman"/>
          <w:sz w:val="3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楷体" w:hAnsi="楷体" w:eastAsia="楷体" w:cs="楷体"/>
          <w:sz w:val="32"/>
          <w:szCs w:val="32"/>
        </w:rPr>
      </w:pPr>
      <w:r>
        <w:rPr>
          <w:rFonts w:hint="eastAsia" w:ascii="楷体" w:hAnsi="楷体" w:eastAsia="楷体" w:cs="楷体"/>
          <w:sz w:val="32"/>
          <w:szCs w:val="32"/>
        </w:rPr>
        <w:t>（二）绩效评价工作方案制定过程</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根据《盘龙区区级部门预算绩效自评管理暂行办法》的要求，结合具体工作实际设计指标名称，首先明确绩效评价等级划分与指标，其次对相关指标进行解释并拟定评分标准和考评方式。</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楷体" w:hAnsi="楷体" w:eastAsia="楷体"/>
          <w:sz w:val="32"/>
          <w:szCs w:val="32"/>
        </w:rPr>
      </w:pPr>
      <w:r>
        <w:rPr>
          <w:rFonts w:hint="eastAsia" w:ascii="楷体" w:hAnsi="楷体" w:eastAsia="楷体"/>
          <w:sz w:val="32"/>
          <w:szCs w:val="32"/>
        </w:rPr>
        <w:t>（三）绩效评价原则、评价方法</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1.绩效评价原则</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绩效评价结合项目推进情况，按照设定的绩效目标，运用合理的评价方法和对照标准，对项目涉及的各个方面进行客观、科学、公正、公平地评价。</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2.绩效评价方法</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仿宋_GB2312" w:hAnsi="楷体" w:eastAsia="仿宋_GB2312"/>
          <w:sz w:val="32"/>
          <w:szCs w:val="32"/>
        </w:rPr>
      </w:pPr>
      <w:r>
        <w:rPr>
          <w:rFonts w:hint="eastAsia" w:ascii="仿宋_GB2312" w:hAnsi="楷体" w:eastAsia="仿宋_GB2312"/>
          <w:sz w:val="32"/>
          <w:szCs w:val="32"/>
        </w:rPr>
        <w:t>采用直接比对的方法，将项目实际完成情况与绩效指标完成情况进行直接对比，在此基础上进行评价。</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楷体" w:hAnsi="楷体" w:eastAsia="楷体"/>
          <w:sz w:val="32"/>
          <w:szCs w:val="32"/>
        </w:rPr>
      </w:pPr>
      <w:r>
        <w:rPr>
          <w:rFonts w:hint="eastAsia" w:ascii="楷体" w:hAnsi="楷体" w:eastAsia="楷体"/>
          <w:sz w:val="32"/>
          <w:szCs w:val="32"/>
        </w:rPr>
        <w:t>（四）绩效评价实施过程</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仿宋_GB2312" w:hAnsi="楷体" w:eastAsia="仿宋_GB2312"/>
          <w:sz w:val="32"/>
          <w:szCs w:val="32"/>
        </w:rPr>
      </w:pPr>
      <w:r>
        <w:rPr>
          <w:rFonts w:hint="eastAsia" w:ascii="仿宋_GB2312" w:hAnsi="楷体" w:eastAsia="仿宋_GB2312"/>
          <w:sz w:val="32"/>
          <w:szCs w:val="32"/>
        </w:rPr>
        <w:t>此次绩效评价由项目实施科室根据项目绩效目标进行，一是前期准备，明确项目内容、了解基本情况、设计指标体系；二是收集信息，按阶段落实工作进展情况；三是对照检查核实，提出意见建议。</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楷体" w:hAnsi="楷体" w:eastAsia="楷体"/>
          <w:sz w:val="32"/>
          <w:szCs w:val="32"/>
        </w:rPr>
      </w:pPr>
      <w:r>
        <w:rPr>
          <w:rFonts w:hint="eastAsia" w:ascii="楷体" w:hAnsi="楷体" w:eastAsia="楷体"/>
          <w:sz w:val="32"/>
          <w:szCs w:val="32"/>
        </w:rPr>
        <w:t>（五）本次绩效评价的局限性</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仿宋_GB2312" w:hAnsi="楷体" w:eastAsia="仿宋_GB2312"/>
          <w:sz w:val="32"/>
          <w:szCs w:val="32"/>
        </w:rPr>
      </w:pPr>
      <w:r>
        <w:rPr>
          <w:rFonts w:hint="eastAsia" w:ascii="仿宋_GB2312" w:hAnsi="楷体" w:eastAsia="仿宋_GB2312"/>
          <w:sz w:val="32"/>
          <w:szCs w:val="32"/>
        </w:rPr>
        <w:t>本项目的一些评价指标有待进一步的探讨和完善。</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黑体" w:hAnsi="黑体" w:eastAsia="黑体"/>
          <w:sz w:val="32"/>
          <w:szCs w:val="32"/>
        </w:rPr>
      </w:pPr>
      <w:r>
        <w:rPr>
          <w:rFonts w:hint="eastAsia" w:ascii="黑体" w:hAnsi="黑体" w:eastAsia="黑体"/>
          <w:sz w:val="32"/>
          <w:szCs w:val="32"/>
        </w:rPr>
        <w:t>三、评价结论和绩效分析</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楷体" w:hAnsi="楷体" w:eastAsia="楷体"/>
          <w:sz w:val="32"/>
          <w:szCs w:val="32"/>
        </w:rPr>
      </w:pPr>
      <w:r>
        <w:rPr>
          <w:rFonts w:hint="eastAsia" w:ascii="楷体" w:hAnsi="楷体" w:eastAsia="楷体"/>
          <w:sz w:val="32"/>
          <w:szCs w:val="32"/>
        </w:rPr>
        <w:t>（一）评价结论</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仿宋" w:eastAsia="仿宋_GB2312"/>
          <w:sz w:val="32"/>
          <w:szCs w:val="32"/>
        </w:rPr>
      </w:pPr>
      <w:r>
        <w:rPr>
          <w:rFonts w:hint="eastAsia" w:ascii="仿宋_GB2312" w:hAnsi="仿宋" w:eastAsia="仿宋_GB2312"/>
          <w:sz w:val="32"/>
          <w:szCs w:val="32"/>
        </w:rPr>
        <w:t>1.评价结果</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仿宋_GB2312" w:hAnsi="仿宋" w:eastAsia="仿宋_GB2312"/>
          <w:sz w:val="32"/>
          <w:szCs w:val="32"/>
        </w:rPr>
      </w:pPr>
      <w:r>
        <w:rPr>
          <w:rFonts w:hint="eastAsia" w:ascii="仿宋_GB2312" w:hAnsi="仿宋" w:eastAsia="仿宋_GB2312"/>
          <w:sz w:val="32"/>
          <w:szCs w:val="32"/>
        </w:rPr>
        <w:t>本次项目绩效目标总体完成情况良好，自评得分9</w:t>
      </w:r>
      <w:r>
        <w:rPr>
          <w:rFonts w:hint="eastAsia" w:ascii="仿宋_GB2312" w:hAnsi="仿宋" w:eastAsia="仿宋_GB2312"/>
          <w:sz w:val="32"/>
          <w:szCs w:val="32"/>
          <w:lang w:val="en-US" w:eastAsia="zh-CN"/>
        </w:rPr>
        <w:t>5.5</w:t>
      </w:r>
      <w:r>
        <w:rPr>
          <w:rFonts w:hint="eastAsia" w:ascii="仿宋_GB2312" w:hAnsi="仿宋" w:eastAsia="仿宋_GB2312"/>
          <w:sz w:val="32"/>
          <w:szCs w:val="32"/>
        </w:rPr>
        <w:t>分。</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仿宋" w:eastAsia="仿宋_GB2312"/>
          <w:sz w:val="32"/>
          <w:szCs w:val="32"/>
        </w:rPr>
      </w:pPr>
      <w:r>
        <w:rPr>
          <w:rFonts w:hint="eastAsia" w:ascii="仿宋_GB2312" w:hAnsi="仿宋" w:eastAsia="仿宋_GB2312"/>
          <w:sz w:val="32"/>
          <w:szCs w:val="32"/>
        </w:rPr>
        <w:t>2.主要绩效</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仿宋_GB2312" w:hAnsi="仿宋" w:eastAsia="仿宋_GB2312"/>
          <w:sz w:val="32"/>
          <w:szCs w:val="32"/>
        </w:rPr>
      </w:pPr>
      <w:r>
        <w:rPr>
          <w:rFonts w:hint="eastAsia" w:ascii="仿宋_GB2312" w:hAnsi="仿宋" w:eastAsia="仿宋_GB2312"/>
          <w:sz w:val="32"/>
          <w:szCs w:val="32"/>
        </w:rPr>
        <w:t>绩效指标主要从三大方面对本项目进行自评，分别是项目决策（20%）、项目管理（20%）、项目绩效（60%）。</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 w:hAnsi="仿宋" w:eastAsia="仿宋"/>
          <w:sz w:val="32"/>
          <w:szCs w:val="32"/>
          <w:highlight w:val="none"/>
        </w:rPr>
      </w:pPr>
      <w:r>
        <w:rPr>
          <w:rFonts w:hint="eastAsia" w:ascii="楷体" w:hAnsi="楷体" w:eastAsia="楷体"/>
          <w:sz w:val="32"/>
          <w:szCs w:val="32"/>
          <w:highlight w:val="none"/>
        </w:rPr>
        <w:t>（二）具体绩效分析</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仿宋" w:eastAsia="仿宋_GB2312"/>
          <w:sz w:val="32"/>
          <w:szCs w:val="32"/>
          <w:highlight w:val="none"/>
        </w:rPr>
      </w:pPr>
      <w:r>
        <w:rPr>
          <w:rFonts w:hint="eastAsia" w:ascii="仿宋_GB2312" w:hAnsi="仿宋" w:eastAsia="仿宋_GB2312"/>
          <w:sz w:val="32"/>
          <w:szCs w:val="32"/>
          <w:highlight w:val="none"/>
        </w:rPr>
        <w:t>1.项目决策指标完成情况</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仿宋" w:eastAsia="仿宋_GB2312"/>
          <w:sz w:val="32"/>
          <w:szCs w:val="32"/>
          <w:highlight w:val="none"/>
        </w:rPr>
      </w:pPr>
      <w:r>
        <w:rPr>
          <w:rFonts w:hint="eastAsia" w:ascii="仿宋_GB2312" w:hAnsi="仿宋" w:eastAsia="仿宋_GB2312"/>
          <w:sz w:val="32"/>
          <w:szCs w:val="32"/>
          <w:highlight w:val="none"/>
        </w:rPr>
        <w:t>项目决策指标满分20分，得</w:t>
      </w:r>
      <w:r>
        <w:rPr>
          <w:rFonts w:hint="eastAsia" w:ascii="仿宋_GB2312" w:hAnsi="仿宋" w:eastAsia="仿宋_GB2312"/>
          <w:sz w:val="32"/>
          <w:szCs w:val="32"/>
          <w:highlight w:val="none"/>
          <w:lang w:val="en-US" w:eastAsia="zh-CN"/>
        </w:rPr>
        <w:t>20</w:t>
      </w:r>
      <w:r>
        <w:rPr>
          <w:rFonts w:hint="eastAsia" w:ascii="仿宋_GB2312" w:hAnsi="仿宋" w:eastAsia="仿宋_GB2312"/>
          <w:sz w:val="32"/>
          <w:szCs w:val="32"/>
          <w:highlight w:val="none"/>
        </w:rPr>
        <w:t>分。</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仿宋" w:eastAsia="仿宋_GB2312"/>
          <w:sz w:val="32"/>
          <w:szCs w:val="32"/>
          <w:highlight w:val="none"/>
        </w:rPr>
      </w:pPr>
      <w:r>
        <w:rPr>
          <w:rFonts w:hint="eastAsia" w:ascii="仿宋_GB2312" w:hAnsi="仿宋" w:eastAsia="仿宋_GB2312"/>
          <w:sz w:val="32"/>
          <w:szCs w:val="32"/>
          <w:highlight w:val="none"/>
        </w:rPr>
        <w:t>2.项目管理指标完成情况</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仿宋" w:eastAsia="仿宋_GB2312"/>
          <w:sz w:val="32"/>
          <w:szCs w:val="32"/>
          <w:highlight w:val="none"/>
        </w:rPr>
      </w:pPr>
      <w:r>
        <w:rPr>
          <w:rFonts w:hint="eastAsia" w:ascii="仿宋_GB2312" w:hAnsi="仿宋" w:eastAsia="仿宋_GB2312"/>
          <w:sz w:val="32"/>
          <w:szCs w:val="32"/>
          <w:highlight w:val="none"/>
        </w:rPr>
        <w:t>项目管理指标满分20分，得20分。</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仿宋" w:eastAsia="仿宋_GB2312"/>
          <w:sz w:val="32"/>
          <w:szCs w:val="32"/>
          <w:highlight w:val="none"/>
        </w:rPr>
      </w:pPr>
      <w:r>
        <w:rPr>
          <w:rFonts w:hint="eastAsia" w:ascii="仿宋_GB2312" w:hAnsi="仿宋" w:eastAsia="仿宋_GB2312"/>
          <w:sz w:val="32"/>
          <w:szCs w:val="32"/>
          <w:highlight w:val="none"/>
        </w:rPr>
        <w:t>3.项目绩效指标完成情况</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highlight w:val="none"/>
        </w:rPr>
      </w:pPr>
      <w:r>
        <w:rPr>
          <w:rFonts w:hint="eastAsia" w:ascii="宋体" w:hAnsi="宋体" w:cs="宋体"/>
          <w:color w:val="000000"/>
          <w:kern w:val="0"/>
          <w:sz w:val="32"/>
          <w:szCs w:val="32"/>
          <w:highlight w:val="none"/>
        </w:rPr>
        <w:t>项目绩效</w:t>
      </w:r>
      <w:r>
        <w:rPr>
          <w:rFonts w:hint="eastAsia" w:ascii="仿宋_GB2312" w:hAnsi="仿宋" w:eastAsia="仿宋_GB2312"/>
          <w:sz w:val="32"/>
          <w:szCs w:val="32"/>
          <w:highlight w:val="none"/>
        </w:rPr>
        <w:t>指标满分60分，20</w:t>
      </w:r>
      <w:r>
        <w:rPr>
          <w:rFonts w:hint="eastAsia" w:ascii="仿宋_GB2312" w:hAnsi="仿宋" w:eastAsia="仿宋_GB2312"/>
          <w:sz w:val="32"/>
          <w:szCs w:val="32"/>
          <w:highlight w:val="none"/>
          <w:lang w:val="en-US" w:eastAsia="zh-CN"/>
        </w:rPr>
        <w:t>22</w:t>
      </w:r>
      <w:r>
        <w:rPr>
          <w:rFonts w:hint="eastAsia" w:ascii="仿宋_GB2312" w:hAnsi="仿宋" w:eastAsia="仿宋_GB2312"/>
          <w:sz w:val="32"/>
          <w:szCs w:val="32"/>
          <w:highlight w:val="none"/>
        </w:rPr>
        <w:t>年</w:t>
      </w:r>
      <w:r>
        <w:rPr>
          <w:rFonts w:hint="eastAsia" w:ascii="仿宋_GB2312" w:hAnsi="仿宋" w:eastAsia="仿宋_GB2312"/>
          <w:sz w:val="32"/>
          <w:szCs w:val="32"/>
          <w:highlight w:val="none"/>
          <w:lang w:eastAsia="zh-CN"/>
        </w:rPr>
        <w:t>市级考核反馈存在部分问题</w:t>
      </w:r>
      <w:r>
        <w:rPr>
          <w:rFonts w:hint="eastAsia" w:ascii="仿宋_GB2312" w:hAnsi="楷体" w:eastAsia="仿宋_GB2312"/>
          <w:sz w:val="32"/>
          <w:szCs w:val="32"/>
          <w:highlight w:val="none"/>
        </w:rPr>
        <w:t>扣</w:t>
      </w:r>
      <w:r>
        <w:rPr>
          <w:rFonts w:hint="eastAsia" w:ascii="仿宋_GB2312" w:hAnsi="楷体" w:eastAsia="仿宋_GB2312"/>
          <w:sz w:val="32"/>
          <w:szCs w:val="32"/>
          <w:highlight w:val="none"/>
          <w:lang w:val="en-US" w:eastAsia="zh-CN"/>
        </w:rPr>
        <w:t>4.5</w:t>
      </w:r>
      <w:r>
        <w:rPr>
          <w:rFonts w:hint="eastAsia" w:ascii="仿宋_GB2312" w:hAnsi="楷体" w:eastAsia="仿宋_GB2312"/>
          <w:sz w:val="32"/>
          <w:szCs w:val="32"/>
          <w:highlight w:val="none"/>
        </w:rPr>
        <w:t>分</w:t>
      </w:r>
      <w:r>
        <w:rPr>
          <w:rFonts w:hint="eastAsia" w:ascii="仿宋_GB2312" w:hAnsi="仿宋" w:eastAsia="仿宋_GB2312"/>
          <w:sz w:val="32"/>
          <w:szCs w:val="32"/>
          <w:highlight w:val="none"/>
        </w:rPr>
        <w:t>得</w:t>
      </w:r>
      <w:r>
        <w:rPr>
          <w:rFonts w:hint="eastAsia" w:ascii="仿宋_GB2312" w:hAnsi="仿宋" w:eastAsia="仿宋_GB2312"/>
          <w:sz w:val="32"/>
          <w:szCs w:val="32"/>
          <w:highlight w:val="none"/>
          <w:lang w:val="en-US" w:eastAsia="zh-CN"/>
        </w:rPr>
        <w:t>55.5</w:t>
      </w:r>
      <w:r>
        <w:rPr>
          <w:rFonts w:hint="eastAsia" w:ascii="仿宋_GB2312" w:hAnsi="仿宋" w:eastAsia="仿宋_GB2312"/>
          <w:sz w:val="32"/>
          <w:szCs w:val="32"/>
          <w:highlight w:val="none"/>
        </w:rPr>
        <w:t>分。</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黑体" w:hAnsi="黑体" w:eastAsia="黑体"/>
          <w:sz w:val="32"/>
          <w:szCs w:val="32"/>
        </w:rPr>
      </w:pPr>
      <w:r>
        <w:rPr>
          <w:rFonts w:hint="eastAsia" w:ascii="黑体" w:hAnsi="黑体" w:eastAsia="黑体"/>
          <w:sz w:val="32"/>
          <w:szCs w:val="32"/>
        </w:rPr>
        <w:t>四、主要经验及做法、存在的问题和建议</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楷体" w:hAnsi="楷体" w:eastAsia="楷体"/>
          <w:sz w:val="32"/>
          <w:szCs w:val="32"/>
        </w:rPr>
      </w:pPr>
      <w:r>
        <w:rPr>
          <w:rFonts w:hint="eastAsia" w:ascii="楷体" w:hAnsi="楷体" w:eastAsia="楷体"/>
          <w:sz w:val="32"/>
          <w:szCs w:val="32"/>
        </w:rPr>
        <w:t>（一）主要经验及做法</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仿宋" w:eastAsia="仿宋_GB2312"/>
          <w:sz w:val="32"/>
          <w:szCs w:val="32"/>
        </w:rPr>
      </w:pPr>
      <w:r>
        <w:rPr>
          <w:rFonts w:hint="eastAsia" w:ascii="仿宋_GB2312" w:hAnsi="仿宋" w:eastAsia="仿宋_GB2312"/>
          <w:sz w:val="32"/>
          <w:szCs w:val="32"/>
        </w:rPr>
        <w:t>1.及时安排工作经费，为项目实施做好资金保障。</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仿宋_GB2312" w:hAnsi="仿宋" w:eastAsia="仿宋_GB2312"/>
          <w:sz w:val="32"/>
          <w:szCs w:val="32"/>
        </w:rPr>
      </w:pPr>
      <w:r>
        <w:rPr>
          <w:rFonts w:hint="eastAsia" w:ascii="仿宋_GB2312" w:hAnsi="仿宋" w:eastAsia="仿宋_GB2312"/>
          <w:sz w:val="32"/>
          <w:szCs w:val="32"/>
        </w:rPr>
        <w:t>2.较为规范地组织工作，及时反馈，重点跟踪，确保阶段性任务能够按计划完成。</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楷体" w:hAnsi="楷体" w:eastAsia="楷体"/>
          <w:sz w:val="32"/>
          <w:szCs w:val="32"/>
        </w:rPr>
      </w:pPr>
      <w:r>
        <w:rPr>
          <w:rFonts w:hint="eastAsia" w:ascii="楷体" w:hAnsi="楷体" w:eastAsia="楷体"/>
          <w:sz w:val="32"/>
          <w:szCs w:val="32"/>
        </w:rPr>
        <w:t>（二）存在的问题</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仿宋_GB2312" w:hAnsi="楷体" w:eastAsia="仿宋_GB2312"/>
          <w:sz w:val="32"/>
          <w:szCs w:val="32"/>
        </w:rPr>
      </w:pPr>
      <w:r>
        <w:rPr>
          <w:rFonts w:hint="eastAsia" w:ascii="仿宋_GB2312" w:hAnsi="楷体" w:eastAsia="仿宋_GB2312"/>
          <w:sz w:val="32"/>
          <w:szCs w:val="32"/>
        </w:rPr>
        <w:t>部分绩效考评指标设计不合理。该项目的部分成果无法用量化指标的形式表示，在绩效考评指标的设计上，有待完善。</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楷体" w:hAnsi="楷体" w:eastAsia="楷体"/>
          <w:sz w:val="32"/>
          <w:szCs w:val="32"/>
        </w:rPr>
      </w:pPr>
      <w:r>
        <w:rPr>
          <w:rFonts w:hint="eastAsia" w:ascii="楷体" w:hAnsi="楷体" w:eastAsia="楷体"/>
          <w:sz w:val="32"/>
          <w:szCs w:val="32"/>
        </w:rPr>
        <w:t>（三）建议和改进措施</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仿宋_GB2312" w:hAnsi="楷体" w:eastAsia="仿宋_GB2312"/>
          <w:szCs w:val="32"/>
        </w:rPr>
      </w:pPr>
      <w:r>
        <w:rPr>
          <w:rFonts w:hint="eastAsia" w:ascii="仿宋_GB2312" w:hAnsi="楷体" w:eastAsia="仿宋_GB2312"/>
          <w:sz w:val="32"/>
          <w:szCs w:val="32"/>
        </w:rPr>
        <w:t>建议研究制定适合专项资金的支出绩效评价共性指标，绩效管理方面需细化，指标的设计还需进一步的讨论和完善。</w:t>
      </w:r>
    </w:p>
    <w:p>
      <w:pPr>
        <w:keepNext w:val="0"/>
        <w:keepLines w:val="0"/>
        <w:pageBreakBefore w:val="0"/>
        <w:widowControl w:val="0"/>
        <w:kinsoku/>
        <w:wordWrap/>
        <w:overflowPunct/>
        <w:autoSpaceDE/>
        <w:autoSpaceDN/>
        <w:bidi w:val="0"/>
        <w:adjustRightInd/>
        <w:snapToGrid/>
        <w:spacing w:line="600" w:lineRule="exact"/>
        <w:jc w:val="center"/>
        <w:textAlignment w:val="auto"/>
        <w:rPr>
          <w:rFonts w:hint="eastAsia" w:ascii="方正小标宋_GBK" w:eastAsia="方正小标宋_GBK"/>
          <w:sz w:val="32"/>
          <w:szCs w:val="32"/>
        </w:rPr>
      </w:pPr>
    </w:p>
    <w:p>
      <w:pPr>
        <w:keepNext w:val="0"/>
        <w:keepLines w:val="0"/>
        <w:pageBreakBefore w:val="0"/>
        <w:widowControl w:val="0"/>
        <w:kinsoku/>
        <w:wordWrap/>
        <w:overflowPunct/>
        <w:autoSpaceDE/>
        <w:autoSpaceDN/>
        <w:bidi w:val="0"/>
        <w:adjustRightInd/>
        <w:snapToGrid/>
        <w:spacing w:line="600" w:lineRule="exact"/>
        <w:jc w:val="center"/>
        <w:textAlignment w:val="auto"/>
        <w:rPr>
          <w:rFonts w:hint="eastAsia" w:ascii="方正小标宋_GBK" w:eastAsia="方正小标宋_GBK"/>
          <w:sz w:val="32"/>
          <w:szCs w:val="32"/>
        </w:rPr>
      </w:pPr>
    </w:p>
    <w:p>
      <w:pPr>
        <w:keepNext w:val="0"/>
        <w:keepLines w:val="0"/>
        <w:pageBreakBefore w:val="0"/>
        <w:widowControl w:val="0"/>
        <w:kinsoku/>
        <w:wordWrap/>
        <w:overflowPunct/>
        <w:autoSpaceDE/>
        <w:autoSpaceDN/>
        <w:bidi w:val="0"/>
        <w:adjustRightInd/>
        <w:snapToGrid/>
        <w:spacing w:line="60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绩效评价报告正文后附以下佐证材料</w:t>
      </w:r>
    </w:p>
    <w:p>
      <w:pPr>
        <w:keepNext w:val="0"/>
        <w:keepLines w:val="0"/>
        <w:pageBreakBefore w:val="0"/>
        <w:widowControl w:val="0"/>
        <w:kinsoku/>
        <w:wordWrap/>
        <w:overflowPunct/>
        <w:autoSpaceDE/>
        <w:autoSpaceDN/>
        <w:bidi w:val="0"/>
        <w:adjustRightInd/>
        <w:snapToGrid/>
        <w:spacing w:line="600" w:lineRule="exact"/>
        <w:jc w:val="center"/>
        <w:textAlignment w:val="auto"/>
        <w:rPr>
          <w:rFonts w:hint="eastAsia" w:ascii="方正小标宋_GBK" w:eastAsia="方正小标宋_GBK"/>
          <w:sz w:val="32"/>
          <w:szCs w:val="32"/>
        </w:rPr>
      </w:pPr>
    </w:p>
    <w:p>
      <w:pPr>
        <w:keepNext w:val="0"/>
        <w:keepLines w:val="0"/>
        <w:pageBreakBefore w:val="0"/>
        <w:widowControl w:val="0"/>
        <w:kinsoku/>
        <w:wordWrap/>
        <w:overflowPunct/>
        <w:autoSpaceDE/>
        <w:autoSpaceDN/>
        <w:bidi w:val="0"/>
        <w:adjustRightInd/>
        <w:snapToGrid/>
        <w:spacing w:line="600" w:lineRule="exact"/>
        <w:textAlignment w:val="auto"/>
        <w:rPr>
          <w:rFonts w:hint="eastAsia" w:ascii="仿宋_GB2312" w:hAnsi="仿宋" w:eastAsia="仿宋_GB2312"/>
          <w:sz w:val="32"/>
          <w:szCs w:val="32"/>
        </w:rPr>
      </w:pPr>
      <w:r>
        <w:rPr>
          <w:rFonts w:hint="eastAsia" w:ascii="仿宋_GB2312" w:hAnsi="仿宋" w:eastAsia="仿宋_GB2312"/>
          <w:sz w:val="32"/>
          <w:szCs w:val="32"/>
          <w:lang w:val="en-US" w:eastAsia="zh-CN"/>
        </w:rPr>
        <w:t>1</w:t>
      </w:r>
      <w:r>
        <w:rPr>
          <w:rFonts w:hint="eastAsia" w:ascii="仿宋_GB2312" w:hAnsi="仿宋" w:eastAsia="仿宋_GB2312"/>
          <w:sz w:val="32"/>
          <w:szCs w:val="32"/>
        </w:rPr>
        <w:t>.</w:t>
      </w:r>
      <w:r>
        <w:rPr>
          <w:rFonts w:hint="eastAsia"/>
          <w:sz w:val="32"/>
          <w:szCs w:val="32"/>
        </w:rPr>
        <w:t xml:space="preserve"> </w:t>
      </w:r>
      <w:r>
        <w:rPr>
          <w:rFonts w:hint="eastAsia" w:ascii="仿宋_GB2312" w:hAnsi="仿宋" w:eastAsia="仿宋_GB2312"/>
          <w:sz w:val="32"/>
          <w:szCs w:val="32"/>
        </w:rPr>
        <w:t>昆明市财政局关于开展2021年度行政事业单位内部控制报告编报工作的通知；</w:t>
      </w:r>
    </w:p>
    <w:p>
      <w:pPr>
        <w:keepNext w:val="0"/>
        <w:keepLines w:val="0"/>
        <w:pageBreakBefore w:val="0"/>
        <w:widowControl w:val="0"/>
        <w:kinsoku/>
        <w:wordWrap/>
        <w:overflowPunct/>
        <w:autoSpaceDE/>
        <w:autoSpaceDN/>
        <w:bidi w:val="0"/>
        <w:adjustRightInd/>
        <w:snapToGrid/>
        <w:spacing w:line="600" w:lineRule="exact"/>
        <w:textAlignment w:val="auto"/>
        <w:rPr>
          <w:rFonts w:hint="eastAsia" w:ascii="仿宋_GB2312" w:hAnsi="仿宋" w:eastAsia="仿宋_GB2312"/>
          <w:sz w:val="32"/>
          <w:szCs w:val="32"/>
          <w:lang w:eastAsia="zh-CN"/>
        </w:rPr>
      </w:pPr>
      <w:r>
        <w:rPr>
          <w:rFonts w:hint="eastAsia" w:ascii="仿宋_GB2312" w:hAnsi="仿宋" w:eastAsia="仿宋_GB2312"/>
          <w:sz w:val="32"/>
          <w:szCs w:val="32"/>
          <w:lang w:val="en-US" w:eastAsia="zh-CN"/>
        </w:rPr>
        <w:t>2</w:t>
      </w:r>
      <w:r>
        <w:rPr>
          <w:rFonts w:hint="eastAsia" w:ascii="仿宋_GB2312" w:hAnsi="仿宋" w:eastAsia="仿宋_GB2312"/>
          <w:sz w:val="32"/>
          <w:szCs w:val="32"/>
        </w:rPr>
        <w:t>.昆明市盘龙区财政局2021年度行政事业单位内部控制报告编报情况审查工作方案</w:t>
      </w:r>
      <w:r>
        <w:rPr>
          <w:rFonts w:hint="eastAsia" w:ascii="仿宋_GB2312" w:hAnsi="仿宋" w:eastAsia="仿宋_GB2312"/>
          <w:sz w:val="32"/>
          <w:szCs w:val="32"/>
          <w:lang w:eastAsia="zh-CN"/>
        </w:rPr>
        <w:t>；</w:t>
      </w:r>
    </w:p>
    <w:p>
      <w:pPr>
        <w:keepNext w:val="0"/>
        <w:keepLines w:val="0"/>
        <w:pageBreakBefore w:val="0"/>
        <w:widowControl w:val="0"/>
        <w:kinsoku/>
        <w:wordWrap/>
        <w:overflowPunct/>
        <w:autoSpaceDE/>
        <w:autoSpaceDN/>
        <w:bidi w:val="0"/>
        <w:adjustRightInd/>
        <w:snapToGrid/>
        <w:spacing w:line="600" w:lineRule="exact"/>
        <w:textAlignment w:val="auto"/>
        <w:rPr>
          <w:rFonts w:hint="eastAsia" w:ascii="仿宋_GB2312" w:hAnsi="仿宋" w:eastAsia="仿宋_GB2312"/>
          <w:sz w:val="32"/>
          <w:szCs w:val="32"/>
        </w:rPr>
      </w:pPr>
      <w:r>
        <w:rPr>
          <w:rFonts w:hint="eastAsia" w:ascii="仿宋_GB2312" w:hAnsi="仿宋" w:eastAsia="仿宋_GB2312"/>
          <w:sz w:val="32"/>
          <w:szCs w:val="32"/>
          <w:lang w:val="en-US" w:eastAsia="zh-CN"/>
        </w:rPr>
        <w:t>3</w:t>
      </w:r>
      <w:r>
        <w:rPr>
          <w:rFonts w:hint="eastAsia" w:ascii="仿宋_GB2312" w:hAnsi="仿宋" w:eastAsia="仿宋_GB2312"/>
          <w:sz w:val="32"/>
          <w:szCs w:val="32"/>
        </w:rPr>
        <w:t>.</w:t>
      </w:r>
      <w:r>
        <w:rPr>
          <w:rFonts w:hint="eastAsia"/>
          <w:sz w:val="32"/>
          <w:szCs w:val="32"/>
        </w:rPr>
        <w:t xml:space="preserve"> </w:t>
      </w:r>
      <w:r>
        <w:rPr>
          <w:rFonts w:hint="eastAsia" w:ascii="仿宋_GB2312" w:hAnsi="仿宋" w:eastAsia="仿宋_GB2312"/>
          <w:sz w:val="32"/>
          <w:szCs w:val="32"/>
        </w:rPr>
        <w:t>昆明市盘龙区财政局关于开展2021年度行政事业单位内部控制报告编报工作的通知；</w:t>
      </w:r>
    </w:p>
    <w:p>
      <w:pPr>
        <w:keepNext w:val="0"/>
        <w:keepLines w:val="0"/>
        <w:pageBreakBefore w:val="0"/>
        <w:widowControl w:val="0"/>
        <w:kinsoku/>
        <w:wordWrap/>
        <w:overflowPunct/>
        <w:autoSpaceDE/>
        <w:autoSpaceDN/>
        <w:bidi w:val="0"/>
        <w:adjustRightInd/>
        <w:snapToGrid/>
        <w:spacing w:line="600" w:lineRule="exact"/>
        <w:textAlignment w:val="auto"/>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4. 2021年度盘龙区（部门）行政事业单位内部控制报告；</w:t>
      </w:r>
    </w:p>
    <w:p>
      <w:pPr>
        <w:keepNext w:val="0"/>
        <w:keepLines w:val="0"/>
        <w:pageBreakBefore w:val="0"/>
        <w:widowControl w:val="0"/>
        <w:kinsoku/>
        <w:wordWrap/>
        <w:overflowPunct/>
        <w:autoSpaceDE/>
        <w:autoSpaceDN/>
        <w:bidi w:val="0"/>
        <w:adjustRightInd/>
        <w:snapToGrid/>
        <w:spacing w:line="600" w:lineRule="exact"/>
        <w:textAlignment w:val="auto"/>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5. 昆明市财政局关于昆明市盘龙区财政局2021年度内部控制报告检查结果的通知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方正小标宋_GBK">
    <w:altName w:val="微软雅黑"/>
    <w:panose1 w:val="00000000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PMingLiU">
    <w:panose1 w:val="02020500000000000000"/>
    <w:charset w:val="88"/>
    <w:family w:val="roman"/>
    <w:pitch w:val="default"/>
    <w:sig w:usb0="A00002FF" w:usb1="28CFFCFA" w:usb2="00000016" w:usb3="00000000" w:csb0="00100001"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0D53E26"/>
    <w:multiLevelType w:val="singleLevel"/>
    <w:tmpl w:val="B0D53E26"/>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98E3E61"/>
    <w:rsid w:val="1F57791A"/>
    <w:rsid w:val="2C5567DF"/>
    <w:rsid w:val="42E04252"/>
    <w:rsid w:val="497664E1"/>
    <w:rsid w:val="4FAE2458"/>
    <w:rsid w:val="59C829A3"/>
    <w:rsid w:val="5C7774C2"/>
    <w:rsid w:val="6D3B46BC"/>
    <w:rsid w:val="7B447EA8"/>
    <w:rsid w:val="7C190E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4">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customStyle="1" w:styleId="5">
    <w:name w:val="正文 A"/>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6">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2023-03-27T02:44:00Z</dcterms:created>
  <dc:creator>Administrator</dc:creator>
  <cp:lastModifiedBy>闭思维</cp:lastModifiedBy>
  <dcterms:modified xsi:type="dcterms:W3CDTF">2023-05-05T06:54:44Z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