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autoSpaceDE/>
        <w:autoSpaceDN/>
        <w:bidi w:val="0"/>
        <w:spacing w:line="560" w:lineRule="exact"/>
        <w:jc w:val="center"/>
        <w:textAlignment w:val="auto"/>
        <w:rPr>
          <w:rFonts w:hint="eastAsia" w:ascii="黑体" w:hAnsi="黑体" w:eastAsia="黑体" w:cs="黑体"/>
          <w:bCs/>
          <w:sz w:val="52"/>
          <w:szCs w:val="52"/>
        </w:rPr>
      </w:pPr>
    </w:p>
    <w:p>
      <w:pPr>
        <w:pageBreakBefore w:val="0"/>
        <w:kinsoku/>
        <w:overflowPunct/>
        <w:autoSpaceDE/>
        <w:autoSpaceDN/>
        <w:bidi w:val="0"/>
        <w:spacing w:line="560" w:lineRule="exact"/>
        <w:jc w:val="center"/>
        <w:textAlignment w:val="auto"/>
        <w:rPr>
          <w:rFonts w:hint="eastAsia" w:ascii="黑体" w:hAnsi="黑体" w:eastAsia="黑体" w:cs="黑体"/>
          <w:bCs/>
          <w:sz w:val="52"/>
          <w:szCs w:val="52"/>
        </w:rPr>
      </w:pPr>
    </w:p>
    <w:p>
      <w:pPr>
        <w:pageBreakBefore w:val="0"/>
        <w:kinsoku/>
        <w:overflowPunct/>
        <w:autoSpaceDE/>
        <w:autoSpaceDN/>
        <w:bidi w:val="0"/>
        <w:spacing w:line="560" w:lineRule="exact"/>
        <w:jc w:val="center"/>
        <w:textAlignment w:val="auto"/>
        <w:rPr>
          <w:rFonts w:ascii="黑体" w:hAnsi="黑体" w:eastAsia="黑体" w:cs="黑体"/>
          <w:bCs/>
          <w:sz w:val="52"/>
          <w:szCs w:val="52"/>
        </w:rPr>
      </w:pPr>
      <w:r>
        <w:rPr>
          <w:rFonts w:hint="eastAsia" w:ascii="黑体" w:hAnsi="黑体" w:eastAsia="黑体" w:cs="黑体"/>
          <w:bCs/>
          <w:sz w:val="52"/>
          <w:szCs w:val="52"/>
        </w:rPr>
        <w:t>财政投资评审专项经费项目支出绩效自评报告</w:t>
      </w:r>
    </w:p>
    <w:p>
      <w:pPr>
        <w:pageBreakBefore w:val="0"/>
        <w:kinsoku/>
        <w:overflowPunct/>
        <w:autoSpaceDE/>
        <w:autoSpaceDN/>
        <w:bidi w:val="0"/>
        <w:spacing w:line="560" w:lineRule="exact"/>
        <w:jc w:val="center"/>
        <w:textAlignment w:val="auto"/>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pageBreakBefore w:val="0"/>
        <w:kinsoku/>
        <w:overflowPunct/>
        <w:autoSpaceDE/>
        <w:autoSpaceDN/>
        <w:bidi w:val="0"/>
        <w:spacing w:before="120" w:after="120" w:line="560" w:lineRule="exact"/>
        <w:jc w:val="center"/>
        <w:textAlignment w:val="auto"/>
        <w:rPr>
          <w:rFonts w:ascii="Times New Roman" w:hAnsi="Times New Roman" w:eastAsia="黑体"/>
          <w:b/>
          <w:bCs/>
          <w:sz w:val="52"/>
          <w:szCs w:val="52"/>
        </w:rPr>
      </w:pPr>
    </w:p>
    <w:p>
      <w:pPr>
        <w:pageBreakBefore w:val="0"/>
        <w:kinsoku/>
        <w:overflowPunct/>
        <w:autoSpaceDE/>
        <w:autoSpaceDN/>
        <w:bidi w:val="0"/>
        <w:spacing w:before="120" w:after="120" w:line="560" w:lineRule="exact"/>
        <w:jc w:val="center"/>
        <w:textAlignment w:val="auto"/>
        <w:rPr>
          <w:rFonts w:ascii="Times New Roman" w:hAnsi="Times New Roman"/>
          <w:b/>
          <w:bCs/>
          <w:sz w:val="44"/>
          <w:szCs w:val="44"/>
        </w:rPr>
      </w:pPr>
    </w:p>
    <w:p>
      <w:pPr>
        <w:pageBreakBefore w:val="0"/>
        <w:kinsoku/>
        <w:overflowPunct/>
        <w:autoSpaceDE/>
        <w:autoSpaceDN/>
        <w:bidi w:val="0"/>
        <w:spacing w:before="120" w:after="120" w:line="560" w:lineRule="exact"/>
        <w:jc w:val="center"/>
        <w:textAlignment w:val="auto"/>
        <w:rPr>
          <w:rFonts w:ascii="Times New Roman" w:hAnsi="Times New Roman"/>
          <w:b/>
          <w:bCs/>
          <w:sz w:val="44"/>
          <w:szCs w:val="44"/>
        </w:rPr>
      </w:pPr>
    </w:p>
    <w:p>
      <w:pPr>
        <w:pageBreakBefore w:val="0"/>
        <w:kinsoku/>
        <w:overflowPunct/>
        <w:autoSpaceDE/>
        <w:autoSpaceDN/>
        <w:bidi w:val="0"/>
        <w:spacing w:before="120" w:after="120" w:line="560" w:lineRule="exact"/>
        <w:jc w:val="center"/>
        <w:textAlignment w:val="auto"/>
        <w:rPr>
          <w:rFonts w:ascii="Times New Roman" w:hAnsi="Times New Roman" w:eastAsia="黑体"/>
          <w:b/>
          <w:bCs/>
          <w:sz w:val="44"/>
          <w:szCs w:val="44"/>
        </w:rPr>
      </w:pPr>
    </w:p>
    <w:p>
      <w:pPr>
        <w:adjustRightInd w:val="0"/>
        <w:snapToGrid w:val="0"/>
        <w:spacing w:line="360" w:lineRule="auto"/>
        <w:ind w:left="1260" w:leftChars="600"/>
        <w:rPr>
          <w:rFonts w:hint="default" w:ascii="Times New Roman" w:hAnsi="Times New Roman" w:eastAsia="黑体" w:cs="黑体"/>
          <w:b/>
          <w:bCs/>
          <w:sz w:val="28"/>
          <w:szCs w:val="28"/>
          <w:highlight w:val="none"/>
          <w:lang w:val="en-US"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部门名称（公章）：</w:t>
      </w:r>
      <w:r>
        <w:rPr>
          <w:rFonts w:hint="eastAsia" w:ascii="Times New Roman" w:hAnsi="Times New Roman" w:eastAsia="黑体" w:cs="黑体"/>
          <w:b/>
          <w:bCs/>
          <w:sz w:val="28"/>
          <w:szCs w:val="28"/>
          <w:highlight w:val="none"/>
          <w:lang w:eastAsia="zh-CN"/>
        </w:rPr>
        <w:t>昆明市盘龙区财政投资评审</w:t>
      </w:r>
      <w:r>
        <w:rPr>
          <w:rFonts w:hint="eastAsia" w:ascii="Times New Roman" w:hAnsi="Times New Roman" w:eastAsia="黑体" w:cs="黑体"/>
          <w:b/>
          <w:bCs/>
          <w:sz w:val="28"/>
          <w:szCs w:val="28"/>
          <w:highlight w:val="none"/>
          <w:lang w:val="en-US" w:eastAsia="zh-CN"/>
        </w:rPr>
        <w:t>中心</w:t>
      </w:r>
    </w:p>
    <w:p>
      <w:pPr>
        <w:adjustRightInd w:val="0"/>
        <w:snapToGrid w:val="0"/>
        <w:spacing w:line="360" w:lineRule="auto"/>
        <w:ind w:left="1260" w:leftChars="600"/>
        <w:rPr>
          <w:rFonts w:ascii="Times New Roman" w:hAnsi="Times New Roman" w:eastAsia="黑体" w:cs="黑体"/>
          <w:b/>
          <w:bCs/>
          <w:sz w:val="28"/>
          <w:szCs w:val="28"/>
          <w:highlight w:val="none"/>
        </w:rPr>
      </w:pPr>
      <w:r>
        <w:rPr>
          <w:rFonts w:ascii="Times New Roman" w:hAnsi="Times New Roman" w:eastAsia="黑体" w:cs="黑体"/>
          <w:b/>
          <w:bCs/>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8" name="直接箭头连接符 8"/>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DxhF2DXAAAACQEA&#10;AA8AAAAAAAAAAQAgAAAAIgAAAGRycy9kb3ducmV2LnhtbFBLAQIUABQAAAAIAIdO4kCREw27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项目单位：昆明市盘龙区财政局</w:t>
      </w:r>
      <w:r>
        <w:rPr>
          <w:rFonts w:ascii="Times New Roman" w:hAnsi="Times New Roman" w:eastAsia="黑体" w:cs="黑体"/>
          <w:b/>
          <w:bCs/>
          <w:sz w:val="28"/>
          <w:szCs w:val="28"/>
          <w:highlight w:val="none"/>
        </w:rPr>
        <w:t xml:space="preserve"> </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eastAsia="黑体" w:cs="黑体"/>
          <w:b/>
          <w:bCs/>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6" name="直接箭头连接符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7cIbU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主管部门：</w:t>
      </w:r>
      <w:r>
        <w:rPr>
          <w:rFonts w:ascii="Times New Roman" w:hAnsi="Times New Roman" w:eastAsia="黑体"/>
          <w:b/>
          <w:bCs/>
          <w:sz w:val="28"/>
          <w:szCs w:val="28"/>
          <w:highlight w:val="none"/>
        </w:rPr>
        <w:t xml:space="preserve"> </w:t>
      </w:r>
    </w:p>
    <w:p>
      <w:pPr>
        <w:adjustRightInd w:val="0"/>
        <w:snapToGrid w:val="0"/>
        <w:spacing w:line="360" w:lineRule="auto"/>
        <w:ind w:left="1260" w:leftChars="600"/>
        <w:rPr>
          <w:rFonts w:hint="eastAsia" w:ascii="Times New Roman" w:hAnsi="Times New Roman" w:eastAsia="黑体"/>
          <w:b/>
          <w:bCs/>
          <w:sz w:val="28"/>
          <w:szCs w:val="28"/>
          <w:highlight w:val="none"/>
          <w:lang w:val="en-US" w:eastAsia="zh-CN"/>
        </w:rPr>
      </w:pPr>
      <w:r>
        <w:rPr>
          <w:rFonts w:ascii="Times New Roman" w:hAnsi="Times New Roman" w:eastAsia="黑体" w:cs="黑体"/>
          <w:b/>
          <w:bCs/>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7" name="直接箭头连接符 7"/>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J1bjJ4wEAAJ4DAAAOAAAAZHJzL2Uyb0RvYy54bWytU0uO&#10;EzEQ3SNxB8t70klEG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idW4ye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项目名称：财政投资评审专项经费</w:t>
      </w:r>
      <w:r>
        <w:rPr>
          <w:rFonts w:hint="eastAsia" w:ascii="Times New Roman" w:hAnsi="Times New Roman" w:eastAsia="黑体" w:cs="黑体"/>
          <w:b/>
          <w:bCs/>
          <w:sz w:val="28"/>
          <w:szCs w:val="28"/>
          <w:highlight w:val="none"/>
          <w:lang w:val="en-US" w:eastAsia="zh-CN"/>
        </w:rPr>
        <w:t>项目</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eastAsia="黑体" w:cs="黑体"/>
          <w:b/>
          <w:bCs/>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highlight w:val="none"/>
        </w:rPr>
        <w:t>绩效自评日期：</w:t>
      </w:r>
      <w:r>
        <w:rPr>
          <w:rFonts w:ascii="Times New Roman" w:hAnsi="Times New Roman" w:eastAsia="黑体"/>
          <w:b/>
          <w:bCs/>
          <w:sz w:val="28"/>
          <w:szCs w:val="28"/>
          <w:highlight w:val="none"/>
        </w:rPr>
        <w:t xml:space="preserve"> </w:t>
      </w:r>
      <w:r>
        <w:rPr>
          <w:rFonts w:hint="eastAsia" w:ascii="Times New Roman" w:hAnsi="Times New Roman" w:eastAsia="黑体"/>
          <w:b/>
          <w:bCs/>
          <w:sz w:val="28"/>
          <w:szCs w:val="28"/>
          <w:highlight w:val="none"/>
        </w:rPr>
        <w:t>202</w:t>
      </w:r>
      <w:r>
        <w:rPr>
          <w:rFonts w:hint="eastAsia" w:ascii="Times New Roman" w:hAnsi="Times New Roman" w:eastAsia="黑体"/>
          <w:b/>
          <w:bCs/>
          <w:sz w:val="28"/>
          <w:szCs w:val="28"/>
          <w:highlight w:val="none"/>
          <w:lang w:val="en-US" w:eastAsia="zh-CN"/>
        </w:rPr>
        <w:t>3</w:t>
      </w:r>
      <w:r>
        <w:rPr>
          <w:rFonts w:hint="eastAsia" w:ascii="Times New Roman" w:hAnsi="Times New Roman" w:eastAsia="黑体"/>
          <w:b/>
          <w:bCs/>
          <w:sz w:val="28"/>
          <w:szCs w:val="28"/>
          <w:highlight w:val="none"/>
        </w:rPr>
        <w:t>年</w:t>
      </w:r>
      <w:r>
        <w:rPr>
          <w:rFonts w:hint="eastAsia" w:ascii="Times New Roman" w:hAnsi="Times New Roman" w:eastAsia="黑体"/>
          <w:b/>
          <w:bCs/>
          <w:sz w:val="28"/>
          <w:szCs w:val="28"/>
          <w:highlight w:val="none"/>
          <w:lang w:val="en-US" w:eastAsia="zh-CN"/>
        </w:rPr>
        <w:t>3</w:t>
      </w:r>
      <w:r>
        <w:rPr>
          <w:rFonts w:hint="eastAsia" w:ascii="Times New Roman" w:hAnsi="Times New Roman" w:eastAsia="黑体"/>
          <w:b/>
          <w:bCs/>
          <w:sz w:val="28"/>
          <w:szCs w:val="28"/>
          <w:highlight w:val="none"/>
        </w:rPr>
        <w:t>月</w:t>
      </w:r>
      <w:r>
        <w:rPr>
          <w:rFonts w:hint="eastAsia" w:ascii="Times New Roman" w:hAnsi="Times New Roman" w:eastAsia="黑体"/>
          <w:b/>
          <w:bCs/>
          <w:sz w:val="28"/>
          <w:szCs w:val="28"/>
          <w:highlight w:val="none"/>
          <w:lang w:val="en-US" w:eastAsia="zh-CN"/>
        </w:rPr>
        <w:t>27</w:t>
      </w:r>
      <w:r>
        <w:rPr>
          <w:rFonts w:hint="eastAsia" w:ascii="Times New Roman" w:hAnsi="Times New Roman" w:eastAsia="黑体"/>
          <w:b/>
          <w:bCs/>
          <w:sz w:val="28"/>
          <w:szCs w:val="28"/>
          <w:highlight w:val="none"/>
        </w:rPr>
        <w:t>日</w:t>
      </w:r>
    </w:p>
    <w:p>
      <w:pPr>
        <w:pageBreakBefore w:val="0"/>
        <w:kinsoku/>
        <w:overflowPunct/>
        <w:autoSpaceDE/>
        <w:autoSpaceDN/>
        <w:bidi w:val="0"/>
        <w:spacing w:line="560" w:lineRule="exact"/>
        <w:ind w:left="1218" w:leftChars="580"/>
        <w:textAlignment w:val="auto"/>
        <w:rPr>
          <w:rFonts w:ascii="Times New Roman" w:hAnsi="Times New Roman" w:eastAsia="黑体"/>
          <w:b/>
          <w:bCs/>
          <w:sz w:val="28"/>
          <w:szCs w:val="28"/>
          <w:u w:val="none"/>
        </w:rPr>
      </w:pPr>
    </w:p>
    <w:p>
      <w:pPr>
        <w:pageBreakBefore w:val="0"/>
        <w:kinsoku/>
        <w:overflowPunct/>
        <w:autoSpaceDE/>
        <w:autoSpaceDN/>
        <w:bidi w:val="0"/>
        <w:spacing w:line="560" w:lineRule="exact"/>
        <w:jc w:val="center"/>
        <w:textAlignment w:val="auto"/>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3</w:t>
      </w:r>
      <w:r>
        <w:rPr>
          <w:rFonts w:hint="eastAsia" w:ascii="Times New Roman" w:hAnsi="Times New Roman" w:eastAsia="黑体" w:cs="黑体"/>
          <w:b/>
          <w:bCs/>
          <w:sz w:val="28"/>
          <w:szCs w:val="28"/>
        </w:rPr>
        <w:t>月</w:t>
      </w:r>
    </w:p>
    <w:p>
      <w:pPr>
        <w:pageBreakBefore w:val="0"/>
        <w:kinsoku/>
        <w:overflowPunct/>
        <w:autoSpaceDE/>
        <w:autoSpaceDN/>
        <w:bidi w:val="0"/>
        <w:spacing w:line="560" w:lineRule="exact"/>
        <w:jc w:val="center"/>
        <w:textAlignment w:val="auto"/>
        <w:rPr>
          <w:rFonts w:ascii="Times New Roman" w:hAnsi="Times New Roman" w:eastAsia="黑体" w:cs="黑体"/>
          <w:b/>
          <w:bCs/>
          <w:sz w:val="28"/>
          <w:szCs w:val="28"/>
        </w:rPr>
      </w:pPr>
    </w:p>
    <w:p>
      <w:pPr>
        <w:pageBreakBefore w:val="0"/>
        <w:kinsoku/>
        <w:overflowPunct/>
        <w:autoSpaceDE/>
        <w:autoSpaceDN/>
        <w:bidi w:val="0"/>
        <w:spacing w:line="560" w:lineRule="exact"/>
        <w:jc w:val="center"/>
        <w:textAlignment w:val="auto"/>
        <w:rPr>
          <w:rFonts w:ascii="Times New Roman" w:hAnsi="Times New Roman" w:eastAsia="黑体" w:cs="黑体"/>
          <w:b/>
          <w:bCs/>
          <w:sz w:val="28"/>
          <w:szCs w:val="28"/>
        </w:rPr>
      </w:pPr>
    </w:p>
    <w:p>
      <w:pPr>
        <w:pageBreakBefore w:val="0"/>
        <w:kinsoku/>
        <w:overflowPunct/>
        <w:autoSpaceDE/>
        <w:autoSpaceDN/>
        <w:bidi w:val="0"/>
        <w:spacing w:line="560" w:lineRule="exact"/>
        <w:jc w:val="center"/>
        <w:textAlignment w:val="auto"/>
        <w:rPr>
          <w:rFonts w:ascii="Times New Roman" w:hAnsi="Times New Roman" w:eastAsia="黑体" w:cs="黑体"/>
          <w:b/>
          <w:bCs/>
          <w:sz w:val="28"/>
          <w:szCs w:val="28"/>
        </w:rPr>
      </w:pPr>
    </w:p>
    <w:p>
      <w:pPr>
        <w:pageBreakBefore w:val="0"/>
        <w:kinsoku/>
        <w:overflowPunct/>
        <w:autoSpaceDE/>
        <w:autoSpaceDN/>
        <w:bidi w:val="0"/>
        <w:spacing w:line="560" w:lineRule="exact"/>
        <w:jc w:val="center"/>
        <w:textAlignment w:val="auto"/>
        <w:rPr>
          <w:rFonts w:ascii="Times New Roman" w:hAnsi="Times New Roman" w:eastAsia="黑体" w:cs="黑体"/>
          <w:b/>
          <w:bCs/>
          <w:sz w:val="28"/>
          <w:szCs w:val="28"/>
        </w:rPr>
      </w:pPr>
    </w:p>
    <w:p>
      <w:pPr>
        <w:pageBreakBefore w:val="0"/>
        <w:kinsoku/>
        <w:overflowPunct/>
        <w:autoSpaceDE/>
        <w:autoSpaceDN/>
        <w:bidi w:val="0"/>
        <w:spacing w:line="560" w:lineRule="exact"/>
        <w:jc w:val="center"/>
        <w:textAlignment w:val="auto"/>
        <w:rPr>
          <w:rFonts w:ascii="Times New Roman" w:hAnsi="Times New Roman" w:eastAsia="仿宋_GB2312"/>
          <w:b/>
          <w:bCs/>
          <w:sz w:val="28"/>
          <w:szCs w:val="28"/>
        </w:rPr>
      </w:pPr>
    </w:p>
    <w:p>
      <w:pPr>
        <w:pageBreakBefore w:val="0"/>
        <w:widowControl/>
        <w:kinsoku/>
        <w:overflowPunct/>
        <w:autoSpaceDE/>
        <w:autoSpaceDN/>
        <w:bidi w:val="0"/>
        <w:spacing w:line="560" w:lineRule="exact"/>
        <w:jc w:val="left"/>
        <w:textAlignment w:val="auto"/>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pStyle w:val="5"/>
        <w:pageBreakBefore w:val="0"/>
        <w:widowControl w:val="0"/>
        <w:kinsoku/>
        <w:overflowPunct/>
        <w:autoSpaceDE/>
        <w:autoSpaceDN/>
        <w:bidi w:val="0"/>
        <w:spacing w:after="0" w:line="560" w:lineRule="exact"/>
        <w:ind w:left="420" w:leftChars="200"/>
        <w:jc w:val="both"/>
        <w:textAlignment w:val="auto"/>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3"/>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1621"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hint="eastAsia" w:ascii="Times New Roman" w:hAnsi="Times New Roman" w:eastAsia="黑体" w:cs="黑体"/>
                <w:kern w:val="2"/>
                <w:sz w:val="24"/>
                <w:szCs w:val="24"/>
                <w:lang w:val="zh-TW" w:eastAsia="zh-CN"/>
              </w:rPr>
            </w:pPr>
          </w:p>
          <w:p>
            <w:pPr>
              <w:pStyle w:val="5"/>
              <w:pageBreakBefore w:val="0"/>
              <w:widowControl w:val="0"/>
              <w:kinsoku/>
              <w:overflowPunct/>
              <w:autoSpaceDE/>
              <w:autoSpaceDN/>
              <w:bidi w:val="0"/>
              <w:spacing w:after="0" w:line="560" w:lineRule="exact"/>
              <w:jc w:val="both"/>
              <w:textAlignment w:val="auto"/>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吴磊</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财政投资评审中心副主任</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财政投资评审中心</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赵文丽</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财政投资评审中心副主任</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财政投资评审中心</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成员</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朱元华</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财政投资评审中心工作人员</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TW"/>
              </w:rPr>
              <w:t>财政投资评审中心</w:t>
            </w: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5"/>
              <w:pageBreakBefore w:val="0"/>
              <w:widowControl w:val="0"/>
              <w:kinsoku/>
              <w:overflowPunct/>
              <w:autoSpaceDE/>
              <w:autoSpaceDN/>
              <w:bidi w:val="0"/>
              <w:spacing w:after="0" w:line="560" w:lineRule="exact"/>
              <w:jc w:val="center"/>
              <w:textAlignment w:val="auto"/>
              <w:rPr>
                <w:rFonts w:ascii="Times New Roman" w:hAnsi="Times New Roman" w:eastAsia="黑体" w:cs="黑体"/>
                <w:kern w:val="2"/>
                <w:sz w:val="24"/>
                <w:szCs w:val="24"/>
                <w:lang w:val="zh-TW"/>
              </w:rPr>
            </w:pPr>
            <w:r>
              <w:rPr>
                <w:rFonts w:ascii="Times New Roman" w:hAnsi="Times New Roman" w:eastAsia="黑体" w:cs="黑体"/>
                <w:kern w:val="2"/>
                <w:sz w:val="24"/>
                <w:szCs w:val="24"/>
                <w:lang w:val="zh-TW"/>
              </w:rPr>
              <w:t>……</w:t>
            </w: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c>
          <w:tcPr>
            <w:tcW w:w="1620"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c>
          <w:tcPr>
            <w:tcW w:w="1621" w:type="dxa"/>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p>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p>
          <w:p>
            <w:pPr>
              <w:pStyle w:val="5"/>
              <w:pageBreakBefore w:val="0"/>
              <w:widowControl w:val="0"/>
              <w:kinsoku/>
              <w:wordWrap w:val="0"/>
              <w:overflowPunct/>
              <w:autoSpaceDE/>
              <w:autoSpaceDN/>
              <w:bidi w:val="0"/>
              <w:spacing w:after="0" w:line="560" w:lineRule="exact"/>
              <w:jc w:val="right"/>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p>
          <w:p>
            <w:pPr>
              <w:pStyle w:val="5"/>
              <w:pageBreakBefore w:val="0"/>
              <w:widowControl w:val="0"/>
              <w:kinsoku/>
              <w:overflowPunct/>
              <w:autoSpaceDE/>
              <w:autoSpaceDN/>
              <w:bidi w:val="0"/>
              <w:spacing w:after="0" w:line="560" w:lineRule="exact"/>
              <w:jc w:val="both"/>
              <w:textAlignment w:val="auto"/>
              <w:rPr>
                <w:rFonts w:ascii="Times New Roman" w:hAnsi="Times New Roman" w:eastAsia="黑体" w:cs="黑体"/>
                <w:kern w:val="2"/>
                <w:sz w:val="24"/>
                <w:szCs w:val="24"/>
                <w:lang w:val="zh-TW"/>
              </w:rPr>
            </w:pPr>
          </w:p>
          <w:p>
            <w:pPr>
              <w:pStyle w:val="5"/>
              <w:pageBreakBefore w:val="0"/>
              <w:widowControl w:val="0"/>
              <w:kinsoku/>
              <w:wordWrap w:val="0"/>
              <w:overflowPunct/>
              <w:autoSpaceDE/>
              <w:autoSpaceDN/>
              <w:bidi w:val="0"/>
              <w:spacing w:after="0" w:line="560" w:lineRule="exact"/>
              <w:jc w:val="right"/>
              <w:textAlignment w:val="auto"/>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5"/>
        <w:pageBreakBefore w:val="0"/>
        <w:widowControl w:val="0"/>
        <w:kinsoku/>
        <w:overflowPunct/>
        <w:autoSpaceDE/>
        <w:autoSpaceDN/>
        <w:bidi w:val="0"/>
        <w:spacing w:after="0" w:line="560" w:lineRule="exact"/>
        <w:ind w:firstLine="566" w:firstLineChars="236"/>
        <w:jc w:val="both"/>
        <w:textAlignment w:val="auto"/>
        <w:rPr>
          <w:rFonts w:ascii="Times New Roman" w:hAnsi="Times New Roman" w:eastAsia="PMingLiU" w:cs="Times New Roman"/>
          <w:kern w:val="2"/>
          <w:sz w:val="24"/>
          <w:szCs w:val="24"/>
          <w:lang w:val="zh-TW" w:eastAsia="zh-TW"/>
        </w:rPr>
      </w:pPr>
    </w:p>
    <w:p>
      <w:pPr>
        <w:pStyle w:val="5"/>
        <w:pageBreakBefore w:val="0"/>
        <w:widowControl w:val="0"/>
        <w:kinsoku/>
        <w:overflowPunct/>
        <w:autoSpaceDE/>
        <w:autoSpaceDN/>
        <w:bidi w:val="0"/>
        <w:spacing w:after="0" w:line="560" w:lineRule="exact"/>
        <w:jc w:val="both"/>
        <w:textAlignment w:val="auto"/>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6"/>
        <w:pageBreakBefore w:val="0"/>
        <w:kinsoku/>
        <w:overflowPunct/>
        <w:autoSpaceDE/>
        <w:autoSpaceDN/>
        <w:bidi w:val="0"/>
        <w:spacing w:line="560" w:lineRule="exact"/>
        <w:jc w:val="center"/>
        <w:textAlignment w:val="auto"/>
        <w:rPr>
          <w:rFonts w:ascii="Times New Roman" w:hAnsi="Times New Roman" w:cs="Times New Roman"/>
          <w:color w:val="auto"/>
        </w:rPr>
      </w:pPr>
      <w:r>
        <w:rPr>
          <w:rFonts w:hint="eastAsia" w:ascii="Times New Roman" w:hAnsi="Times New Roman" w:cs="宋体"/>
          <w:color w:val="auto"/>
          <w:lang w:val="zh-CN"/>
        </w:rPr>
        <w:t>目录</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（二）项目立项依据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（六）项目绩效目标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三、评价结论及绩效分析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四、项目主要经验及做法、存在的问题和建议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(三)建议和改进措施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附件一：绩效评价指标体系</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 xml:space="preserve">附件二：区政府办关于印发《昆明市盘龙区财政投资评审管理暂行办法》的通知（盘政办通（2018）26号） </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附件三：财政部办公厅关于印发《财政投资项目评审操作规程》试行的通知（财办建[2002]619号）</w:t>
      </w:r>
    </w:p>
    <w:p>
      <w:pPr>
        <w:pageBreakBefore w:val="0"/>
        <w:kinsoku/>
        <w:overflowPunct/>
        <w:autoSpaceDE/>
        <w:autoSpaceDN/>
        <w:bidi w:val="0"/>
        <w:spacing w:line="560" w:lineRule="exact"/>
        <w:ind w:firstLine="420" w:firstLineChars="200"/>
        <w:jc w:val="left"/>
        <w:textAlignment w:val="auto"/>
        <w:rPr>
          <w:rFonts w:ascii="黑体" w:hAnsi="黑体" w:eastAsia="黑体"/>
          <w:szCs w:val="32"/>
        </w:rPr>
      </w:pPr>
      <w:r>
        <w:rPr>
          <w:rFonts w:hint="eastAsia" w:ascii="黑体" w:hAnsi="黑体" w:eastAsia="黑体"/>
          <w:szCs w:val="32"/>
        </w:rPr>
        <w:t>附件四：财政部关于印发《财政投资评审质量控制办法（试行）》的通知（财建〔2005〕1065号）</w:t>
      </w: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r>
        <w:rPr>
          <w:rFonts w:hint="eastAsia" w:ascii="黑体" w:hAnsi="黑体" w:eastAsia="黑体"/>
          <w:szCs w:val="32"/>
        </w:rPr>
        <w:t>附件五：云南省物价局关于调整建设工程造价咨询服务收费标准的通知 （云价综合〔2012〕66号）</w:t>
      </w: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lang w:eastAsia="zh-CN"/>
        </w:rPr>
      </w:pPr>
      <w:r>
        <w:rPr>
          <w:rFonts w:hint="eastAsia" w:ascii="黑体" w:hAnsi="黑体" w:eastAsia="黑体"/>
          <w:szCs w:val="32"/>
          <w:lang w:eastAsia="zh-CN"/>
        </w:rPr>
        <w:t>附件六：</w:t>
      </w:r>
      <w:r>
        <w:rPr>
          <w:rFonts w:hint="eastAsia" w:ascii="黑体" w:hAnsi="黑体" w:eastAsia="黑体"/>
          <w:szCs w:val="32"/>
        </w:rPr>
        <w:t>财评中心2022年完成政府投资建设项目评审情况表</w:t>
      </w: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r>
        <w:rPr>
          <w:rFonts w:hint="eastAsia" w:ascii="黑体" w:hAnsi="黑体" w:eastAsia="黑体"/>
          <w:szCs w:val="32"/>
          <w:lang w:eastAsia="zh-CN"/>
        </w:rPr>
        <w:t>附件七：</w:t>
      </w:r>
      <w:r>
        <w:rPr>
          <w:rFonts w:hint="eastAsia" w:ascii="黑体" w:hAnsi="黑体" w:eastAsia="黑体"/>
          <w:szCs w:val="32"/>
        </w:rPr>
        <w:t>财评中心2022年工作总结2023年工作计划</w:t>
      </w:r>
      <w:r>
        <w:rPr>
          <w:rFonts w:hint="eastAsia" w:ascii="黑体" w:hAnsi="黑体" w:eastAsia="黑体"/>
          <w:szCs w:val="32"/>
        </w:rPr>
        <w:tab/>
      </w:r>
      <w:r>
        <w:rPr>
          <w:rFonts w:hint="eastAsia" w:ascii="黑体" w:hAnsi="黑体" w:eastAsia="黑体"/>
          <w:szCs w:val="32"/>
        </w:rPr>
        <w:t xml:space="preserve">  </w:t>
      </w: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ind w:firstLine="420" w:firstLineChars="200"/>
        <w:jc w:val="left"/>
        <w:textAlignment w:val="auto"/>
        <w:rPr>
          <w:rFonts w:hint="eastAsia" w:ascii="黑体" w:hAnsi="黑体" w:eastAsia="黑体"/>
          <w:szCs w:val="32"/>
        </w:rPr>
      </w:pPr>
    </w:p>
    <w:p>
      <w:pPr>
        <w:pageBreakBefore w:val="0"/>
        <w:kinsoku/>
        <w:overflowPunct/>
        <w:autoSpaceDE/>
        <w:autoSpaceDN/>
        <w:bidi w:val="0"/>
        <w:spacing w:line="560" w:lineRule="exact"/>
        <w:textAlignment w:val="auto"/>
        <w:rPr>
          <w:rFonts w:ascii="方正小标宋_GBK" w:hAnsi="黑体" w:eastAsia="方正小标宋_GBK"/>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财政投资评审专项经费项目支出</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6"/>
          <w:szCs w:val="36"/>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摘要</w:t>
      </w:r>
    </w:p>
    <w:p>
      <w:pPr>
        <w:keepNext w:val="0"/>
        <w:keepLines w:val="0"/>
        <w:pageBreakBefore w:val="0"/>
        <w:widowControl w:val="0"/>
        <w:kinsoku/>
        <w:wordWrap/>
        <w:overflowPunct/>
        <w:autoSpaceDE/>
        <w:autoSpaceDN/>
        <w:bidi w:val="0"/>
        <w:adjustRightInd/>
        <w:snapToGrid/>
        <w:spacing w:line="600" w:lineRule="exact"/>
        <w:ind w:firstLine="420" w:firstLineChars="200"/>
        <w:jc w:val="left"/>
        <w:textAlignment w:val="auto"/>
        <w:rPr>
          <w:rFonts w:ascii="黑体" w:hAnsi="黑体" w:eastAsia="黑体"/>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一、项目概况</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default" w:ascii="仿宋_GB2312" w:hAnsi="黑体" w:eastAsia="仿宋_GB2312"/>
          <w:sz w:val="32"/>
          <w:szCs w:val="32"/>
          <w:lang w:val="en-US" w:eastAsia="zh-CN"/>
        </w:rPr>
      </w:pPr>
      <w:r>
        <w:rPr>
          <w:rFonts w:hint="eastAsia" w:ascii="仿宋_GB2312" w:hAnsi="黑体" w:eastAsia="仿宋_GB2312"/>
          <w:sz w:val="32"/>
          <w:szCs w:val="32"/>
        </w:rPr>
        <w:t>根据盘政办通（2018）26号关于印发《昆明市盘龙区财政投资评审管理暂行办法》的通知、财政部办公厅关于印发〔2002〕619号《财政投资项目评审操作规程》试行、评审质量控制办法（财建 〔2005〕1065号）与财评中心职能职责，为确保评审质量，实行“委托中介初审+评审中心复审”的评审模式，招选专业机构协助开展财政投资评审及监督检查工作。根据《云南省财政投资评审委托业务管理暂行办法》、《云南省物价局关于调整建设工程造价咨询服务收费标准的通知 》（云价综合〔2012〕66号）签订评审业务委托协议并按付费条款支付评审费用。</w:t>
      </w:r>
      <w:r>
        <w:rPr>
          <w:rFonts w:hint="eastAsia" w:ascii="仿宋_GB2312" w:hAnsi="黑体" w:eastAsia="仿宋_GB2312"/>
          <w:sz w:val="32"/>
          <w:szCs w:val="32"/>
          <w:lang w:val="en-US" w:eastAsia="zh-CN"/>
        </w:rPr>
        <w:t>2022年财政投资评审专项经费项目年初预算70万元，预算调整数 65.99万元，支出65.99万元，结余0元。</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黑体" w:hAnsi="黑体" w:eastAsia="黑体"/>
          <w:sz w:val="32"/>
          <w:szCs w:val="32"/>
        </w:rPr>
      </w:pPr>
      <w:r>
        <w:rPr>
          <w:rFonts w:hint="eastAsia" w:ascii="黑体" w:hAnsi="黑体" w:eastAsia="黑体"/>
          <w:sz w:val="32"/>
          <w:szCs w:val="32"/>
        </w:rPr>
        <w:t>二、评价结论</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本次项目绩效目标自评得分97</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分,总体完成情况为优。</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ascii="黑体" w:hAnsi="黑体" w:eastAsia="黑体"/>
          <w:sz w:val="32"/>
          <w:szCs w:val="32"/>
        </w:rPr>
      </w:pPr>
      <w:r>
        <w:rPr>
          <w:rFonts w:hint="eastAsia" w:ascii="黑体" w:hAnsi="黑体" w:eastAsia="黑体"/>
          <w:sz w:val="32"/>
          <w:szCs w:val="32"/>
        </w:rPr>
        <w:t>三、经验、问题和建议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 w:hAnsi="楷体" w:eastAsia="楷体"/>
          <w:sz w:val="32"/>
          <w:szCs w:val="32"/>
        </w:rPr>
      </w:pPr>
      <w:r>
        <w:rPr>
          <w:rFonts w:hint="eastAsia" w:ascii="楷体" w:hAnsi="楷体" w:eastAsia="楷体"/>
          <w:sz w:val="32"/>
          <w:szCs w:val="32"/>
        </w:rPr>
        <w:t>1.主要经验及做法</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 w:hAnsi="楷体" w:eastAsia="楷体"/>
          <w:sz w:val="32"/>
          <w:szCs w:val="32"/>
        </w:rPr>
      </w:pPr>
      <w:r>
        <w:rPr>
          <w:rFonts w:hint="eastAsia" w:ascii="仿宋_GB2312" w:hAnsi="仿宋_GB2312" w:eastAsia="仿宋_GB2312" w:cs="仿宋_GB2312"/>
          <w:sz w:val="32"/>
          <w:szCs w:val="32"/>
        </w:rPr>
        <w:t>在评审过程中，严格按照区财政内控制度，在经费申请，实施方式、过程管理、资金支付严格执行内控制度；财评中心要严格执行廉政建设方面各项制度，查找内部工作管理的“薄弱点”，明确问题多发的“风，做到及时评审、保质保量完成评审任务。抓好权利运行的“关节点”，建立健全风险防控措施，对重点岗位、重点任务、重点领域加强廉政风险防控，确实保障财政资金安全、有效运行。</w:t>
      </w:r>
      <w:r>
        <w:rPr>
          <w:rFonts w:hint="eastAsia" w:ascii="楷体" w:hAnsi="楷体" w:eastAsia="楷体"/>
          <w:sz w:val="32"/>
          <w:szCs w:val="32"/>
        </w:rPr>
        <w:t xml:space="preserve"> </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 w:hAnsi="楷体" w:eastAsia="楷体"/>
          <w:sz w:val="32"/>
          <w:szCs w:val="32"/>
        </w:rPr>
      </w:pPr>
      <w:r>
        <w:rPr>
          <w:rFonts w:hint="eastAsia" w:ascii="楷体" w:hAnsi="楷体" w:eastAsia="楷体"/>
          <w:sz w:val="32"/>
          <w:szCs w:val="32"/>
        </w:rPr>
        <w:t>2.存在的问题</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过程中由于部分项目建设单位对项目各参与单位管理存在不足、建设单位履行自身职责存在缺位，导致评审项目提交评审资料不全，评审过程中需要补充完善评审资料较多，审减争议解释核对困难，以致部分项目出具评审报告时间较长。</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楷体" w:hAnsi="楷体" w:eastAsia="楷体"/>
          <w:sz w:val="32"/>
          <w:szCs w:val="32"/>
        </w:rPr>
      </w:pPr>
      <w:r>
        <w:rPr>
          <w:rFonts w:hint="eastAsia" w:ascii="楷体" w:hAnsi="楷体" w:eastAsia="楷体"/>
          <w:sz w:val="32"/>
          <w:szCs w:val="32"/>
        </w:rPr>
        <w:t>3.改进措施及建议</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建议各项目建设单位严格按照建设程序进行项目管理，杜绝项目全过程中违规行为的发生。谨慎优选设计、造价咨询、施工、监理等合作单位，加强对各单位的管理服务，签订合同时明确双方的责任和义务，对工程建设过程中由于合作单位失职，导致的项目投资增加追究相应法律责任。二是建议行业主管部门加大培训力度，提高建设单位工程业务管理水平。三是建议建设单位项目管理人员按照国家竣工决算资料管理相关要求，认真进行建设工程资料的收集、整理、归档和存放，确保竣工决算资料真实、准确、完整。</w:t>
      </w: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600" w:lineRule="exact"/>
        <w:jc w:val="lef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财政投资评审专项经费项目支出</w:t>
      </w:r>
    </w:p>
    <w:p>
      <w:pPr>
        <w:keepNext w:val="0"/>
        <w:keepLines w:val="0"/>
        <w:pageBreakBefore w:val="0"/>
        <w:widowControl w:val="0"/>
        <w:kinsoku/>
        <w:wordWrap/>
        <w:overflowPunct/>
        <w:autoSpaceDE/>
        <w:autoSpaceDN/>
        <w:bidi w:val="0"/>
        <w:adjustRightInd/>
        <w:snapToGrid/>
        <w:spacing w:line="600" w:lineRule="exact"/>
        <w:ind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widowControl w:val="0"/>
        <w:kinsoku/>
        <w:wordWrap/>
        <w:overflowPunct/>
        <w:topLinePunct/>
        <w:autoSpaceDE/>
        <w:autoSpaceDN/>
        <w:bidi w:val="0"/>
        <w:adjustRightInd/>
        <w:snapToGrid/>
        <w:spacing w:line="600" w:lineRule="exact"/>
        <w:ind w:firstLine="0" w:firstLineChars="0"/>
        <w:textAlignment w:val="auto"/>
        <w:rPr>
          <w:rFonts w:ascii="黑体" w:eastAsia="黑体"/>
          <w:sz w:val="32"/>
          <w:szCs w:val="32"/>
        </w:rPr>
      </w:pP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lang w:eastAsia="zh-CN"/>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1.立项背景及目的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根据盘政办通（2018）26号关于印发《昆明市盘龙区财政投资评审管理暂行办法》的通知、财政部办公厅关于印发〔2002〕619号《财政投资项目评审操作规程》试行、评审质量控制办法（财建 〔2005〕1065号）与财评中心职能职责，为确保评审质量，实行“委托中介初审+评审中心复审”的评审模式，招选专业机构协助开展财政投资评审及监督检查工作。根据《云南省财政投资评审委托业务管理暂行办法》、《云南省物价局关于调整建设工程造价咨询服务收费标准的通知 》（云价综合〔2012〕66号）签订评审业务委托协议并按付费条款支付评审费用。</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财评中心接受财政局相关资金科室委托，对政府投资建设项目进行评审，与招选的中介机构签订建设项目委托评审协议，对评审中介机构出具的评审报告依法进行审核，对评审报告及其审定金额予以认可，出具评审项目正式报告。</w:t>
      </w:r>
      <w:r>
        <w:rPr>
          <w:rFonts w:hint="eastAsia" w:ascii="仿宋_GB2312" w:hAnsi="楷体" w:eastAsia="仿宋_GB2312"/>
          <w:sz w:val="32"/>
          <w:szCs w:val="32"/>
          <w:lang w:eastAsia="zh-CN"/>
        </w:rPr>
        <w:t>截止</w:t>
      </w:r>
      <w:r>
        <w:rPr>
          <w:rFonts w:hint="eastAsia" w:ascii="仿宋_GB2312" w:hAnsi="楷体" w:eastAsia="仿宋_GB2312"/>
          <w:sz w:val="32"/>
          <w:szCs w:val="32"/>
          <w:lang w:val="en-US" w:eastAsia="zh-CN"/>
        </w:rPr>
        <w:t>2022年12月31日</w:t>
      </w:r>
      <w:r>
        <w:rPr>
          <w:rFonts w:hint="eastAsia" w:ascii="仿宋_GB2312" w:hAnsi="楷体" w:eastAsia="仿宋_GB2312"/>
          <w:sz w:val="32"/>
          <w:szCs w:val="32"/>
        </w:rPr>
        <w:t>完成政府投资建设项目评审57项，送审金额8,819.48万元，审定金额7,891.80万元，审减金额927.68万元，审减率10.52%，有效节约了政府投资建设项目资金。</w:t>
      </w:r>
      <w:r>
        <w:rPr>
          <w:rFonts w:hint="eastAsia" w:ascii="仿宋_GB2312" w:hAnsi="楷体" w:eastAsia="仿宋_GB2312"/>
          <w:sz w:val="32"/>
          <w:szCs w:val="32"/>
          <w:lang w:eastAsia="zh-CN"/>
        </w:rPr>
        <w:t>按照区委政府要求，</w:t>
      </w:r>
      <w:r>
        <w:rPr>
          <w:rFonts w:hint="eastAsia" w:ascii="仿宋_GB2312" w:hAnsi="楷体" w:eastAsia="仿宋_GB2312"/>
          <w:sz w:val="32"/>
          <w:szCs w:val="32"/>
        </w:rPr>
        <w:t>完成盘龙区以购代建资金使用效益评估1项；完成项目监管账户资金收付核查情况报告1项。</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3.资金来源及使用情况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2022年年初预算安排财政投资评审专项经费700,000.00元，年度预算调整为659,936.47元，支出评审费用659,936.47元，结余资金为0.00元。</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接受区财政局资金科室的委托，严格按照财政部关于财政投资评审质量控制办法的要求，依法开展评审工作。对评审工作实施中遇到的重大问题应及时向委托评审任务的资金科室报告；编制完整的评审工作底稿，并经相关专业评审人员签字确认；建立健全对评审报告的内部复核机制；在规定时间内向委托评审任务的资金科室出具评审报告；如不能在规定时间完成评审任务，及时向委托评审任务的资金科室报告，并说明原因；建立严格的项目档案管理制度，完整、准确、真实地反映和记录项目评审的情况，做好各类资料的存档和保管工作；按局</w:t>
      </w:r>
      <w:r>
        <w:rPr>
          <w:rFonts w:hint="eastAsia" w:ascii="仿宋_GB2312" w:hAnsi="楷体" w:eastAsia="仿宋_GB2312"/>
          <w:sz w:val="32"/>
          <w:szCs w:val="32"/>
          <w:lang w:eastAsia="zh-CN"/>
        </w:rPr>
        <w:t>资金支付</w:t>
      </w:r>
      <w:r>
        <w:rPr>
          <w:rFonts w:hint="eastAsia" w:ascii="仿宋_GB2312" w:hAnsi="楷体" w:eastAsia="仿宋_GB2312"/>
          <w:sz w:val="32"/>
          <w:szCs w:val="32"/>
        </w:rPr>
        <w:t>内部控制制度与中介机构做好项目评审费用结算。</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（二）绩效目标</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1.总目标</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lang w:eastAsia="zh-CN"/>
        </w:rPr>
      </w:pPr>
      <w:r>
        <w:rPr>
          <w:rFonts w:hint="eastAsia" w:ascii="仿宋_GB2312" w:hAnsi="楷体" w:eastAsia="仿宋_GB2312"/>
          <w:sz w:val="32"/>
          <w:szCs w:val="32"/>
        </w:rPr>
        <w:t>对建设项目开展预算评审、竣工决算评审，节约财政资金、提高财政资金使用效率</w:t>
      </w:r>
      <w:r>
        <w:rPr>
          <w:rFonts w:hint="eastAsia" w:ascii="仿宋_GB2312" w:hAnsi="楷体" w:eastAsia="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2.年度目标</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lang w:eastAsia="zh-CN"/>
        </w:rPr>
      </w:pPr>
      <w:r>
        <w:rPr>
          <w:rFonts w:hint="eastAsia" w:ascii="仿宋_GB2312" w:hAnsi="楷体" w:eastAsia="仿宋_GB2312"/>
          <w:sz w:val="32"/>
          <w:szCs w:val="32"/>
        </w:rPr>
        <w:t>对</w:t>
      </w:r>
      <w:r>
        <w:rPr>
          <w:rFonts w:hint="eastAsia" w:ascii="仿宋_GB2312" w:hAnsi="楷体" w:eastAsia="仿宋_GB2312"/>
          <w:sz w:val="32"/>
          <w:szCs w:val="32"/>
          <w:lang w:val="en-US" w:eastAsia="zh-CN"/>
        </w:rPr>
        <w:t>2022年及以前年度</w:t>
      </w:r>
      <w:r>
        <w:rPr>
          <w:rFonts w:hint="eastAsia" w:ascii="仿宋_GB2312" w:hAnsi="楷体" w:eastAsia="仿宋_GB2312"/>
          <w:sz w:val="32"/>
          <w:szCs w:val="32"/>
        </w:rPr>
        <w:t>区财政局资金科室委托的建设项目开展预算评审、竣工决算评审，节约财政资金、提高财政资金使用效率</w:t>
      </w:r>
      <w:r>
        <w:rPr>
          <w:rFonts w:hint="eastAsia" w:ascii="仿宋_GB2312" w:hAnsi="楷体" w:eastAsia="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1.前期调研</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lang w:eastAsia="zh-CN"/>
        </w:rPr>
        <w:t>项目绩效评价小组对项目绩效自评</w:t>
      </w:r>
      <w:r>
        <w:rPr>
          <w:rFonts w:hint="eastAsia" w:ascii="仿宋_GB2312" w:hAnsi="楷体" w:eastAsia="仿宋_GB2312"/>
          <w:sz w:val="32"/>
          <w:szCs w:val="32"/>
        </w:rPr>
        <w:t>进行前期调研，了解项目情况并收集准备资料。</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2.研究文件</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lang w:eastAsia="zh-CN"/>
        </w:rPr>
      </w:pPr>
      <w:r>
        <w:rPr>
          <w:rFonts w:hint="eastAsia" w:ascii="仿宋_GB2312" w:hAnsi="楷体" w:eastAsia="仿宋_GB2312"/>
          <w:sz w:val="32"/>
          <w:szCs w:val="32"/>
          <w:lang w:eastAsia="zh-CN"/>
        </w:rPr>
        <w:t>深入研究</w:t>
      </w:r>
      <w:r>
        <w:rPr>
          <w:rFonts w:hint="eastAsia" w:ascii="仿宋_GB2312" w:hAnsi="楷体" w:eastAsia="仿宋_GB2312"/>
          <w:sz w:val="32"/>
          <w:szCs w:val="32"/>
        </w:rPr>
        <w:t>盘政办通（2018）26号关于印发《昆明市盘龙区财政投资评审管理暂行办法》的通知、财政部办公厅关于印发〔2002〕619号《财政投资项目评审操作规程》试行、评审质量控制办法（财建 〔2005〕1065号）</w:t>
      </w:r>
      <w:r>
        <w:rPr>
          <w:rFonts w:hint="eastAsia" w:ascii="仿宋_GB2312" w:hAnsi="楷体" w:eastAsia="仿宋_GB2312"/>
          <w:sz w:val="32"/>
          <w:szCs w:val="32"/>
          <w:lang w:eastAsia="zh-CN"/>
        </w:rPr>
        <w:t>文件，结合</w:t>
      </w:r>
      <w:r>
        <w:rPr>
          <w:rFonts w:hint="eastAsia" w:ascii="仿宋_GB2312" w:hAnsi="楷体" w:eastAsia="仿宋_GB2312"/>
          <w:sz w:val="32"/>
          <w:szCs w:val="32"/>
        </w:rPr>
        <w:t>财评中心职能职责</w:t>
      </w:r>
      <w:r>
        <w:rPr>
          <w:rFonts w:hint="eastAsia" w:ascii="仿宋_GB2312" w:hAnsi="楷体" w:eastAsia="仿宋_GB2312"/>
          <w:sz w:val="32"/>
          <w:szCs w:val="32"/>
          <w:lang w:eastAsia="zh-CN"/>
        </w:rPr>
        <w:t>及工作实际展开分析评价。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根据《盘龙区区级部门预算绩效自评管理暂行办法》的要求，结合具体工作实际设计指标名称，首先明确绩效评价等级划分与指标，其次对相关指标进行解释并拟定评分标准和考评方式。</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1.绩效评价原则</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效评价结合项目推进情况，按照设定的绩效目标，运用合理的评价方法和对照标准，对项目涉及的各个方面进行客观、科学、公正、公平地评价。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2.绩效评价方法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楷体" w:eastAsia="仿宋_GB2312"/>
          <w:sz w:val="32"/>
          <w:szCs w:val="32"/>
        </w:rPr>
      </w:pPr>
      <w:r>
        <w:rPr>
          <w:rFonts w:hint="eastAsia" w:ascii="仿宋_GB2312" w:hAnsi="楷体" w:eastAsia="仿宋_GB2312"/>
          <w:sz w:val="32"/>
          <w:szCs w:val="32"/>
        </w:rPr>
        <w:t>采用直接比对的方法，将项目实际完成情况与绩效指标完成情况进行直接对比，在此基础上进行评价。</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仿宋_GB2312" w:hAnsi="楷体" w:eastAsia="仿宋_GB2312"/>
          <w:sz w:val="32"/>
          <w:szCs w:val="32"/>
        </w:rPr>
      </w:pPr>
      <w:r>
        <w:rPr>
          <w:rFonts w:hint="eastAsia" w:ascii="仿宋_GB2312" w:hAnsi="楷体" w:eastAsia="仿宋_GB2312"/>
          <w:sz w:val="32"/>
          <w:szCs w:val="32"/>
        </w:rPr>
        <w:t>此次绩效评价以项目绩效目标为导向，一是前期准备，明确项目内容、了解基本情况、设计指标体系；二是收集信息，按阶段落实工作进展情况；三是对照检查核实，提出意见建议。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本项目的一些评价指标有待进一步的探讨和完善。</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（一）评价结论</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1.评价结果</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本次项目绩效目标自评得分97</w:t>
      </w:r>
      <w:r>
        <w:rPr>
          <w:rFonts w:hint="eastAsia" w:ascii="仿宋_GB2312" w:hAnsi="仿宋" w:eastAsia="仿宋_GB2312"/>
          <w:sz w:val="32"/>
          <w:szCs w:val="32"/>
          <w:lang w:val="en-US" w:eastAsia="zh-CN"/>
        </w:rPr>
        <w:t>.2</w:t>
      </w:r>
      <w:r>
        <w:rPr>
          <w:rFonts w:hint="eastAsia" w:ascii="仿宋_GB2312" w:hAnsi="仿宋" w:eastAsia="仿宋_GB2312"/>
          <w:sz w:val="32"/>
          <w:szCs w:val="32"/>
        </w:rPr>
        <w:t>分,总体完成情况为优。</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2.主要绩效</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绩效指标主要从三大方面对本项目进行自评，分别是项目决策（20%）、项目管理（20%）、项目绩效（60%）。</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楷体" w:hAnsi="楷体" w:eastAsia="楷体"/>
          <w:sz w:val="32"/>
          <w:szCs w:val="32"/>
        </w:rPr>
        <w:t>（二）具体绩效分析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1.项目决策指标完成情况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项目决策指标满分20分，得20分。项目与部门中长期目标相匹配，与部门职责密切相关。</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2.项目管理指标完成情况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项目管理指标满分20分，得20分。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3.项目绩效指标完成情况</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（1）项目产出指标满分30分，得27</w:t>
      </w:r>
      <w:r>
        <w:rPr>
          <w:rFonts w:hint="eastAsia" w:ascii="仿宋" w:hAnsi="仿宋" w:eastAsia="仿宋"/>
          <w:sz w:val="32"/>
          <w:szCs w:val="32"/>
          <w:lang w:val="en-US" w:eastAsia="zh-CN"/>
        </w:rPr>
        <w:t>.2</w:t>
      </w:r>
      <w:r>
        <w:rPr>
          <w:rFonts w:hint="eastAsia" w:ascii="仿宋" w:hAnsi="仿宋" w:eastAsia="仿宋"/>
          <w:sz w:val="32"/>
          <w:szCs w:val="32"/>
        </w:rPr>
        <w:t>分。截止202</w:t>
      </w:r>
      <w:r>
        <w:rPr>
          <w:rFonts w:hint="eastAsia" w:ascii="仿宋" w:hAnsi="仿宋" w:eastAsia="仿宋"/>
          <w:sz w:val="32"/>
          <w:szCs w:val="32"/>
          <w:lang w:val="en-US" w:eastAsia="zh-CN"/>
        </w:rPr>
        <w:t>2</w:t>
      </w:r>
      <w:r>
        <w:rPr>
          <w:rFonts w:hint="eastAsia" w:ascii="仿宋" w:hAnsi="仿宋" w:eastAsia="仿宋"/>
          <w:sz w:val="32"/>
          <w:szCs w:val="32"/>
        </w:rPr>
        <w:t>年12月31日完成竣工决算评审报告</w:t>
      </w:r>
      <w:r>
        <w:rPr>
          <w:rFonts w:hint="eastAsia" w:ascii="仿宋" w:hAnsi="仿宋" w:eastAsia="仿宋"/>
          <w:sz w:val="32"/>
          <w:szCs w:val="32"/>
          <w:lang w:val="en-US" w:eastAsia="zh-CN"/>
        </w:rPr>
        <w:t>57</w:t>
      </w:r>
      <w:r>
        <w:rPr>
          <w:rFonts w:hint="eastAsia" w:ascii="仿宋" w:hAnsi="仿宋" w:eastAsia="仿宋"/>
          <w:sz w:val="32"/>
          <w:szCs w:val="32"/>
        </w:rPr>
        <w:t>个，因送审项目评审资料不齐全，评审过程中，项目单位补充资料耗时过长，无法按时完成评审工作，影响评审进度，</w:t>
      </w:r>
      <w:r>
        <w:rPr>
          <w:rFonts w:hint="eastAsia" w:ascii="仿宋" w:hAnsi="仿宋" w:eastAsia="仿宋"/>
          <w:sz w:val="32"/>
          <w:szCs w:val="32"/>
          <w:lang w:eastAsia="zh-CN"/>
        </w:rPr>
        <w:t>及时</w:t>
      </w:r>
      <w:r>
        <w:rPr>
          <w:rFonts w:hint="eastAsia" w:ascii="仿宋" w:hAnsi="仿宋" w:eastAsia="仿宋"/>
          <w:sz w:val="32"/>
          <w:szCs w:val="32"/>
        </w:rPr>
        <w:t>评审项目完成率扣</w:t>
      </w:r>
      <w:r>
        <w:rPr>
          <w:rFonts w:hint="eastAsia" w:ascii="仿宋" w:hAnsi="仿宋" w:eastAsia="仿宋"/>
          <w:sz w:val="32"/>
          <w:szCs w:val="32"/>
          <w:lang w:val="en-US" w:eastAsia="zh-CN"/>
        </w:rPr>
        <w:t>2.8</w:t>
      </w:r>
      <w:r>
        <w:rPr>
          <w:rFonts w:hint="eastAsia" w:ascii="仿宋" w:hAnsi="仿宋" w:eastAsia="仿宋"/>
          <w:sz w:val="32"/>
          <w:szCs w:val="32"/>
        </w:rPr>
        <w:t>分。</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 w:hAnsi="仿宋" w:eastAsia="仿宋"/>
          <w:sz w:val="32"/>
          <w:szCs w:val="32"/>
        </w:rPr>
      </w:pPr>
      <w:r>
        <w:rPr>
          <w:rFonts w:hint="eastAsia" w:ascii="仿宋" w:hAnsi="仿宋" w:eastAsia="仿宋"/>
          <w:sz w:val="32"/>
          <w:szCs w:val="32"/>
        </w:rPr>
        <w:t>（2）项目效益指标满分30分，得分30分。通过对财政局资金科室委托的建设项目评审，有效节约财政资金，促进建设单位项目管理规范。</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黑体" w:hAnsi="黑体" w:eastAsia="黑体"/>
          <w:sz w:val="32"/>
          <w:szCs w:val="32"/>
        </w:rPr>
      </w:pPr>
      <w:r>
        <w:rPr>
          <w:rFonts w:hint="eastAsia" w:ascii="黑体" w:hAnsi="黑体" w:eastAsia="黑体"/>
          <w:sz w:val="32"/>
          <w:szCs w:val="32"/>
        </w:rPr>
        <w:t>四、成本效益分析</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 w:eastAsia="仿宋_GB2312"/>
          <w:sz w:val="32"/>
          <w:szCs w:val="32"/>
        </w:rPr>
      </w:pPr>
      <w:r>
        <w:rPr>
          <w:rFonts w:hint="eastAsia" w:ascii="仿宋_GB2312" w:hAnsi="仿宋" w:eastAsia="仿宋_GB2312"/>
          <w:sz w:val="32"/>
          <w:szCs w:val="32"/>
        </w:rPr>
        <w:t>2022年较好完成了年初制定的财政投资评审专项经费绩效目标，</w:t>
      </w:r>
      <w:r>
        <w:rPr>
          <w:rFonts w:hint="eastAsia" w:ascii="仿宋_GB2312" w:hAnsi="仿宋" w:eastAsia="仿宋_GB2312"/>
          <w:sz w:val="32"/>
          <w:szCs w:val="32"/>
          <w:lang w:eastAsia="zh-CN"/>
        </w:rPr>
        <w:t>支出财政投资评审专项经费659,936.47元，完成</w:t>
      </w:r>
      <w:r>
        <w:rPr>
          <w:rFonts w:hint="eastAsia" w:ascii="仿宋_GB2312" w:hAnsi="仿宋" w:eastAsia="仿宋_GB2312"/>
          <w:sz w:val="32"/>
          <w:szCs w:val="32"/>
        </w:rPr>
        <w:t>政府投资建设项目评审57项，送审金额8,819.48万元，审定金额7,891.80万元，审减金额927.68万元，审减率10.52%，有效节约了政府投资建设项目资金。完成盘龙区以购代建资金使用效益评估，对以购代建资金组织管理、资金的拨付和使用、资金使用效益及存在问题方面深入评估，为研究以购代建资金收回及使用相关问题提供参考。</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黑体" w:hAnsi="黑体" w:eastAsia="黑体"/>
          <w:sz w:val="32"/>
          <w:szCs w:val="32"/>
        </w:rPr>
      </w:pPr>
      <w:r>
        <w:rPr>
          <w:rFonts w:hint="eastAsia" w:ascii="黑体" w:hAnsi="黑体" w:eastAsia="黑体"/>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（一）主要经验及做法</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1.严格按照</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内控制度，在经费申请，实施方式、过程管理、资金支付严格执行内控制度。</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财评中心严格执行廉政建设方面各项制度，查找内部工作管理的“薄弱点”，明确问题多发的“风险点”，抓好权利运行的“关节点”，建立健全风险防控措施，对重点岗位、重点任务、重点领域加强廉政风险防控，确实保障财政资金安全、有效运行。</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楷体" w:hAnsi="楷体" w:eastAsia="楷体"/>
          <w:sz w:val="32"/>
          <w:szCs w:val="32"/>
        </w:rPr>
        <w:t>（二）存在的问题</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hint="eastAsia" w:ascii="楷体" w:hAnsi="楷体" w:eastAsia="楷体"/>
          <w:sz w:val="32"/>
          <w:szCs w:val="32"/>
        </w:rPr>
      </w:pPr>
      <w:r>
        <w:rPr>
          <w:rFonts w:hint="eastAsia" w:ascii="仿宋_GB2312" w:hAnsi="仿宋_GB2312" w:eastAsia="仿宋_GB2312" w:cs="仿宋_GB2312"/>
          <w:sz w:val="32"/>
          <w:szCs w:val="32"/>
        </w:rPr>
        <w:t>评审过程中由于部分项目建设单位对项目各参与单位管理存在不足、建设单位履行自身职责存在缺位，导致评审项目提交评审资料不全，评审过程中需要补充完善评审资料较多，审减争议解释核对困难，以致部分项目出具评审报告时间较长。</w:t>
      </w:r>
    </w:p>
    <w:p>
      <w:pPr>
        <w:keepNext w:val="0"/>
        <w:keepLines w:val="0"/>
        <w:pageBreakBefore w:val="0"/>
        <w:widowControl w:val="0"/>
        <w:kinsoku/>
        <w:wordWrap/>
        <w:overflowPunct/>
        <w:topLinePunct/>
        <w:autoSpaceDE/>
        <w:autoSpaceDN/>
        <w:bidi w:val="0"/>
        <w:adjustRightInd/>
        <w:snapToGrid/>
        <w:spacing w:line="600" w:lineRule="exact"/>
        <w:ind w:firstLine="800" w:firstLineChars="250"/>
        <w:textAlignment w:val="auto"/>
        <w:rPr>
          <w:rFonts w:ascii="楷体" w:hAnsi="楷体" w:eastAsia="楷体"/>
          <w:sz w:val="32"/>
          <w:szCs w:val="32"/>
        </w:rPr>
      </w:pPr>
      <w:r>
        <w:rPr>
          <w:rFonts w:hint="eastAsia" w:ascii="楷体" w:hAnsi="楷体" w:eastAsia="楷体"/>
          <w:sz w:val="32"/>
          <w:szCs w:val="32"/>
        </w:rPr>
        <w:t>（三）建议和改进措施</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_GB2312" w:eastAsia="仿宋_GB2312" w:cs="仿宋_GB2312"/>
          <w:sz w:val="32"/>
          <w:szCs w:val="32"/>
          <w:lang w:val="en-US" w:eastAsia="zh-CN"/>
        </w:rPr>
      </w:pPr>
      <w:r>
        <w:rPr>
          <w:rFonts w:hint="eastAsia" w:eastAsia="黑体"/>
          <w:sz w:val="32"/>
          <w:szCs w:val="32"/>
          <w:lang w:val="en-US" w:eastAsia="zh-CN"/>
        </w:rPr>
        <w:t xml:space="preserve">    </w:t>
      </w:r>
      <w:r>
        <w:rPr>
          <w:rFonts w:hint="eastAsia" w:ascii="仿宋_GB2312" w:hAnsi="仿宋_GB2312" w:eastAsia="仿宋_GB2312" w:cs="仿宋_GB2312"/>
          <w:sz w:val="32"/>
          <w:szCs w:val="32"/>
          <w:lang w:val="en-US" w:eastAsia="zh-CN"/>
        </w:rPr>
        <w:t xml:space="preserve"> 一是建议各项目建设单位严格按照建设程序进行项目管理，杜绝项目全过程中违规行为的发生。谨慎优选设计、造价咨询、施工、监理等合作单位，加强对各单位的管理服务，签订合同时明确双方的责任和义务，对工程建设过程中由于合作单位失职，导致的项目投资增加追究相应法律责任。</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二是建议行业主管部门加大培训力度，提高建设单位工程业务管理水平。</w:t>
      </w:r>
    </w:p>
    <w:p>
      <w:pPr>
        <w:keepNext w:val="0"/>
        <w:keepLines w:val="0"/>
        <w:pageBreakBefore w:val="0"/>
        <w:widowControl w:val="0"/>
        <w:kinsoku/>
        <w:wordWrap/>
        <w:overflowPunct/>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三是建议建设单位项目管理人员按照国家竣工决算资料管理相关要求，认真进行建设工程资料的收集、整理、归档和存放，确保竣工决算资料真实、准确、完整。</w:t>
      </w:r>
    </w:p>
    <w:p>
      <w:pPr>
        <w:keepNext w:val="0"/>
        <w:keepLines w:val="0"/>
        <w:pageBreakBefore w:val="0"/>
        <w:widowControl w:val="0"/>
        <w:kinsoku/>
        <w:wordWrap/>
        <w:overflowPunct/>
        <w:autoSpaceDE/>
        <w:autoSpaceDN/>
        <w:bidi w:val="0"/>
        <w:adjustRightInd/>
        <w:snapToGrid/>
        <w:spacing w:line="600" w:lineRule="exact"/>
        <w:jc w:val="center"/>
        <w:textAlignment w:val="auto"/>
        <w:rPr>
          <w:rFonts w:hint="eastAsia" w:ascii="方正小标宋_GBK" w:eastAsia="方正小标宋_GBK"/>
          <w:sz w:val="32"/>
          <w:szCs w:val="32"/>
        </w:rPr>
      </w:pPr>
    </w:p>
    <w:p>
      <w:pPr>
        <w:keepNext w:val="0"/>
        <w:keepLines w:val="0"/>
        <w:pageBreakBefore w:val="0"/>
        <w:widowControl w:val="0"/>
        <w:kinsoku/>
        <w:wordWrap/>
        <w:overflowPunct/>
        <w:autoSpaceDE/>
        <w:autoSpaceDN/>
        <w:bidi w:val="0"/>
        <w:adjustRightInd/>
        <w:snapToGrid/>
        <w:spacing w:line="600" w:lineRule="exact"/>
        <w:jc w:val="center"/>
        <w:textAlignment w:val="auto"/>
        <w:rPr>
          <w:rFonts w:ascii="方正小标宋_GBK" w:eastAsia="方正小标宋_GBK"/>
          <w:sz w:val="32"/>
          <w:szCs w:val="32"/>
        </w:rPr>
      </w:pPr>
      <w:r>
        <w:rPr>
          <w:rFonts w:hint="eastAsia" w:ascii="方正小标宋_GBK" w:eastAsia="方正小标宋_GBK"/>
          <w:sz w:val="32"/>
          <w:szCs w:val="32"/>
        </w:rPr>
        <w:t>绩效评价报告正文后附以下佐证材料</w:t>
      </w:r>
    </w:p>
    <w:p>
      <w:pPr>
        <w:keepNext w:val="0"/>
        <w:keepLines w:val="0"/>
        <w:pageBreakBefore w:val="0"/>
        <w:widowControl w:val="0"/>
        <w:kinsoku/>
        <w:wordWrap/>
        <w:overflowPunct/>
        <w:autoSpaceDE/>
        <w:autoSpaceDN/>
        <w:bidi w:val="0"/>
        <w:adjustRightInd/>
        <w:snapToGrid/>
        <w:spacing w:line="600" w:lineRule="exact"/>
        <w:ind w:left="630" w:hanging="960" w:hangingChars="300"/>
        <w:jc w:val="left"/>
        <w:textAlignment w:val="auto"/>
        <w:rPr>
          <w:rFonts w:ascii="仿宋_GB2312" w:hAnsi="仿宋" w:eastAsia="仿宋_GB2312"/>
          <w:sz w:val="32"/>
          <w:szCs w:val="32"/>
        </w:rPr>
      </w:pPr>
      <w:r>
        <w:rPr>
          <w:rFonts w:hint="eastAsia" w:ascii="仿宋_GB2312" w:hAnsi="仿宋" w:eastAsia="仿宋_GB2312"/>
          <w:sz w:val="32"/>
          <w:szCs w:val="32"/>
        </w:rPr>
        <w:t>1.绩效评价指标体系；</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.区政府办关于印发《昆明市盘龙区财政投资评审管理暂行办法》的通知（盘政办通（2018）26号）；</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.财政部办公厅关于印发《财政投资项目评审操作规程》试行的通知（财办建[2002]619号）；</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.财政部关于印发《财政投资评审质量控制办法（试行）》的通知（财建〔2005〕1065号）；</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.云南省物价局关于调整建设工程造价咨询服务收费标准的通知 （云价综合〔2012〕66号）；</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6</w:t>
      </w:r>
      <w:r>
        <w:rPr>
          <w:rFonts w:hint="eastAsia" w:ascii="仿宋_GB2312" w:hAnsi="仿宋" w:eastAsia="仿宋_GB2312"/>
          <w:sz w:val="32"/>
          <w:szCs w:val="32"/>
        </w:rPr>
        <w:t>.财评中心202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w:t>
      </w:r>
      <w:r>
        <w:rPr>
          <w:rFonts w:hint="eastAsia" w:ascii="仿宋_GB2312" w:hAnsi="仿宋" w:eastAsia="仿宋_GB2312"/>
          <w:sz w:val="32"/>
          <w:szCs w:val="32"/>
          <w:lang w:eastAsia="zh-CN"/>
        </w:rPr>
        <w:t>完成政府投资建设项目评审情况表</w:t>
      </w:r>
      <w:r>
        <w:rPr>
          <w:rFonts w:hint="eastAsia" w:ascii="仿宋_GB2312" w:hAnsi="仿宋" w:eastAsia="仿宋_GB2312"/>
          <w:sz w:val="32"/>
          <w:szCs w:val="32"/>
        </w:rPr>
        <w:t>;</w:t>
      </w:r>
    </w:p>
    <w:p>
      <w:pPr>
        <w:keepNext w:val="0"/>
        <w:keepLines w:val="0"/>
        <w:pageBreakBefore w:val="0"/>
        <w:widowControl w:val="0"/>
        <w:kinsoku/>
        <w:wordWrap/>
        <w:overflowPunct/>
        <w:autoSpaceDE/>
        <w:autoSpaceDN/>
        <w:bidi w:val="0"/>
        <w:adjustRightInd/>
        <w:snapToGrid/>
        <w:spacing w:line="600" w:lineRule="exact"/>
        <w:textAlignment w:val="auto"/>
        <w:rPr>
          <w:rFonts w:hint="eastAsia" w:ascii="仿宋_GB2312" w:hAnsi="仿宋" w:eastAsia="仿宋_GB2312"/>
          <w:sz w:val="32"/>
          <w:szCs w:val="32"/>
        </w:rPr>
      </w:pPr>
      <w:r>
        <w:rPr>
          <w:rFonts w:hint="eastAsia" w:ascii="仿宋_GB2312" w:hAnsi="仿宋" w:eastAsia="仿宋_GB2312"/>
          <w:sz w:val="32"/>
          <w:szCs w:val="32"/>
        </w:rPr>
        <w:t>7.财评中心</w:t>
      </w:r>
      <w:r>
        <w:rPr>
          <w:rFonts w:hint="eastAsia" w:ascii="仿宋_GB2312" w:hAnsi="仿宋" w:eastAsia="仿宋_GB2312"/>
          <w:sz w:val="32"/>
          <w:szCs w:val="32"/>
          <w:lang w:val="en-US" w:eastAsia="zh-CN"/>
        </w:rPr>
        <w:t>2022年工作总结2023年工作计划。</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222B47"/>
    <w:rsid w:val="230E6B20"/>
    <w:rsid w:val="25502046"/>
    <w:rsid w:val="2BE75E6E"/>
    <w:rsid w:val="2C2020B0"/>
    <w:rsid w:val="413668C1"/>
    <w:rsid w:val="42E04252"/>
    <w:rsid w:val="48F7401E"/>
    <w:rsid w:val="4A2E2334"/>
    <w:rsid w:val="4FAE2458"/>
    <w:rsid w:val="5C4061C8"/>
    <w:rsid w:val="70D5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5">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6">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2023-03-27T02:44:00Z</dcterms:created>
  <dc:creator>Administrator</dc:creator>
  <cp:lastModifiedBy>闭思维</cp:lastModifiedBy>
  <dcterms:modified xsi:type="dcterms:W3CDTF">2023-04-14T07:34:52Z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