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_GBK" w:eastAsia="方正小标宋_GBK"/>
          <w:sz w:val="28"/>
          <w:szCs w:val="28"/>
        </w:rPr>
      </w:pPr>
      <w:r>
        <w:rPr>
          <w:rFonts w:hint="eastAsia" w:ascii="方正小标宋_GBK" w:eastAsia="方正小标宋_GBK"/>
          <w:sz w:val="28"/>
          <w:szCs w:val="28"/>
        </w:rPr>
        <w:t>项目支出绩效评价共性指标体系框架</w:t>
      </w:r>
    </w:p>
    <w:tbl>
      <w:tblPr>
        <w:tblStyle w:val="3"/>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846"/>
        <w:gridCol w:w="971"/>
        <w:gridCol w:w="1143"/>
        <w:gridCol w:w="1091"/>
        <w:gridCol w:w="499"/>
        <w:gridCol w:w="568"/>
        <w:gridCol w:w="2101"/>
        <w:gridCol w:w="1975"/>
        <w:gridCol w:w="1218"/>
      </w:tblGrid>
      <w:tr>
        <w:tblPrEx>
          <w:tblLayout w:type="fixed"/>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499"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6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10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Layout w:type="fixed"/>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Layout w:type="fixed"/>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Layout w:type="fixed"/>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Layout w:type="fixed"/>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Layout w:type="fixed"/>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5" w:type="dxa"/>
            <w:tcBorders>
              <w:top w:val="nil"/>
              <w:left w:val="nil"/>
              <w:bottom w:val="single" w:color="auto" w:sz="4" w:space="0"/>
              <w:right w:val="single" w:color="auto" w:sz="4" w:space="0"/>
            </w:tcBorders>
            <w:shd w:val="clear" w:color="auto" w:fill="auto"/>
            <w:noWrap w:val="0"/>
            <w:vAlign w:val="top"/>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Layout w:type="fixed"/>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Layout w:type="fixed"/>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12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C1.项目产出（30%）（说明：该指标主要反映部门（单位）项目工作任务的完成情况。三、四级指标以 XX年度污泥厂经费支出绩效评价为例设置，供各部门（单位）参考。各部门（单位）在绩效自评工作中要结合项目特征设置个性化的三、四级指标。）</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C11.项目产出</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C111.国库管理业务完成情况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考察完成国库管理工作，保证</w:t>
            </w:r>
            <w:r>
              <w:rPr>
                <w:rFonts w:hint="eastAsia" w:ascii="宋体" w:hAnsi="宋体" w:cs="宋体"/>
                <w:color w:val="000000"/>
                <w:kern w:val="0"/>
                <w:sz w:val="18"/>
                <w:szCs w:val="18"/>
                <w:lang w:eastAsia="zh-CN"/>
              </w:rPr>
              <w:t>预算单位支付</w:t>
            </w:r>
            <w:r>
              <w:rPr>
                <w:rFonts w:hint="eastAsia" w:ascii="宋体" w:hAnsi="宋体" w:cs="宋体"/>
                <w:color w:val="000000"/>
                <w:kern w:val="0"/>
                <w:sz w:val="18"/>
                <w:szCs w:val="18"/>
              </w:rPr>
              <w:t>情况。</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全部及时</w:t>
            </w:r>
            <w:r>
              <w:rPr>
                <w:rFonts w:hint="eastAsia" w:ascii="宋体" w:hAnsi="宋体" w:cs="宋体"/>
                <w:color w:val="000000"/>
                <w:kern w:val="0"/>
                <w:sz w:val="18"/>
                <w:szCs w:val="18"/>
                <w:lang w:eastAsia="zh-CN"/>
              </w:rPr>
              <w:t>支付</w:t>
            </w:r>
            <w:r>
              <w:rPr>
                <w:rFonts w:hint="eastAsia" w:ascii="宋体" w:hAnsi="宋体" w:cs="宋体"/>
                <w:color w:val="000000"/>
                <w:kern w:val="0"/>
                <w:sz w:val="18"/>
                <w:szCs w:val="18"/>
              </w:rPr>
              <w:t>，得满分；存在一次未及时处理的，扣权重的10%，扣完为止。</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项目验收确认书</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C112.国库管理业务情况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完成国库管理工作业务合规性及有效性建设</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全部完成，得满分；存在一项未完成工作扣权重的20%，扣完为止。</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业务相关材料</w:t>
            </w:r>
          </w:p>
        </w:tc>
      </w:tr>
      <w:tr>
        <w:tblPrEx>
          <w:tblLayout w:type="fixed"/>
          <w:tblCellMar>
            <w:top w:w="0" w:type="dxa"/>
            <w:left w:w="108" w:type="dxa"/>
            <w:bottom w:w="0" w:type="dxa"/>
            <w:right w:w="108" w:type="dxa"/>
          </w:tblCellMar>
        </w:tblPrEx>
        <w:trPr>
          <w:trHeight w:val="8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C113.国库管理工作业务建设完成情况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3</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完成国库管理工作业务合规性及有效性建设</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全部完成，得满分；存在一项未完成工作扣权重的20%，扣完为止。</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业务相关材料</w:t>
            </w:r>
          </w:p>
        </w:tc>
      </w:tr>
      <w:tr>
        <w:tblPrEx>
          <w:tblLayout w:type="fixed"/>
          <w:tblCellMar>
            <w:top w:w="0" w:type="dxa"/>
            <w:left w:w="108" w:type="dxa"/>
            <w:bottom w:w="0" w:type="dxa"/>
            <w:right w:w="108" w:type="dxa"/>
          </w:tblCellMar>
        </w:tblPrEx>
        <w:trPr>
          <w:trHeight w:val="70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C114.国库管理工作经费支出进度</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是否严格按照执行进度计划支出工作经费</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达到100%及以上的，得满分；每降低5%，扣权重的额10%，扣完为止。</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资金使用审批表、会计凭证</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C12.项目完成情况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C121.项目完成率</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国库管理工作业务是否全部</w:t>
            </w:r>
            <w:r>
              <w:rPr>
                <w:rFonts w:hint="eastAsia" w:ascii="宋体" w:hAnsi="宋体" w:cs="宋体"/>
                <w:color w:val="000000"/>
                <w:kern w:val="0"/>
                <w:sz w:val="18"/>
                <w:szCs w:val="18"/>
                <w:lang w:eastAsia="zh-CN"/>
              </w:rPr>
              <w:t>完成</w:t>
            </w:r>
            <w:r>
              <w:rPr>
                <w:rFonts w:hint="eastAsia" w:ascii="宋体" w:hAnsi="宋体" w:cs="宋体"/>
                <w:color w:val="000000"/>
                <w:kern w:val="0"/>
                <w:sz w:val="18"/>
                <w:szCs w:val="18"/>
              </w:rPr>
              <w:t>。</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w:t>
            </w:r>
            <w:r>
              <w:rPr>
                <w:rFonts w:hint="eastAsia" w:ascii="宋体" w:hAnsi="宋体" w:cs="宋体"/>
                <w:color w:val="000000"/>
                <w:kern w:val="0"/>
                <w:sz w:val="18"/>
                <w:szCs w:val="18"/>
                <w:lang w:eastAsia="zh-CN"/>
              </w:rPr>
              <w:t>完成</w:t>
            </w:r>
            <w:r>
              <w:rPr>
                <w:rFonts w:hint="eastAsia" w:ascii="宋体" w:hAnsi="宋体" w:cs="宋体"/>
                <w:color w:val="000000"/>
                <w:kern w:val="0"/>
                <w:sz w:val="18"/>
                <w:szCs w:val="18"/>
              </w:rPr>
              <w:t>，得满分；每降低1%，扣权重的3%，扣完为止。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污泥处理量、转运量、处置量台账</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C122.项目及时处置情况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国库管理工作业务是否及时</w:t>
            </w:r>
            <w:r>
              <w:rPr>
                <w:rFonts w:hint="eastAsia" w:ascii="宋体" w:hAnsi="宋体" w:cs="宋体"/>
                <w:color w:val="000000"/>
                <w:kern w:val="0"/>
                <w:sz w:val="18"/>
                <w:szCs w:val="18"/>
                <w:lang w:eastAsia="zh-CN"/>
              </w:rPr>
              <w:t>按进度推进</w:t>
            </w:r>
            <w:r>
              <w:rPr>
                <w:rFonts w:hint="eastAsia" w:ascii="宋体" w:hAnsi="宋体" w:cs="宋体"/>
                <w:color w:val="000000"/>
                <w:kern w:val="0"/>
                <w:sz w:val="18"/>
                <w:szCs w:val="18"/>
              </w:rPr>
              <w:t>，</w:t>
            </w:r>
            <w:r>
              <w:rPr>
                <w:rFonts w:hint="eastAsia" w:ascii="宋体" w:hAnsi="宋体" w:cs="宋体"/>
                <w:color w:val="000000"/>
                <w:kern w:val="0"/>
                <w:sz w:val="18"/>
                <w:szCs w:val="18"/>
                <w:lang w:eastAsia="zh-CN"/>
              </w:rPr>
              <w:t>支付是否</w:t>
            </w:r>
            <w:r>
              <w:rPr>
                <w:rFonts w:hint="eastAsia" w:ascii="宋体" w:hAnsi="宋体" w:cs="宋体"/>
                <w:color w:val="000000"/>
                <w:kern w:val="0"/>
                <w:sz w:val="18"/>
                <w:szCs w:val="18"/>
              </w:rPr>
              <w:t>做到不积压。</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全部及时处置，得满分；存在一次未及时处置的扣权重的10%，扣完为止。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污泥处理量、转运量、处置量台账</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C13.项目完成情况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C131.业务完成情况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国库管理工作</w:t>
            </w:r>
            <w:r>
              <w:rPr>
                <w:rFonts w:hint="eastAsia" w:ascii="宋体" w:hAnsi="宋体" w:cs="宋体"/>
                <w:color w:val="000000"/>
                <w:kern w:val="0"/>
                <w:sz w:val="18"/>
                <w:szCs w:val="18"/>
                <w:lang w:eastAsia="zh-CN"/>
              </w:rPr>
              <w:t>相关</w:t>
            </w:r>
            <w:r>
              <w:rPr>
                <w:rFonts w:hint="eastAsia" w:ascii="宋体" w:hAnsi="宋体" w:cs="宋体"/>
                <w:color w:val="000000"/>
                <w:kern w:val="0"/>
                <w:sz w:val="18"/>
                <w:szCs w:val="18"/>
              </w:rPr>
              <w:t>业务是否在合同期限内及时完成。</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及时完成，得满分；完成但不及时，得权重的50%；未完成，不得分。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合同、结题报告</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C14.项目成本控制情况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C141.</w:t>
            </w:r>
            <w:r>
              <w:rPr>
                <w:rFonts w:hint="eastAsia" w:ascii="宋体" w:hAnsi="宋体" w:cs="宋体"/>
                <w:color w:val="000000"/>
                <w:kern w:val="0"/>
                <w:sz w:val="18"/>
                <w:szCs w:val="18"/>
                <w:lang w:eastAsia="zh-CN"/>
              </w:rPr>
              <w:t>经费</w:t>
            </w:r>
            <w:r>
              <w:rPr>
                <w:rFonts w:hint="eastAsia" w:ascii="宋体" w:hAnsi="宋体" w:cs="宋体"/>
                <w:color w:val="000000"/>
                <w:kern w:val="0"/>
                <w:sz w:val="18"/>
                <w:szCs w:val="18"/>
              </w:rPr>
              <w:t>成本节约率</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是否可以节约2</w:t>
            </w:r>
            <w:r>
              <w:rPr>
                <w:rFonts w:hint="eastAsia" w:ascii="宋体" w:hAnsi="宋体" w:cs="宋体"/>
                <w:color w:val="000000"/>
                <w:kern w:val="0"/>
                <w:sz w:val="18"/>
                <w:szCs w:val="18"/>
                <w:lang w:val="en-US" w:eastAsia="zh-CN"/>
              </w:rPr>
              <w:t>022</w:t>
            </w:r>
            <w:r>
              <w:rPr>
                <w:rFonts w:hint="eastAsia" w:ascii="宋体" w:hAnsi="宋体" w:cs="宋体"/>
                <w:color w:val="000000"/>
                <w:kern w:val="0"/>
                <w:sz w:val="18"/>
                <w:szCs w:val="18"/>
              </w:rPr>
              <w:t>年度财政支出。</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节约在100万以上，得满分；每降低1%，扣权重的额1%；未节约或财政支出增加，不得分。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成本核查分析</w:t>
            </w:r>
          </w:p>
        </w:tc>
      </w:tr>
      <w:tr>
        <w:tblPrEx>
          <w:tblLayout w:type="fixed"/>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说明：该指标主要反映部门（单位）项目的实施效果。三、四级指标以XX年度污泥厂经费支出绩效评价为例设置，供各部门（单位）参考。各部门（单位）在绩效自评工作中要结合项目特征设置个性化的三、四级指标。）</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C211.国库管理需求满足情况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13</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部门预算、核算、决算与财政监督相结合</w:t>
            </w:r>
            <w:r>
              <w:rPr>
                <w:rFonts w:hint="eastAsia" w:ascii="宋体" w:hAnsi="宋体" w:cs="宋体"/>
                <w:color w:val="000000"/>
                <w:kern w:val="0"/>
                <w:sz w:val="18"/>
                <w:szCs w:val="18"/>
                <w:lang w:eastAsia="zh-CN"/>
              </w:rPr>
              <w:t>的水平</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满足得满分；每降低10%，扣权重的30%，扣完为止</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国库管理相关材料</w:t>
            </w:r>
          </w:p>
        </w:tc>
      </w:tr>
      <w:tr>
        <w:tblPrEx>
          <w:tblLayout w:type="fixed"/>
          <w:tblCellMar>
            <w:top w:w="0" w:type="dxa"/>
            <w:left w:w="108" w:type="dxa"/>
            <w:bottom w:w="0" w:type="dxa"/>
            <w:right w:w="108" w:type="dxa"/>
          </w:tblCellMar>
        </w:tblPrEx>
        <w:trPr>
          <w:trHeight w:val="23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C22.可持续影响</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C221..国库管理</w:t>
            </w:r>
            <w:r>
              <w:rPr>
                <w:rFonts w:hint="eastAsia" w:ascii="宋体" w:hAnsi="宋体" w:cs="宋体"/>
                <w:color w:val="000000"/>
                <w:kern w:val="0"/>
                <w:sz w:val="18"/>
                <w:szCs w:val="18"/>
                <w:lang w:eastAsia="zh-CN"/>
              </w:rPr>
              <w:t>工作</w:t>
            </w:r>
            <w:r>
              <w:rPr>
                <w:rFonts w:hint="eastAsia" w:ascii="宋体" w:hAnsi="宋体" w:cs="宋体"/>
                <w:color w:val="000000"/>
                <w:kern w:val="0"/>
                <w:sz w:val="18"/>
                <w:szCs w:val="18"/>
              </w:rPr>
              <w:t>可持续影响</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1</w:t>
            </w:r>
            <w:r>
              <w:rPr>
                <w:rFonts w:hint="eastAsia" w:ascii="宋体" w:hAnsi="宋体" w:cs="宋体"/>
                <w:color w:val="000000"/>
                <w:kern w:val="0"/>
                <w:sz w:val="18"/>
                <w:szCs w:val="18"/>
                <w:lang w:val="en-US" w:eastAsia="zh-CN"/>
              </w:rPr>
              <w:t>4</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b/>
                <w:bCs/>
                <w:color w:val="000000"/>
                <w:kern w:val="0"/>
                <w:sz w:val="18"/>
                <w:szCs w:val="18"/>
              </w:rPr>
              <w:t>　</w:t>
            </w:r>
            <w:r>
              <w:rPr>
                <w:rFonts w:hint="eastAsia" w:ascii="宋体" w:hAnsi="宋体" w:cs="宋体"/>
                <w:color w:val="000000"/>
                <w:kern w:val="0"/>
                <w:sz w:val="18"/>
                <w:szCs w:val="18"/>
              </w:rPr>
              <w:t>逐步改变预算管理，优化结构，提高资金使用效率。保障区级财政收入增长。</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b/>
                <w:bCs/>
                <w:color w:val="000000"/>
                <w:kern w:val="0"/>
                <w:sz w:val="18"/>
                <w:szCs w:val="18"/>
              </w:rPr>
              <w:t>　</w:t>
            </w:r>
            <w:r>
              <w:rPr>
                <w:rFonts w:hint="eastAsia" w:ascii="宋体" w:hAnsi="宋体" w:cs="宋体"/>
                <w:color w:val="000000"/>
                <w:kern w:val="0"/>
                <w:sz w:val="18"/>
                <w:szCs w:val="18"/>
              </w:rPr>
              <w:t>满足得满分；每降低10%，扣权重的30%，扣完为止</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国库管理情况</w:t>
            </w:r>
          </w:p>
        </w:tc>
      </w:tr>
      <w:tr>
        <w:tblPrEx>
          <w:tblLayout w:type="fixed"/>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lang w:val="en-US" w:eastAsia="zh-CN"/>
              </w:rPr>
              <w:t>93</w:t>
            </w:r>
            <w:r>
              <w:rPr>
                <w:rFonts w:hint="eastAsia" w:ascii="宋体" w:hAnsi="宋体" w:cs="宋体"/>
                <w:b/>
                <w:bCs/>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jc w:val="center"/>
        <w:rPr>
          <w:rFonts w:hint="eastAsia" w:ascii="黑体" w:hAnsi="黑体" w:eastAsia="黑体" w:cs="黑体"/>
          <w:bCs/>
          <w:sz w:val="52"/>
          <w:szCs w:val="52"/>
        </w:rPr>
      </w:pPr>
    </w:p>
    <w:p>
      <w:pPr>
        <w:jc w:val="center"/>
        <w:rPr>
          <w:rFonts w:hint="eastAsia" w:ascii="黑体" w:hAnsi="黑体" w:eastAsia="黑体" w:cs="黑体"/>
          <w:bCs/>
          <w:sz w:val="52"/>
          <w:szCs w:val="52"/>
        </w:rPr>
      </w:pPr>
    </w:p>
    <w:p>
      <w:pPr>
        <w:jc w:val="center"/>
        <w:rPr>
          <w:rFonts w:hint="eastAsia" w:ascii="黑体" w:hAnsi="黑体" w:eastAsia="黑体" w:cs="黑体"/>
          <w:bCs/>
          <w:sz w:val="52"/>
          <w:szCs w:val="52"/>
        </w:rPr>
      </w:pPr>
    </w:p>
    <w:p>
      <w:pPr>
        <w:jc w:val="center"/>
        <w:rPr>
          <w:rFonts w:hint="eastAsia" w:ascii="黑体" w:hAnsi="黑体" w:eastAsia="黑体" w:cs="黑体"/>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国库管理工作经费项目支出绩效自评报告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昆明市盘龙区财政局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xhF2D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rPr>
        <w:t>昆明市盘龙区财政局</w:t>
      </w:r>
      <w:r>
        <w:rPr>
          <w:rFonts w:hint="eastAsia" w:ascii="Times New Roman" w:hAnsi="Times New Roman" w:eastAsia="黑体" w:cs="黑体"/>
          <w:b/>
          <w:bCs/>
          <w:sz w:val="28"/>
          <w:szCs w:val="28"/>
          <w:lang w:eastAsia="zh-CN"/>
        </w:rPr>
        <w:t>（国库</w:t>
      </w:r>
      <w:r>
        <w:rPr>
          <w:rFonts w:hint="eastAsia" w:ascii="Times New Roman" w:hAnsi="Times New Roman" w:eastAsia="黑体" w:cs="黑体"/>
          <w:b/>
          <w:bCs/>
          <w:sz w:val="28"/>
          <w:szCs w:val="28"/>
        </w:rPr>
        <w:t>科</w:t>
      </w:r>
      <w:r>
        <w:rPr>
          <w:rFonts w:hint="eastAsia" w:ascii="Times New Roman" w:hAnsi="Times New Roman" w:eastAsia="黑体" w:cs="黑体"/>
          <w:b/>
          <w:bCs/>
          <w:sz w:val="28"/>
          <w:szCs w:val="28"/>
          <w:lang w:eastAsia="zh-CN"/>
        </w:rPr>
        <w:t>）</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cs="黑体"/>
          <w:b/>
          <w:bCs/>
          <w:sz w:val="28"/>
          <w:szCs w:val="28"/>
        </w:rPr>
        <w:t>昆明市盘龙区财政局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cs="黑体"/>
          <w:b/>
          <w:bCs/>
          <w:sz w:val="28"/>
          <w:szCs w:val="28"/>
          <w:lang w:eastAsia="zh-CN"/>
        </w:rPr>
        <w:t>国库管理工作经费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b/>
          <w:bCs/>
          <w:sz w:val="28"/>
          <w:szCs w:val="28"/>
        </w:rPr>
        <w:t>月</w:t>
      </w:r>
    </w:p>
    <w:p>
      <w:pPr>
        <w:adjustRightInd w:val="0"/>
        <w:snapToGrid w:val="0"/>
        <w:spacing w:line="360" w:lineRule="auto"/>
        <w:ind w:left="1260" w:leftChars="60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cs="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pStyle w:val="5"/>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621"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noWrap w:val="0"/>
            <w:vAlign w:val="top"/>
          </w:tcPr>
          <w:p>
            <w:pPr>
              <w:pStyle w:val="5"/>
              <w:widowControl w:val="0"/>
              <w:spacing w:after="0" w:line="240" w:lineRule="auto"/>
              <w:jc w:val="both"/>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周宇</w:t>
            </w:r>
          </w:p>
        </w:tc>
        <w:tc>
          <w:tcPr>
            <w:tcW w:w="1620" w:type="dxa"/>
            <w:noWrap w:val="0"/>
            <w:vAlign w:val="top"/>
          </w:tcPr>
          <w:p>
            <w:pPr>
              <w:pStyle w:val="5"/>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副局长</w:t>
            </w:r>
          </w:p>
        </w:tc>
        <w:tc>
          <w:tcPr>
            <w:tcW w:w="1621" w:type="dxa"/>
            <w:noWrap w:val="0"/>
            <w:vAlign w:val="top"/>
          </w:tcPr>
          <w:p>
            <w:pPr>
              <w:pStyle w:val="5"/>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区财政局</w:t>
            </w:r>
          </w:p>
        </w:tc>
        <w:tc>
          <w:tcPr>
            <w:tcW w:w="1621" w:type="dxa"/>
            <w:noWrap w:val="0"/>
            <w:vAlign w:val="top"/>
          </w:tcPr>
          <w:p>
            <w:pPr>
              <w:pStyle w:val="5"/>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val="0"/>
            <w:vAlign w:val="top"/>
          </w:tcPr>
          <w:p>
            <w:pPr>
              <w:pStyle w:val="5"/>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潘琼</w:t>
            </w:r>
          </w:p>
        </w:tc>
        <w:tc>
          <w:tcPr>
            <w:tcW w:w="1620"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科长</w:t>
            </w: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国库科</w:t>
            </w: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noWrap w:val="0"/>
            <w:vAlign w:val="top"/>
          </w:tcPr>
          <w:p>
            <w:pPr>
              <w:pStyle w:val="5"/>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李紫寻</w:t>
            </w:r>
          </w:p>
        </w:tc>
        <w:tc>
          <w:tcPr>
            <w:tcW w:w="1620" w:type="dxa"/>
            <w:noWrap w:val="0"/>
            <w:vAlign w:val="top"/>
          </w:tcPr>
          <w:p>
            <w:pPr>
              <w:pStyle w:val="5"/>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科员</w:t>
            </w: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bookmarkStart w:id="0" w:name="_GoBack"/>
            <w:r>
              <w:rPr>
                <w:rFonts w:hint="eastAsia" w:ascii="Times New Roman" w:hAnsi="Times New Roman" w:eastAsia="黑体" w:cs="黑体"/>
                <w:kern w:val="2"/>
                <w:sz w:val="24"/>
                <w:szCs w:val="24"/>
                <w:lang w:val="zh-TW" w:eastAsia="zh-CN"/>
              </w:rPr>
              <w:t>国库科</w:t>
            </w:r>
            <w:bookmarkEnd w:id="0"/>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ascii="Times New Roman" w:hAnsi="Times New Roman" w:eastAsia="黑体" w:cs="黑体"/>
                <w:kern w:val="2"/>
                <w:sz w:val="24"/>
                <w:szCs w:val="24"/>
                <w:lang w:val="zh-TW"/>
              </w:rPr>
              <w:t>……</w:t>
            </w:r>
          </w:p>
        </w:tc>
        <w:tc>
          <w:tcPr>
            <w:tcW w:w="1620"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c>
          <w:tcPr>
            <w:tcW w:w="1620"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5"/>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5"/>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6"/>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hint="eastAsia" w:ascii="黑体" w:hAnsi="黑体" w:eastAsia="黑体"/>
          <w:szCs w:val="32"/>
        </w:rPr>
      </w:pPr>
      <w:r>
        <w:rPr>
          <w:rFonts w:hint="eastAsia" w:ascii="黑体" w:hAnsi="黑体" w:eastAsia="黑体"/>
          <w:szCs w:val="32"/>
        </w:rPr>
        <w:t>附件一：部门决算管理制度(财库【2013】209号）</w:t>
      </w:r>
    </w:p>
    <w:p>
      <w:pPr>
        <w:spacing w:line="440" w:lineRule="exact"/>
        <w:ind w:firstLine="420" w:firstLineChars="200"/>
        <w:jc w:val="left"/>
        <w:rPr>
          <w:rFonts w:hint="eastAsia" w:ascii="黑体" w:hAnsi="黑体" w:eastAsia="黑体"/>
          <w:szCs w:val="32"/>
        </w:rPr>
      </w:pPr>
      <w:r>
        <w:rPr>
          <w:rFonts w:hint="eastAsia" w:ascii="黑体" w:hAnsi="黑体" w:eastAsia="黑体"/>
          <w:szCs w:val="32"/>
        </w:rPr>
        <w:t>附件二：盘龙区区级财政国库集中支付银行代理业务综合考评暂行办法</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附件三：盘龙区国库集中支付业务电子印章管理暂行办法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hint="eastAsia" w:ascii="黑体" w:hAnsi="黑体" w:eastAsia="黑体"/>
          <w:szCs w:val="32"/>
        </w:rPr>
      </w:pP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国库管理工作经费项目支出绩效自评报告</w:t>
      </w:r>
    </w:p>
    <w:p>
      <w:pPr>
        <w:keepNext w:val="0"/>
        <w:keepLines w:val="0"/>
        <w:pageBreakBefore w:val="0"/>
        <w:widowControl w:val="0"/>
        <w:kinsoku/>
        <w:wordWrap/>
        <w:overflowPunct/>
        <w:autoSpaceDE/>
        <w:autoSpaceDN/>
        <w:bidi w:val="0"/>
        <w:adjustRightInd/>
        <w:snapToGrid/>
        <w:spacing w:line="600" w:lineRule="exact"/>
        <w:ind w:firstLine="420" w:firstLineChars="200"/>
        <w:jc w:val="left"/>
        <w:textAlignment w:val="auto"/>
        <w:rPr>
          <w:rFonts w:ascii="黑体" w:hAnsi="黑体" w:eastAsia="黑体"/>
          <w:szCs w:val="32"/>
        </w:rPr>
      </w:pPr>
    </w:p>
    <w:p>
      <w:pPr>
        <w:keepNext w:val="0"/>
        <w:keepLines w:val="0"/>
        <w:pageBreakBefore w:val="0"/>
        <w:widowControl w:val="0"/>
        <w:kinsoku/>
        <w:wordWrap/>
        <w:overflowPunct/>
        <w:autoSpaceDE/>
        <w:autoSpaceDN/>
        <w:bidi w:val="0"/>
        <w:adjustRightInd/>
        <w:snapToGrid/>
        <w:spacing w:line="60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摘要</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一、项目概况</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黑体" w:hAnsi="黑体" w:eastAsia="黑体"/>
          <w:szCs w:val="32"/>
        </w:rPr>
      </w:pPr>
      <w:r>
        <w:rPr>
          <w:rFonts w:hint="eastAsia" w:ascii="仿宋_GB2312" w:hAnsi="楷体" w:eastAsia="仿宋_GB2312"/>
          <w:sz w:val="32"/>
          <w:szCs w:val="32"/>
        </w:rPr>
        <w:t>根据《盘龙区区级财政国库集中支付银行代理业务综合考评暂行办法》（盘财〔2011〕44号）及与银行签订代理协议，年度综合考评结束后支付银行业务代理费；</w:t>
      </w:r>
      <w:r>
        <w:rPr>
          <w:rFonts w:hint="eastAsia" w:ascii="仿宋_GB2312" w:hAnsi="楷体" w:eastAsia="仿宋_GB2312"/>
          <w:sz w:val="32"/>
          <w:szCs w:val="32"/>
          <w:lang w:eastAsia="zh-CN"/>
        </w:rPr>
        <w:t>根据《部门决算服务合同》，支付20</w:t>
      </w:r>
      <w:r>
        <w:rPr>
          <w:rFonts w:hint="eastAsia" w:ascii="仿宋_GB2312" w:hAnsi="楷体" w:eastAsia="仿宋_GB2312"/>
          <w:sz w:val="32"/>
          <w:szCs w:val="32"/>
          <w:lang w:val="en-US" w:eastAsia="zh-CN"/>
        </w:rPr>
        <w:t>21</w:t>
      </w:r>
      <w:r>
        <w:rPr>
          <w:rFonts w:hint="eastAsia" w:ascii="仿宋_GB2312" w:hAnsi="楷体" w:eastAsia="仿宋_GB2312"/>
          <w:sz w:val="32"/>
          <w:szCs w:val="32"/>
          <w:lang w:eastAsia="zh-CN"/>
        </w:rPr>
        <w:t>年决算咨询业务费。</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ascii="黑体" w:hAnsi="黑体" w:eastAsia="黑体"/>
          <w:sz w:val="32"/>
          <w:szCs w:val="32"/>
        </w:rPr>
      </w:pPr>
      <w:r>
        <w:rPr>
          <w:rFonts w:hint="eastAsia" w:ascii="黑体" w:hAnsi="黑体" w:eastAsia="黑体"/>
          <w:sz w:val="32"/>
          <w:szCs w:val="32"/>
        </w:rPr>
        <w:t>二、评价结论</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sz w:val="32"/>
          <w:szCs w:val="32"/>
        </w:rPr>
      </w:pPr>
      <w:r>
        <w:rPr>
          <w:rFonts w:hint="eastAsia" w:ascii="仿宋_GB2312" w:hAnsi="仿宋" w:eastAsia="仿宋_GB2312"/>
          <w:sz w:val="32"/>
          <w:szCs w:val="32"/>
        </w:rPr>
        <w:t>本次项目绩效目标总体完成情况良好，自评得分9</w:t>
      </w:r>
      <w:r>
        <w:rPr>
          <w:rFonts w:hint="eastAsia" w:ascii="仿宋_GB2312" w:hAnsi="仿宋" w:eastAsia="仿宋_GB2312"/>
          <w:sz w:val="32"/>
          <w:szCs w:val="32"/>
          <w:lang w:val="en-US" w:eastAsia="zh-CN"/>
        </w:rPr>
        <w:t>3</w:t>
      </w:r>
      <w:r>
        <w:rPr>
          <w:rFonts w:hint="eastAsia" w:ascii="仿宋_GB2312" w:hAnsi="仿宋" w:eastAsia="仿宋_GB2312"/>
          <w:sz w:val="32"/>
          <w:szCs w:val="32"/>
        </w:rPr>
        <w:t>分。</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ascii="黑体" w:hAnsi="黑体" w:eastAsia="黑体"/>
          <w:szCs w:val="32"/>
        </w:rPr>
      </w:pPr>
      <w:r>
        <w:rPr>
          <w:rFonts w:hint="eastAsia" w:ascii="黑体" w:hAnsi="黑体" w:eastAsia="黑体"/>
          <w:sz w:val="32"/>
          <w:szCs w:val="32"/>
        </w:rPr>
        <w:t>三、经验、问题和建议</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楷体" w:hAnsi="楷体" w:eastAsia="楷体"/>
          <w:sz w:val="32"/>
          <w:szCs w:val="32"/>
        </w:rPr>
        <w:t>1.主要做法：</w:t>
      </w:r>
      <w:r>
        <w:rPr>
          <w:rFonts w:hint="eastAsia" w:ascii="仿宋_GB2312" w:hAnsi="仿宋_GB2312" w:eastAsia="仿宋_GB2312" w:cs="仿宋_GB2312"/>
          <w:sz w:val="32"/>
          <w:szCs w:val="32"/>
        </w:rPr>
        <w:t>根据《盘龙区区级财政国库集中支付银行代理业务综合考评暂行办法》（盘财〔2011〕44号）及与银行签订代理协议，年度综合考评结束后支付银行业务代理费</w:t>
      </w:r>
      <w:r>
        <w:rPr>
          <w:rFonts w:hint="eastAsia" w:ascii="仿宋_GB2312" w:hAnsi="仿宋_GB2312" w:eastAsia="仿宋_GB2312" w:cs="仿宋_GB2312"/>
          <w:sz w:val="32"/>
          <w:szCs w:val="32"/>
          <w:lang w:eastAsia="zh-CN"/>
        </w:rPr>
        <w:t>根据《部门决算服务合同》，支付20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eastAsia="zh-CN"/>
        </w:rPr>
        <w:t>年决算咨询业务费</w:t>
      </w:r>
      <w:r>
        <w:rPr>
          <w:rFonts w:hint="eastAsia" w:ascii="仿宋_GB2312" w:hAnsi="仿宋_GB2312" w:eastAsia="仿宋_GB2312" w:cs="仿宋_GB2312"/>
          <w:sz w:val="32"/>
          <w:szCs w:val="32"/>
        </w:rPr>
        <w:t>。</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楷体" w:eastAsia="仿宋_GB2312"/>
          <w:sz w:val="32"/>
          <w:szCs w:val="32"/>
        </w:rPr>
      </w:pPr>
      <w:r>
        <w:rPr>
          <w:rFonts w:hint="eastAsia" w:ascii="楷体" w:hAnsi="楷体" w:eastAsia="楷体"/>
          <w:sz w:val="32"/>
          <w:szCs w:val="32"/>
        </w:rPr>
        <w:t>2.保障措施：</w:t>
      </w:r>
      <w:r>
        <w:rPr>
          <w:rFonts w:hint="eastAsia" w:ascii="仿宋_GB2312" w:hAnsi="仿宋_GB2312" w:eastAsia="仿宋_GB2312" w:cs="仿宋_GB2312"/>
          <w:sz w:val="32"/>
          <w:szCs w:val="32"/>
        </w:rPr>
        <w:t>根据《盘龙区区级财政国库集中支付银行代理业务综合考评暂行办法》（盘财〔2011〕44号）及与银行签订代理协议，年度综合考评结束后支付银行业务代理费；</w:t>
      </w:r>
      <w:r>
        <w:rPr>
          <w:rFonts w:hint="eastAsia" w:ascii="仿宋_GB2312" w:hAnsi="仿宋_GB2312" w:eastAsia="仿宋_GB2312" w:cs="仿宋_GB2312"/>
          <w:sz w:val="32"/>
          <w:szCs w:val="32"/>
          <w:lang w:eastAsia="zh-CN"/>
        </w:rPr>
        <w:t>根据合同约定，支付20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eastAsia="zh-CN"/>
        </w:rPr>
        <w:t>年决算咨询业务费</w:t>
      </w:r>
      <w:r>
        <w:rPr>
          <w:rFonts w:hint="eastAsia" w:ascii="仿宋_GB2312" w:hAnsi="仿宋_GB2312" w:eastAsia="仿宋_GB2312" w:cs="仿宋_GB2312"/>
          <w:sz w:val="32"/>
          <w:szCs w:val="32"/>
        </w:rPr>
        <w:t>。</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z w:val="32"/>
          <w:szCs w:val="32"/>
        </w:rPr>
      </w:pPr>
      <w:r>
        <w:rPr>
          <w:rFonts w:hint="eastAsia" w:ascii="楷体" w:hAnsi="楷体" w:eastAsia="楷体"/>
          <w:sz w:val="32"/>
          <w:szCs w:val="32"/>
        </w:rPr>
        <w:t>3.改进措施及建议：</w:t>
      </w:r>
      <w:r>
        <w:rPr>
          <w:rFonts w:hint="eastAsia" w:ascii="仿宋_GB2312" w:hAnsi="仿宋_GB2312" w:eastAsia="仿宋_GB2312" w:cs="仿宋_GB2312"/>
          <w:sz w:val="32"/>
          <w:szCs w:val="32"/>
          <w:lang w:eastAsia="zh-CN"/>
        </w:rPr>
        <w:t>对银行国库集中支付业务提出改进意见。完善我区部门决算水平，优化部门决算工作质量</w:t>
      </w:r>
      <w:r>
        <w:rPr>
          <w:rFonts w:hint="eastAsia" w:ascii="仿宋_GB2312" w:hAnsi="仿宋_GB2312" w:eastAsia="仿宋_GB2312" w:cs="仿宋_GB2312"/>
          <w:sz w:val="32"/>
          <w:szCs w:val="32"/>
        </w:rPr>
        <w:t>。</w:t>
      </w:r>
    </w:p>
    <w:p>
      <w:pPr>
        <w:keepNext w:val="0"/>
        <w:keepLines w:val="0"/>
        <w:pageBreakBefore w:val="0"/>
        <w:widowControl w:val="0"/>
        <w:kinsoku/>
        <w:wordWrap/>
        <w:overflowPunct/>
        <w:autoSpaceDE/>
        <w:autoSpaceDN/>
        <w:bidi w:val="0"/>
        <w:adjustRightInd/>
        <w:snapToGrid/>
        <w:spacing w:line="600" w:lineRule="exact"/>
        <w:ind w:firstLine="420" w:firstLineChars="200"/>
        <w:jc w:val="left"/>
        <w:textAlignment w:val="auto"/>
        <w:rPr>
          <w:rFonts w:ascii="楷体" w:hAnsi="楷体" w:eastAsia="楷体"/>
          <w:szCs w:val="32"/>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lang w:eastAsia="zh-CN"/>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lang w:eastAsia="zh-CN"/>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lang w:eastAsia="zh-CN"/>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lang w:eastAsia="zh-CN"/>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lang w:eastAsia="zh-CN"/>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lang w:eastAsia="zh-CN"/>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lang w:eastAsia="zh-CN"/>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lang w:eastAsia="zh-CN"/>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lang w:eastAsia="zh-CN"/>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国库管理工作经</w:t>
      </w:r>
      <w:r>
        <w:rPr>
          <w:rFonts w:hint="eastAsia" w:ascii="方正小标宋简体" w:hAnsi="方正小标宋简体" w:eastAsia="方正小标宋简体" w:cs="方正小标宋简体"/>
          <w:sz w:val="44"/>
          <w:szCs w:val="44"/>
        </w:rPr>
        <w:t>费</w:t>
      </w:r>
      <w:r>
        <w:rPr>
          <w:rFonts w:hint="eastAsia" w:ascii="方正小标宋简体" w:hAnsi="方正小标宋简体" w:eastAsia="方正小标宋简体" w:cs="方正小标宋简体"/>
          <w:sz w:val="44"/>
          <w:szCs w:val="44"/>
          <w:lang w:eastAsia="zh-CN"/>
        </w:rPr>
        <w:t>项目</w:t>
      </w:r>
      <w:r>
        <w:rPr>
          <w:rFonts w:hint="eastAsia" w:ascii="方正小标宋简体" w:hAnsi="方正小标宋简体" w:eastAsia="方正小标宋简体" w:cs="方正小标宋简体"/>
          <w:sz w:val="44"/>
          <w:szCs w:val="44"/>
        </w:rPr>
        <w:t>支出绩效自评报告</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eastAsia="黑体"/>
          <w:sz w:val="32"/>
          <w:szCs w:val="32"/>
        </w:rPr>
      </w:pP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eastAsia="黑体"/>
          <w:sz w:val="32"/>
          <w:szCs w:val="32"/>
        </w:rPr>
      </w:pPr>
      <w:r>
        <w:rPr>
          <w:rFonts w:hint="eastAsia" w:ascii="黑体" w:eastAsia="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（一）项目概况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1.项目立项背景及目的</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楷体" w:eastAsia="仿宋_GB2312"/>
          <w:sz w:val="32"/>
          <w:szCs w:val="32"/>
          <w:lang w:eastAsia="zh-CN"/>
        </w:rPr>
      </w:pPr>
      <w:r>
        <w:rPr>
          <w:rFonts w:hint="eastAsia" w:ascii="仿宋_GB2312" w:hAnsi="楷体" w:eastAsia="仿宋_GB2312"/>
          <w:sz w:val="32"/>
          <w:szCs w:val="32"/>
        </w:rPr>
        <w:t>根据《盘龙区区级财政国库集中支付银行代理业务综合考评暂行办法》（盘财〔2011〕44号）及与银行签订代理协议，年度综合考评结束后支付银行业务代理费；</w:t>
      </w:r>
      <w:r>
        <w:rPr>
          <w:rFonts w:hint="eastAsia" w:ascii="仿宋_GB2312" w:hAnsi="楷体" w:eastAsia="仿宋_GB2312"/>
          <w:sz w:val="32"/>
          <w:szCs w:val="32"/>
          <w:lang w:eastAsia="zh-CN"/>
        </w:rPr>
        <w:t>根据《部门决算服务合同》，支付20</w:t>
      </w:r>
      <w:r>
        <w:rPr>
          <w:rFonts w:hint="eastAsia" w:ascii="仿宋_GB2312" w:hAnsi="楷体" w:eastAsia="仿宋_GB2312"/>
          <w:sz w:val="32"/>
          <w:szCs w:val="32"/>
          <w:lang w:val="en-US" w:eastAsia="zh-CN"/>
        </w:rPr>
        <w:t>22</w:t>
      </w:r>
      <w:r>
        <w:rPr>
          <w:rFonts w:hint="eastAsia" w:ascii="仿宋_GB2312" w:hAnsi="楷体" w:eastAsia="仿宋_GB2312"/>
          <w:sz w:val="32"/>
          <w:szCs w:val="32"/>
          <w:lang w:eastAsia="zh-CN"/>
        </w:rPr>
        <w:t>年决算咨询业务费。</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2.项目实施情况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截止20</w:t>
      </w:r>
      <w:r>
        <w:rPr>
          <w:rFonts w:hint="eastAsia" w:ascii="仿宋_GB2312" w:hAnsi="楷体" w:eastAsia="仿宋_GB2312"/>
          <w:sz w:val="32"/>
          <w:szCs w:val="32"/>
          <w:lang w:val="en-US" w:eastAsia="zh-CN"/>
        </w:rPr>
        <w:t>22</w:t>
      </w:r>
      <w:r>
        <w:rPr>
          <w:rFonts w:hint="eastAsia" w:ascii="仿宋_GB2312" w:hAnsi="楷体" w:eastAsia="仿宋_GB2312"/>
          <w:sz w:val="32"/>
          <w:szCs w:val="32"/>
        </w:rPr>
        <w:t>年底，</w:t>
      </w:r>
      <w:r>
        <w:rPr>
          <w:rFonts w:hint="eastAsia" w:ascii="仿宋_GB2312" w:hAnsi="楷体" w:eastAsia="仿宋_GB2312"/>
          <w:sz w:val="32"/>
          <w:szCs w:val="32"/>
          <w:lang w:eastAsia="zh-CN"/>
        </w:rPr>
        <w:t>代理银行、各相关单位</w:t>
      </w:r>
      <w:r>
        <w:rPr>
          <w:rFonts w:hint="eastAsia" w:ascii="仿宋_GB2312" w:hAnsi="楷体" w:eastAsia="仿宋_GB2312"/>
          <w:sz w:val="32"/>
          <w:szCs w:val="32"/>
        </w:rPr>
        <w:t>均完成了</w:t>
      </w:r>
      <w:r>
        <w:rPr>
          <w:rFonts w:hint="eastAsia" w:ascii="仿宋_GB2312" w:hAnsi="楷体" w:eastAsia="仿宋_GB2312"/>
          <w:sz w:val="32"/>
          <w:szCs w:val="32"/>
          <w:lang w:eastAsia="zh-CN"/>
        </w:rPr>
        <w:t>国库管理</w:t>
      </w:r>
      <w:r>
        <w:rPr>
          <w:rFonts w:hint="eastAsia" w:ascii="仿宋_GB2312" w:hAnsi="楷体" w:eastAsia="仿宋_GB2312"/>
          <w:sz w:val="32"/>
          <w:szCs w:val="32"/>
        </w:rPr>
        <w:t>工作，保证了项目完成的及时性。项目绩效有效促进了部门绩效目标的实现。</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 xml:space="preserve"> 3.资金来源及使用情况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盘龙区</w:t>
      </w:r>
      <w:r>
        <w:rPr>
          <w:rFonts w:hint="eastAsia" w:ascii="仿宋_GB2312" w:hAnsi="楷体" w:eastAsia="仿宋_GB2312"/>
          <w:sz w:val="32"/>
          <w:szCs w:val="32"/>
          <w:lang w:eastAsia="zh-CN"/>
        </w:rPr>
        <w:t>国库管理</w:t>
      </w:r>
      <w:r>
        <w:rPr>
          <w:rFonts w:hint="eastAsia" w:ascii="仿宋_GB2312" w:hAnsi="楷体" w:eastAsia="仿宋_GB2312"/>
          <w:sz w:val="32"/>
          <w:szCs w:val="32"/>
        </w:rPr>
        <w:t>工作</w:t>
      </w:r>
      <w:r>
        <w:rPr>
          <w:rFonts w:hint="eastAsia" w:ascii="仿宋_GB2312" w:hAnsi="楷体" w:eastAsia="仿宋_GB2312"/>
          <w:sz w:val="32"/>
          <w:szCs w:val="32"/>
          <w:lang w:eastAsia="zh-CN"/>
        </w:rPr>
        <w:t>经</w:t>
      </w:r>
      <w:r>
        <w:rPr>
          <w:rFonts w:hint="eastAsia" w:ascii="仿宋_GB2312" w:hAnsi="楷体" w:eastAsia="仿宋_GB2312"/>
          <w:sz w:val="32"/>
          <w:szCs w:val="32"/>
        </w:rPr>
        <w:t>费资金来源为年初预算，截止20</w:t>
      </w:r>
      <w:r>
        <w:rPr>
          <w:rFonts w:hint="eastAsia" w:ascii="仿宋_GB2312" w:hAnsi="楷体" w:eastAsia="仿宋_GB2312"/>
          <w:sz w:val="32"/>
          <w:szCs w:val="32"/>
          <w:lang w:val="en-US" w:eastAsia="zh-CN"/>
        </w:rPr>
        <w:t>22</w:t>
      </w:r>
      <w:r>
        <w:rPr>
          <w:rFonts w:hint="eastAsia" w:ascii="仿宋_GB2312" w:hAnsi="楷体" w:eastAsia="仿宋_GB2312"/>
          <w:sz w:val="32"/>
          <w:szCs w:val="32"/>
        </w:rPr>
        <w:t>年底，该项目工作经费支出已达</w:t>
      </w:r>
      <w:r>
        <w:rPr>
          <w:rFonts w:hint="eastAsia" w:ascii="仿宋_GB2312" w:hAnsi="楷体" w:eastAsia="仿宋_GB2312"/>
          <w:sz w:val="32"/>
          <w:szCs w:val="32"/>
          <w:lang w:val="en-US" w:eastAsia="zh-CN"/>
        </w:rPr>
        <w:t>91.35</w:t>
      </w:r>
      <w:r>
        <w:rPr>
          <w:rFonts w:hint="eastAsia" w:ascii="仿宋_GB2312" w:hAnsi="楷体" w:eastAsia="仿宋_GB2312"/>
          <w:sz w:val="32"/>
          <w:szCs w:val="32"/>
        </w:rPr>
        <w:t>%</w:t>
      </w:r>
      <w:r>
        <w:rPr>
          <w:rFonts w:hint="eastAsia" w:ascii="仿宋_GB2312" w:hAnsi="楷体" w:eastAsia="仿宋_GB2312"/>
          <w:sz w:val="32"/>
          <w:szCs w:val="32"/>
          <w:lang w:eastAsia="zh-CN"/>
        </w:rPr>
        <w:t>，结余收回财政</w:t>
      </w:r>
      <w:r>
        <w:rPr>
          <w:rFonts w:hint="eastAsia" w:ascii="仿宋_GB2312" w:hAnsi="楷体" w:eastAsia="仿宋_GB2312"/>
          <w:sz w:val="32"/>
          <w:szCs w:val="32"/>
        </w:rPr>
        <w:t>。</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4.组织及管理情况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根据《盘龙区区级财政国库集中支付银行代理业务综合考评暂行办法》（盘财〔2011〕44号）及与银行签订代理协议，年度综合考评结束后支付银行业务代理费；</w:t>
      </w:r>
      <w:r>
        <w:rPr>
          <w:rFonts w:hint="eastAsia" w:ascii="仿宋_GB2312" w:hAnsi="楷体" w:eastAsia="仿宋_GB2312"/>
          <w:sz w:val="32"/>
          <w:szCs w:val="32"/>
          <w:lang w:eastAsia="zh-CN"/>
        </w:rPr>
        <w:t>根据《部门决算服务合同》，支付20</w:t>
      </w:r>
      <w:r>
        <w:rPr>
          <w:rFonts w:hint="eastAsia" w:ascii="仿宋_GB2312" w:hAnsi="楷体" w:eastAsia="仿宋_GB2312"/>
          <w:sz w:val="32"/>
          <w:szCs w:val="32"/>
          <w:lang w:val="en-US" w:eastAsia="zh-CN"/>
        </w:rPr>
        <w:t>22</w:t>
      </w:r>
      <w:r>
        <w:rPr>
          <w:rFonts w:hint="eastAsia" w:ascii="仿宋_GB2312" w:hAnsi="楷体" w:eastAsia="仿宋_GB2312"/>
          <w:sz w:val="32"/>
          <w:szCs w:val="32"/>
          <w:lang w:eastAsia="zh-CN"/>
        </w:rPr>
        <w:t>年决算咨询业务费</w:t>
      </w:r>
      <w:r>
        <w:rPr>
          <w:rFonts w:hint="eastAsia" w:ascii="仿宋_GB2312" w:hAnsi="楷体" w:eastAsia="仿宋_GB2312"/>
          <w:sz w:val="32"/>
          <w:szCs w:val="32"/>
        </w:rPr>
        <w:t>。</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（二）绩效目标</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通过</w:t>
      </w:r>
      <w:r>
        <w:rPr>
          <w:rFonts w:hint="eastAsia" w:ascii="仿宋_GB2312" w:hAnsi="楷体" w:eastAsia="仿宋_GB2312"/>
          <w:sz w:val="32"/>
          <w:szCs w:val="32"/>
          <w:lang w:eastAsia="zh-CN"/>
        </w:rPr>
        <w:t>国库管理工作</w:t>
      </w:r>
      <w:r>
        <w:rPr>
          <w:rFonts w:hint="eastAsia" w:ascii="仿宋_GB2312" w:hAnsi="楷体" w:eastAsia="仿宋_GB2312"/>
          <w:sz w:val="32"/>
          <w:szCs w:val="32"/>
        </w:rPr>
        <w:t>，能切实提高</w:t>
      </w:r>
      <w:r>
        <w:rPr>
          <w:rFonts w:hint="eastAsia" w:ascii="仿宋_GB2312" w:hAnsi="楷体" w:eastAsia="仿宋_GB2312"/>
          <w:sz w:val="32"/>
          <w:szCs w:val="32"/>
          <w:lang w:eastAsia="zh-CN"/>
        </w:rPr>
        <w:t>国库管理</w:t>
      </w:r>
      <w:r>
        <w:rPr>
          <w:rFonts w:hint="eastAsia" w:ascii="仿宋_GB2312" w:hAnsi="楷体" w:eastAsia="仿宋_GB2312"/>
          <w:sz w:val="32"/>
          <w:szCs w:val="32"/>
        </w:rPr>
        <w:t>工作，项目绩效产出指标完成率为100%，效益指标完成率为100%，满意度指标完成率为100%，项目清算进程于20</w:t>
      </w:r>
      <w:r>
        <w:rPr>
          <w:rFonts w:hint="eastAsia" w:ascii="仿宋_GB2312" w:hAnsi="楷体" w:eastAsia="仿宋_GB2312"/>
          <w:sz w:val="32"/>
          <w:szCs w:val="32"/>
          <w:lang w:val="en-US" w:eastAsia="zh-CN"/>
        </w:rPr>
        <w:t>22</w:t>
      </w:r>
      <w:r>
        <w:rPr>
          <w:rFonts w:hint="eastAsia" w:ascii="仿宋_GB2312" w:hAnsi="楷体" w:eastAsia="仿宋_GB2312"/>
          <w:sz w:val="32"/>
          <w:szCs w:val="32"/>
        </w:rPr>
        <w:t>年12月31日前完成，保证了项目完成的及时性。项目绩效有效促进了部门绩效目标的实现。</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hAnsi="黑体" w:eastAsia="黑体"/>
          <w:sz w:val="32"/>
          <w:szCs w:val="32"/>
        </w:rPr>
      </w:pPr>
      <w:r>
        <w:rPr>
          <w:rFonts w:hint="eastAsia" w:ascii="黑体" w:hAnsi="黑体" w:eastAsia="黑体"/>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（一）绩效评价目的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（二）绩效评价设计过程</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根据《盘龙区区级部门预算绩效自评管理暂行办法》的要求，结合具体工作实际设计指标名称，首先明确绩效评价等级划分与指标，其次对相关指标进行解释并拟定评分标准和考评方式。</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1.绩效评价原则</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绩效评价结合项目推进情况，按照设定的绩效目标，运用合理的评价方法和对照标准，对项目涉及的各个方面进行客观、科学、公正、公平地评价。</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2.绩效评价方法</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采用直接比对的方法，将项目实际完成情况与绩效指标完成情况进行直接对比，在此基础上进行评价。</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此次绩效评价由项目实施科室根据项目绩效目标进行，一是前期准备，明确项目内容、了解基本情况、设计指标体系；二是收集信息，按阶段落实工作进展情况；三是对照检查核实，提出意见建议。</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本项目的一些评价指标有待进一步的探讨和完善。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hAnsi="黑体" w:eastAsia="黑体"/>
          <w:sz w:val="32"/>
          <w:szCs w:val="32"/>
        </w:rPr>
      </w:pPr>
      <w:r>
        <w:rPr>
          <w:rFonts w:hint="eastAsia" w:ascii="黑体" w:hAnsi="黑体" w:eastAsia="黑体"/>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（一）评价结论</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1.评价结果</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仿宋" w:eastAsia="仿宋_GB2312"/>
          <w:sz w:val="32"/>
          <w:szCs w:val="32"/>
        </w:rPr>
      </w:pPr>
      <w:r>
        <w:rPr>
          <w:rFonts w:hint="eastAsia" w:ascii="仿宋_GB2312" w:hAnsi="仿宋" w:eastAsia="仿宋_GB2312"/>
          <w:sz w:val="32"/>
          <w:szCs w:val="32"/>
        </w:rPr>
        <w:t>本次项目绩效目标总体完成情况良好，自评得分9</w:t>
      </w:r>
      <w:r>
        <w:rPr>
          <w:rFonts w:hint="eastAsia" w:ascii="仿宋_GB2312" w:hAnsi="仿宋" w:eastAsia="仿宋_GB2312"/>
          <w:sz w:val="32"/>
          <w:szCs w:val="32"/>
          <w:lang w:val="en-US" w:eastAsia="zh-CN"/>
        </w:rPr>
        <w:t>3</w:t>
      </w:r>
      <w:r>
        <w:rPr>
          <w:rFonts w:hint="eastAsia" w:ascii="仿宋_GB2312" w:hAnsi="仿宋" w:eastAsia="仿宋_GB2312"/>
          <w:sz w:val="32"/>
          <w:szCs w:val="32"/>
        </w:rPr>
        <w:t>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2.主要绩效</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仿宋" w:eastAsia="仿宋_GB2312"/>
          <w:sz w:val="32"/>
          <w:szCs w:val="32"/>
        </w:rPr>
      </w:pPr>
      <w:r>
        <w:rPr>
          <w:rFonts w:hint="eastAsia" w:ascii="仿宋_GB2312" w:hAnsi="仿宋" w:eastAsia="仿宋_GB2312"/>
          <w:sz w:val="32"/>
          <w:szCs w:val="32"/>
        </w:rPr>
        <w:t>绩效指标主要从三大方面对本项目进行自评，分别是项目决策（20%）、项目管理（20%）、项目绩效（60%）。</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highlight w:val="none"/>
        </w:rPr>
      </w:pPr>
      <w:r>
        <w:rPr>
          <w:rFonts w:hint="eastAsia" w:ascii="楷体" w:hAnsi="楷体" w:eastAsia="楷体"/>
          <w:sz w:val="32"/>
          <w:szCs w:val="32"/>
          <w:highlight w:val="none"/>
        </w:rPr>
        <w:t>（二）具体绩效分析</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1.项目决策指标完成情况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项目决策指标满分20分，得</w:t>
      </w:r>
      <w:r>
        <w:rPr>
          <w:rFonts w:hint="eastAsia" w:ascii="仿宋_GB2312" w:hAnsi="仿宋" w:eastAsia="仿宋_GB2312"/>
          <w:sz w:val="32"/>
          <w:szCs w:val="32"/>
          <w:highlight w:val="none"/>
          <w:lang w:val="en-US" w:eastAsia="zh-CN"/>
        </w:rPr>
        <w:t>20</w:t>
      </w:r>
      <w:r>
        <w:rPr>
          <w:rFonts w:hint="eastAsia" w:ascii="仿宋_GB2312" w:hAnsi="仿宋" w:eastAsia="仿宋_GB2312"/>
          <w:sz w:val="32"/>
          <w:szCs w:val="32"/>
          <w:highlight w:val="none"/>
        </w:rPr>
        <w:t>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2.项目管理指标完成情况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项目管理指标满分20分，得20分。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3.项目绩效指标完成情况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highlight w:val="none"/>
        </w:rPr>
      </w:pPr>
      <w:r>
        <w:rPr>
          <w:rFonts w:hint="eastAsia" w:ascii="宋体" w:hAnsi="宋体" w:cs="宋体"/>
          <w:color w:val="000000"/>
          <w:kern w:val="0"/>
          <w:sz w:val="32"/>
          <w:szCs w:val="32"/>
          <w:highlight w:val="none"/>
        </w:rPr>
        <w:t>项目绩效</w:t>
      </w:r>
      <w:r>
        <w:rPr>
          <w:rFonts w:hint="eastAsia" w:ascii="仿宋_GB2312" w:hAnsi="仿宋" w:eastAsia="仿宋_GB2312"/>
          <w:sz w:val="32"/>
          <w:szCs w:val="32"/>
          <w:highlight w:val="none"/>
        </w:rPr>
        <w:t>指标满分60分，20</w:t>
      </w:r>
      <w:r>
        <w:rPr>
          <w:rFonts w:hint="eastAsia" w:ascii="仿宋_GB2312" w:hAnsi="仿宋" w:eastAsia="仿宋_GB2312"/>
          <w:sz w:val="32"/>
          <w:szCs w:val="32"/>
          <w:highlight w:val="none"/>
          <w:lang w:val="en-US" w:eastAsia="zh-CN"/>
        </w:rPr>
        <w:t>22</w:t>
      </w:r>
      <w:r>
        <w:rPr>
          <w:rFonts w:hint="eastAsia" w:ascii="仿宋_GB2312" w:hAnsi="仿宋" w:eastAsia="仿宋_GB2312"/>
          <w:sz w:val="32"/>
          <w:szCs w:val="32"/>
          <w:highlight w:val="none"/>
        </w:rPr>
        <w:t>年</w:t>
      </w:r>
      <w:r>
        <w:rPr>
          <w:rFonts w:hint="eastAsia" w:ascii="仿宋_GB2312" w:hAnsi="仿宋" w:eastAsia="仿宋_GB2312"/>
          <w:sz w:val="32"/>
          <w:szCs w:val="32"/>
          <w:highlight w:val="none"/>
          <w:lang w:eastAsia="zh-CN"/>
        </w:rPr>
        <w:t>细化的部分指标未全部完成</w:t>
      </w:r>
      <w:r>
        <w:rPr>
          <w:rFonts w:hint="eastAsia" w:ascii="仿宋_GB2312" w:hAnsi="楷体" w:eastAsia="仿宋_GB2312"/>
          <w:sz w:val="32"/>
          <w:szCs w:val="32"/>
          <w:highlight w:val="none"/>
        </w:rPr>
        <w:t>扣</w:t>
      </w:r>
      <w:r>
        <w:rPr>
          <w:rFonts w:hint="eastAsia" w:ascii="仿宋_GB2312" w:hAnsi="楷体" w:eastAsia="仿宋_GB2312"/>
          <w:sz w:val="32"/>
          <w:szCs w:val="32"/>
          <w:highlight w:val="none"/>
          <w:lang w:val="en-US" w:eastAsia="zh-CN"/>
        </w:rPr>
        <w:t>7</w:t>
      </w:r>
      <w:r>
        <w:rPr>
          <w:rFonts w:hint="eastAsia" w:ascii="仿宋_GB2312" w:hAnsi="楷体" w:eastAsia="仿宋_GB2312"/>
          <w:sz w:val="32"/>
          <w:szCs w:val="32"/>
          <w:highlight w:val="none"/>
        </w:rPr>
        <w:t>分</w:t>
      </w:r>
      <w:r>
        <w:rPr>
          <w:rFonts w:hint="eastAsia" w:ascii="仿宋_GB2312" w:hAnsi="仿宋" w:eastAsia="仿宋_GB2312"/>
          <w:sz w:val="32"/>
          <w:szCs w:val="32"/>
          <w:highlight w:val="none"/>
        </w:rPr>
        <w:t>得</w:t>
      </w:r>
      <w:r>
        <w:rPr>
          <w:rFonts w:hint="eastAsia" w:ascii="仿宋_GB2312" w:hAnsi="仿宋" w:eastAsia="仿宋_GB2312"/>
          <w:sz w:val="32"/>
          <w:szCs w:val="32"/>
          <w:highlight w:val="none"/>
          <w:lang w:val="en-US" w:eastAsia="zh-CN"/>
        </w:rPr>
        <w:t>53</w:t>
      </w:r>
      <w:r>
        <w:rPr>
          <w:rFonts w:hint="eastAsia" w:ascii="仿宋_GB2312" w:hAnsi="仿宋" w:eastAsia="仿宋_GB2312"/>
          <w:sz w:val="32"/>
          <w:szCs w:val="32"/>
          <w:highlight w:val="none"/>
        </w:rPr>
        <w:t>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hAnsi="黑体" w:eastAsia="黑体"/>
          <w:sz w:val="32"/>
          <w:szCs w:val="32"/>
        </w:rPr>
      </w:pPr>
      <w:r>
        <w:rPr>
          <w:rFonts w:hint="eastAsia" w:ascii="黑体" w:hAnsi="黑体" w:eastAsia="黑体"/>
          <w:sz w:val="32"/>
          <w:szCs w:val="32"/>
        </w:rPr>
        <w:t>四、主要经验及做法、存在的问题和建议</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（一）主要经验及做法</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1.及时安排工作经费，为项目实施做好资金保障。</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仿宋" w:eastAsia="仿宋_GB2312"/>
          <w:sz w:val="32"/>
          <w:szCs w:val="32"/>
        </w:rPr>
      </w:pPr>
      <w:r>
        <w:rPr>
          <w:rFonts w:hint="eastAsia" w:ascii="仿宋_GB2312" w:hAnsi="仿宋" w:eastAsia="仿宋_GB2312"/>
          <w:sz w:val="32"/>
          <w:szCs w:val="32"/>
        </w:rPr>
        <w:t>2.较为规范地组织工作，及时反馈，重点跟踪，确保阶段性任务能够按计划完成。</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（二）存在的问题</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部分绩效考评指标设计不合理。该项目的部分成果无法用量化指标的形式表示，在绩效考评指标的设计上，有待完善。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（三）建议和改进措施</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仿宋_GB2312" w:hAnsi="楷体" w:eastAsia="仿宋_GB2312"/>
          <w:sz w:val="32"/>
          <w:szCs w:val="32"/>
        </w:rPr>
        <w:t>建议研究制定适合专项资金的支出绩效评价共性指标，绩效管理方面需细化，指标的设计还需进一步的讨论和完善。</w:t>
      </w:r>
    </w:p>
    <w:p>
      <w:pPr>
        <w:keepNext w:val="0"/>
        <w:keepLines w:val="0"/>
        <w:pageBreakBefore w:val="0"/>
        <w:widowControl w:val="0"/>
        <w:kinsoku/>
        <w:wordWrap/>
        <w:overflowPunct/>
        <w:autoSpaceDE/>
        <w:autoSpaceDN/>
        <w:bidi w:val="0"/>
        <w:adjustRightInd/>
        <w:snapToGrid/>
        <w:spacing w:line="600" w:lineRule="exact"/>
        <w:textAlignment w:val="auto"/>
        <w:rPr>
          <w:rFonts w:eastAsia="黑体"/>
          <w:sz w:val="32"/>
          <w:szCs w:val="32"/>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rPr>
      </w:pPr>
      <w:r>
        <w:rPr>
          <w:rFonts w:hint="eastAsia" w:ascii="方正小标宋_GBK" w:eastAsia="方正小标宋_GBK"/>
          <w:sz w:val="32"/>
          <w:szCs w:val="32"/>
        </w:rPr>
        <w:t>绩效评价报告正文后附以下佐证材料</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rPr>
      </w:pP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w:t>
      </w:r>
      <w:r>
        <w:rPr>
          <w:rFonts w:hint="eastAsia"/>
          <w:sz w:val="32"/>
          <w:szCs w:val="32"/>
        </w:rPr>
        <w:t xml:space="preserve"> </w:t>
      </w:r>
      <w:r>
        <w:rPr>
          <w:rFonts w:hint="eastAsia" w:ascii="仿宋_GB2312" w:hAnsi="仿宋" w:eastAsia="仿宋_GB2312"/>
          <w:sz w:val="32"/>
          <w:szCs w:val="32"/>
        </w:rPr>
        <w:t>部门决算管理制度(财库【2013】209号）；</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.盘龙区区级财政国库集中支付银行代理业务综合考评暂行办法</w:t>
      </w:r>
      <w:r>
        <w:rPr>
          <w:rFonts w:hint="eastAsia" w:ascii="仿宋_GB2312" w:hAnsi="仿宋" w:eastAsia="仿宋_GB2312"/>
          <w:sz w:val="32"/>
          <w:szCs w:val="32"/>
          <w:lang w:eastAsia="zh-CN"/>
        </w:rPr>
        <w:t>；</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w:t>
      </w:r>
      <w:r>
        <w:rPr>
          <w:rFonts w:hint="eastAsia"/>
          <w:sz w:val="32"/>
          <w:szCs w:val="32"/>
        </w:rPr>
        <w:t xml:space="preserve"> </w:t>
      </w:r>
      <w:r>
        <w:rPr>
          <w:rFonts w:hint="eastAsia" w:ascii="仿宋_GB2312" w:hAnsi="仿宋" w:eastAsia="仿宋_GB2312"/>
          <w:sz w:val="32"/>
          <w:szCs w:val="32"/>
        </w:rPr>
        <w:t>盘龙区国库集中支付业务电子印章管理暂行办法</w:t>
      </w:r>
      <w:r>
        <w:rPr>
          <w:rFonts w:hint="eastAsia" w:ascii="仿宋_GB2312" w:hAnsi="仿宋" w:eastAsia="仿宋_GB2312"/>
          <w:sz w:val="32"/>
          <w:szCs w:val="32"/>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A6BEC"/>
    <w:rsid w:val="181C606D"/>
    <w:rsid w:val="24947709"/>
    <w:rsid w:val="26AA5D71"/>
    <w:rsid w:val="42E04252"/>
    <w:rsid w:val="49376303"/>
    <w:rsid w:val="4C6F55F9"/>
    <w:rsid w:val="4FAE2458"/>
    <w:rsid w:val="53B95DD6"/>
    <w:rsid w:val="5A504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5">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6">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2023-03-27T02:44:00Z</dcterms:created>
  <dc:creator>Administrator</dc:creator>
  <cp:lastModifiedBy>闭思维</cp:lastModifiedBy>
  <dcterms:modified xsi:type="dcterms:W3CDTF">2023-05-05T06:51:36Z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