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2200" w:lineRule="exact"/>
        <w:jc w:val="distribute"/>
        <w:rPr>
          <w:rFonts w:hint="eastAsia" w:ascii="方正小标宋简体" w:eastAsia="方正小标宋简体"/>
          <w:snapToGrid w:val="0"/>
          <w:color w:val="FF0000"/>
          <w:spacing w:val="-100"/>
          <w:w w:val="43"/>
          <w:kern w:val="0"/>
          <w:sz w:val="112"/>
          <w:szCs w:val="112"/>
        </w:rPr>
      </w:pPr>
      <w:r>
        <w:rPr>
          <w:rFonts w:hint="eastAsia" w:ascii="方正小标宋简体" w:eastAsia="方正小标宋简体"/>
          <w:snapToGrid w:val="0"/>
          <w:color w:val="FF0000"/>
          <w:spacing w:val="-20"/>
          <w:w w:val="43"/>
          <w:kern w:val="0"/>
          <w:sz w:val="112"/>
          <w:szCs w:val="112"/>
        </w:rPr>
        <w:t>中共昆明市盘龙区委</w:t>
      </w:r>
      <w:r>
        <w:rPr>
          <w:rFonts w:hint="eastAsia" w:ascii="方正小标宋简体" w:eastAsia="方正小标宋简体"/>
          <w:snapToGrid w:val="0"/>
          <w:color w:val="FF0000"/>
          <w:spacing w:val="-20"/>
          <w:w w:val="43"/>
          <w:kern w:val="0"/>
          <w:sz w:val="112"/>
          <w:szCs w:val="112"/>
          <w:lang w:val="en-US" w:eastAsia="zh-CN"/>
        </w:rPr>
        <w:t>社会工作委员会</w:t>
      </w:r>
      <w:r>
        <w:rPr>
          <w:rFonts w:hint="eastAsia" w:ascii="方正小标宋简体" w:eastAsia="方正小标宋简体"/>
          <w:snapToGrid w:val="0"/>
          <w:color w:val="FF0000"/>
          <w:spacing w:val="-20"/>
          <w:w w:val="43"/>
          <w:kern w:val="0"/>
          <w:sz w:val="112"/>
          <w:szCs w:val="112"/>
        </w:rPr>
        <w:t>文件</w:t>
      </w:r>
    </w:p>
    <w:p>
      <w:pPr>
        <w:spacing w:line="560" w:lineRule="exact"/>
        <w:jc w:val="center"/>
        <w:rPr>
          <w:rFonts w:hint="eastAsia" w:hAnsi="Times New Roman"/>
          <w:sz w:val="28"/>
          <w:szCs w:val="28"/>
        </w:rPr>
      </w:pPr>
    </w:p>
    <w:p>
      <w:pPr>
        <w:spacing w:line="560" w:lineRule="exact"/>
        <w:rPr>
          <w:szCs w:val="32"/>
        </w:rPr>
      </w:pPr>
      <w:r>
        <w:rPr>
          <w:szCs w:val="32"/>
        </w:rPr>
        <mc:AlternateContent>
          <mc:Choice Requires="wps">
            <w:drawing>
              <wp:anchor distT="0" distB="0" distL="114300" distR="114300" simplePos="0" relativeHeight="251660288" behindDoc="0" locked="0" layoutInCell="1" allowOverlap="1">
                <wp:simplePos x="0" y="0"/>
                <wp:positionH relativeFrom="column">
                  <wp:posOffset>36195</wp:posOffset>
                </wp:positionH>
                <wp:positionV relativeFrom="paragraph">
                  <wp:posOffset>1270</wp:posOffset>
                </wp:positionV>
                <wp:extent cx="5543550" cy="0"/>
                <wp:effectExtent l="0" t="9525" r="3810" b="13335"/>
                <wp:wrapNone/>
                <wp:docPr id="4" name="直接连接符 4"/>
                <wp:cNvGraphicFramePr/>
                <a:graphic xmlns:a="http://schemas.openxmlformats.org/drawingml/2006/main">
                  <a:graphicData uri="http://schemas.microsoft.com/office/word/2010/wordprocessingShape">
                    <wps:wsp>
                      <wps:cNvCnPr/>
                      <wps:spPr>
                        <a:xfrm flipV="1">
                          <a:off x="0" y="0"/>
                          <a:ext cx="5543550" cy="0"/>
                        </a:xfrm>
                        <a:prstGeom prst="line">
                          <a:avLst/>
                        </a:prstGeom>
                        <a:ln w="19050" cap="flat" cmpd="sng">
                          <a:solidFill>
                            <a:srgbClr val="FF0000"/>
                          </a:solidFill>
                          <a:prstDash val="solid"/>
                          <a:headEnd type="none" w="med" len="med"/>
                          <a:tailEnd type="none" w="med" len="med"/>
                        </a:ln>
                      </wps:spPr>
                      <wps:bodyPr upright="1"/>
                    </wps:wsp>
                  </a:graphicData>
                </a:graphic>
              </wp:anchor>
            </w:drawing>
          </mc:Choice>
          <mc:Fallback>
            <w:pict>
              <v:line id="_x0000_s1026" o:spid="_x0000_s1026" o:spt="20" style="position:absolute;left:0pt;flip:y;margin-left:2.85pt;margin-top:0.1pt;height:0pt;width:436.5pt;z-index:251660288;mso-width-relative:page;mso-height-relative:page;" filled="f" stroked="t" coordsize="21600,21600" o:gfxdata="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">
                <v:fill on="f" focussize="0,0"/>
                <v:stroke weight="1.5pt" color="#FF0000" joinstyle="round"/>
                <v:imagedata o:title=""/>
                <o:lock v:ext="edit" aspectratio="f"/>
              </v:line>
            </w:pict>
          </mc:Fallback>
        </mc:AlternateContent>
      </w: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bCs/>
          <w:sz w:val="44"/>
          <w:szCs w:val="44"/>
          <w:lang w:val="en-US" w:eastAsia="zh-CN"/>
        </w:rPr>
      </w:pPr>
      <w:r>
        <w:rPr>
          <w:rFonts w:hint="eastAsia" w:ascii="方正小标宋简体" w:hAnsi="方正小标宋简体" w:eastAsia="方正小标宋简体" w:cs="方正小标宋简体"/>
          <w:bCs/>
          <w:sz w:val="44"/>
          <w:szCs w:val="44"/>
          <w:lang w:val="en-US" w:eastAsia="zh-CN"/>
        </w:rPr>
        <w:t>中共昆明市盘龙区委社会工作委员会</w:t>
      </w: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bCs/>
          <w:sz w:val="44"/>
          <w:szCs w:val="44"/>
        </w:rPr>
      </w:pPr>
      <w:r>
        <w:rPr>
          <w:rFonts w:hint="eastAsia" w:ascii="方正小标宋简体" w:hAnsi="方正小标宋简体" w:eastAsia="方正小标宋简体" w:cs="方正小标宋简体"/>
          <w:bCs/>
          <w:sz w:val="44"/>
          <w:szCs w:val="44"/>
        </w:rPr>
        <w:t>20</w:t>
      </w:r>
      <w:r>
        <w:rPr>
          <w:rFonts w:hint="eastAsia" w:ascii="方正小标宋简体" w:hAnsi="方正小标宋简体" w:eastAsia="方正小标宋简体" w:cs="方正小标宋简体"/>
          <w:bCs/>
          <w:sz w:val="44"/>
          <w:szCs w:val="44"/>
          <w:lang w:val="en-US" w:eastAsia="zh-CN"/>
        </w:rPr>
        <w:t>22</w:t>
      </w:r>
      <w:r>
        <w:rPr>
          <w:rFonts w:hint="eastAsia" w:ascii="方正小标宋简体" w:hAnsi="方正小标宋简体" w:eastAsia="方正小标宋简体" w:cs="方正小标宋简体"/>
          <w:bCs/>
          <w:sz w:val="44"/>
          <w:szCs w:val="44"/>
        </w:rPr>
        <w:t>年部门整体支出绩效自评报</w:t>
      </w:r>
      <w:bookmarkStart w:id="0" w:name="_GoBack"/>
      <w:bookmarkEnd w:id="0"/>
      <w:r>
        <w:rPr>
          <w:rFonts w:hint="eastAsia" w:ascii="方正小标宋简体" w:hAnsi="方正小标宋简体" w:eastAsia="方正小标宋简体" w:cs="方正小标宋简体"/>
          <w:bCs/>
          <w:sz w:val="44"/>
          <w:szCs w:val="44"/>
        </w:rPr>
        <w:t>告</w:t>
      </w:r>
    </w:p>
    <w:p>
      <w:pPr>
        <w:spacing w:before="120" w:after="120" w:line="480" w:lineRule="auto"/>
        <w:jc w:val="both"/>
        <w:rPr>
          <w:rFonts w:ascii="Times New Roman" w:hAnsi="Times New Roman" w:eastAsia="黑体"/>
          <w:b/>
          <w:bCs/>
          <w:sz w:val="44"/>
          <w:szCs w:val="44"/>
        </w:rPr>
      </w:pPr>
    </w:p>
    <w:p>
      <w:pPr>
        <w:adjustRightInd w:val="0"/>
        <w:snapToGrid w:val="0"/>
        <w:spacing w:line="360" w:lineRule="auto"/>
        <w:jc w:val="both"/>
        <w:rPr>
          <w:rFonts w:hint="eastAsia" w:ascii="仿宋_GB2312" w:hAnsi="仿宋_GB2312" w:eastAsia="仿宋_GB2312" w:cs="仿宋_GB2312"/>
          <w:b/>
          <w:bCs/>
          <w:sz w:val="32"/>
          <w:szCs w:val="32"/>
        </w:rPr>
      </w:pPr>
    </w:p>
    <w:p>
      <w:pPr>
        <w:adjustRightInd w:val="0"/>
        <w:snapToGrid w:val="0"/>
        <w:spacing w:line="360" w:lineRule="auto"/>
        <w:jc w:val="center"/>
        <w:rPr>
          <w:rFonts w:hint="eastAsia" w:ascii="仿宋_GB2312" w:hAnsi="仿宋_GB2312" w:eastAsia="仿宋_GB2312" w:cs="仿宋_GB2312"/>
          <w:b/>
          <w:bCs/>
          <w:sz w:val="32"/>
          <w:szCs w:val="32"/>
          <w:u w:val="single"/>
        </w:rPr>
      </w:pPr>
      <w:r>
        <w:rPr>
          <w:rFonts w:hint="eastAsia" w:ascii="仿宋_GB2312" w:hAnsi="仿宋_GB2312" w:eastAsia="仿宋_GB2312" w:cs="仿宋_GB2312"/>
          <w:b/>
          <w:bCs/>
          <w:sz w:val="32"/>
          <w:szCs w:val="32"/>
        </w:rPr>
        <w:t>项目名称：</w:t>
      </w:r>
      <w:r>
        <w:rPr>
          <w:rFonts w:hint="eastAsia" w:ascii="仿宋_GB2312" w:hAnsi="仿宋_GB2312" w:eastAsia="仿宋_GB2312" w:cs="仿宋_GB2312"/>
          <w:b/>
          <w:bCs/>
          <w:spacing w:val="-20"/>
          <w:w w:val="90"/>
          <w:sz w:val="32"/>
          <w:szCs w:val="32"/>
          <w:u w:val="single"/>
          <w:lang w:val="en-US" w:eastAsia="zh-CN"/>
        </w:rPr>
        <w:t>中共昆明市盘龙区委社会工作委员会</w:t>
      </w:r>
      <w:r>
        <w:rPr>
          <w:rFonts w:hint="eastAsia" w:ascii="仿宋_GB2312" w:hAnsi="仿宋_GB2312" w:eastAsia="仿宋_GB2312" w:cs="仿宋_GB2312"/>
          <w:b/>
          <w:bCs/>
          <w:spacing w:val="-20"/>
          <w:w w:val="90"/>
          <w:sz w:val="32"/>
          <w:szCs w:val="32"/>
          <w:u w:val="single"/>
        </w:rPr>
        <w:t>整体支出</w:t>
      </w:r>
    </w:p>
    <w:p>
      <w:pPr>
        <w:adjustRightInd w:val="0"/>
        <w:snapToGrid w:val="0"/>
        <w:spacing w:line="360" w:lineRule="auto"/>
        <w:jc w:val="center"/>
        <w:rPr>
          <w:rFonts w:hint="eastAsia" w:ascii="仿宋_GB2312" w:hAnsi="仿宋_GB2312" w:eastAsia="仿宋_GB2312" w:cs="仿宋_GB2312"/>
          <w:b/>
          <w:bCs/>
          <w:sz w:val="32"/>
          <w:szCs w:val="32"/>
          <w:u w:val="single"/>
        </w:rPr>
      </w:pPr>
      <w:r>
        <w:rPr>
          <w:rFonts w:hint="eastAsia" w:ascii="仿宋_GB2312" w:hAnsi="仿宋_GB2312" w:eastAsia="仿宋_GB2312" w:cs="仿宋_GB2312"/>
          <w:b/>
          <w:bCs/>
          <w:sz w:val="32"/>
          <w:szCs w:val="32"/>
        </w:rPr>
        <w:t>部门名称：</w:t>
      </w:r>
      <w:r>
        <w:rPr>
          <w:rFonts w:hint="eastAsia" w:ascii="仿宋_GB2312" w:hAnsi="仿宋_GB2312" w:eastAsia="仿宋_GB2312" w:cs="仿宋_GB2312"/>
          <w:b/>
          <w:bCs/>
          <w:sz w:val="32"/>
          <w:szCs w:val="32"/>
          <w:u w:val="single"/>
          <w:lang w:val="en-US" w:eastAsia="zh-CN"/>
        </w:rPr>
        <w:t>中共昆明市盘龙区委社会工作委员会</w:t>
      </w:r>
    </w:p>
    <w:p>
      <w:pPr>
        <w:adjustRightInd w:val="0"/>
        <w:snapToGrid w:val="0"/>
        <w:spacing w:line="360" w:lineRule="auto"/>
        <w:jc w:val="center"/>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评价机构：</w:t>
      </w:r>
      <w:r>
        <w:rPr>
          <w:rFonts w:hint="eastAsia" w:ascii="仿宋_GB2312" w:hAnsi="仿宋_GB2312" w:eastAsia="仿宋_GB2312" w:cs="仿宋_GB2312"/>
          <w:b/>
          <w:bCs/>
          <w:sz w:val="32"/>
          <w:szCs w:val="32"/>
          <w:u w:val="single"/>
          <w:lang w:val="en-US" w:eastAsia="zh-CN"/>
        </w:rPr>
        <w:t>中共昆明市盘龙区委社会工作委员会</w:t>
      </w:r>
    </w:p>
    <w:p>
      <w:pPr>
        <w:adjustRightInd w:val="0"/>
        <w:snapToGrid w:val="0"/>
        <w:spacing w:line="360" w:lineRule="auto"/>
        <w:ind w:left="1260" w:leftChars="600"/>
        <w:rPr>
          <w:rFonts w:ascii="Times New Roman" w:hAnsi="Times New Roman" w:eastAsia="黑体"/>
          <w:b/>
          <w:bCs/>
          <w:sz w:val="28"/>
          <w:szCs w:val="28"/>
        </w:rPr>
      </w:pPr>
    </w:p>
    <w:p>
      <w:pPr>
        <w:spacing w:line="360" w:lineRule="auto"/>
        <w:ind w:left="1218" w:leftChars="580"/>
        <w:rPr>
          <w:rFonts w:ascii="Times New Roman" w:hAnsi="Times New Roman" w:eastAsia="黑体"/>
          <w:b/>
          <w:bCs/>
          <w:sz w:val="28"/>
          <w:szCs w:val="28"/>
        </w:rPr>
      </w:pPr>
    </w:p>
    <w:p>
      <w:pPr>
        <w:spacing w:line="360" w:lineRule="auto"/>
        <w:ind w:left="1218" w:leftChars="580"/>
        <w:rPr>
          <w:rFonts w:ascii="Times New Roman" w:hAnsi="Times New Roman" w:eastAsia="黑体"/>
          <w:b/>
          <w:bCs/>
          <w:sz w:val="28"/>
          <w:szCs w:val="28"/>
        </w:rPr>
      </w:pPr>
    </w:p>
    <w:p>
      <w:pPr>
        <w:spacing w:line="360" w:lineRule="auto"/>
        <w:ind w:left="1218" w:leftChars="580"/>
        <w:rPr>
          <w:rFonts w:ascii="Times New Roman" w:hAnsi="Times New Roman" w:eastAsia="黑体"/>
          <w:b/>
          <w:bCs/>
          <w:sz w:val="28"/>
          <w:szCs w:val="28"/>
        </w:rPr>
      </w:pPr>
    </w:p>
    <w:p>
      <w:pPr>
        <w:spacing w:line="360" w:lineRule="auto"/>
        <w:ind w:left="1218" w:leftChars="580"/>
        <w:rPr>
          <w:rFonts w:ascii="Times New Roman" w:hAnsi="Times New Roman" w:eastAsia="黑体"/>
          <w:b/>
          <w:bCs/>
          <w:sz w:val="28"/>
          <w:szCs w:val="28"/>
        </w:rPr>
      </w:pPr>
    </w:p>
    <w:p>
      <w:pPr>
        <w:spacing w:line="360" w:lineRule="auto"/>
        <w:rPr>
          <w:rFonts w:ascii="Times New Roman" w:hAnsi="Times New Roman" w:eastAsia="黑体"/>
          <w:b/>
          <w:bCs/>
          <w:sz w:val="28"/>
          <w:szCs w:val="28"/>
        </w:rPr>
      </w:pPr>
    </w:p>
    <w:p>
      <w:pPr>
        <w:pStyle w:val="7"/>
        <w:widowControl w:val="0"/>
        <w:spacing w:after="0" w:line="360" w:lineRule="auto"/>
        <w:jc w:val="both"/>
        <w:rPr>
          <w:rFonts w:ascii="Times New Roman" w:hAnsi="Times New Roman" w:eastAsia="黑体"/>
          <w:b/>
          <w:bCs/>
          <w:sz w:val="28"/>
          <w:szCs w:val="28"/>
        </w:rPr>
      </w:pPr>
    </w:p>
    <w:p>
      <w:pPr>
        <w:pStyle w:val="7"/>
        <w:widowControl w:val="0"/>
        <w:spacing w:after="0" w:line="360" w:lineRule="auto"/>
        <w:jc w:val="both"/>
        <w:rPr>
          <w:rFonts w:ascii="Times New Roman" w:hAnsi="Times New Roman" w:eastAsia="黑体"/>
          <w:b/>
          <w:bCs/>
          <w:sz w:val="28"/>
          <w:szCs w:val="28"/>
        </w:rPr>
      </w:pPr>
    </w:p>
    <w:p>
      <w:pPr>
        <w:pStyle w:val="7"/>
        <w:widowControl w:val="0"/>
        <w:spacing w:after="0" w:line="360" w:lineRule="auto"/>
        <w:jc w:val="center"/>
        <w:rPr>
          <w:rFonts w:hint="eastAsia" w:ascii="Times New Roman" w:hAnsi="Times New Roman" w:eastAsia="黑体" w:cs="黑体"/>
          <w:b/>
          <w:bCs/>
          <w:sz w:val="28"/>
          <w:szCs w:val="28"/>
        </w:rPr>
      </w:pPr>
      <w:r>
        <w:rPr>
          <w:rFonts w:ascii="Times New Roman" w:hAnsi="Times New Roman" w:eastAsia="黑体"/>
          <w:b/>
          <w:bCs/>
          <w:sz w:val="28"/>
          <w:szCs w:val="28"/>
        </w:rPr>
        <w:t>20</w:t>
      </w:r>
      <w:r>
        <w:rPr>
          <w:rFonts w:hint="eastAsia" w:ascii="Times New Roman" w:hAnsi="Times New Roman" w:eastAsia="黑体"/>
          <w:b/>
          <w:bCs/>
          <w:sz w:val="28"/>
          <w:szCs w:val="28"/>
          <w:lang w:val="en-US" w:eastAsia="zh-CN"/>
        </w:rPr>
        <w:t>23</w:t>
      </w:r>
      <w:r>
        <w:rPr>
          <w:rFonts w:hint="eastAsia" w:ascii="Times New Roman" w:hAnsi="Times New Roman" w:eastAsia="黑体" w:cs="黑体"/>
          <w:b/>
          <w:bCs/>
          <w:sz w:val="28"/>
          <w:szCs w:val="28"/>
        </w:rPr>
        <w:t>年</w:t>
      </w:r>
      <w:r>
        <w:rPr>
          <w:rFonts w:hint="eastAsia" w:ascii="Times New Roman" w:hAnsi="Times New Roman" w:eastAsia="黑体"/>
          <w:b/>
          <w:bCs/>
          <w:sz w:val="28"/>
          <w:szCs w:val="28"/>
          <w:lang w:val="en-US" w:eastAsia="zh-CN"/>
        </w:rPr>
        <w:t>4</w:t>
      </w:r>
      <w:r>
        <w:rPr>
          <w:rFonts w:hint="eastAsia" w:ascii="Times New Roman" w:hAnsi="Times New Roman" w:eastAsia="黑体" w:cs="黑体"/>
          <w:b/>
          <w:bCs/>
          <w:sz w:val="28"/>
          <w:szCs w:val="28"/>
        </w:rPr>
        <w:t>月</w:t>
      </w:r>
    </w:p>
    <w:p>
      <w:pPr>
        <w:pStyle w:val="7"/>
        <w:widowControl w:val="0"/>
        <w:spacing w:after="0" w:line="360" w:lineRule="auto"/>
        <w:ind w:firstLine="240" w:firstLineChars="100"/>
        <w:jc w:val="both"/>
        <w:rPr>
          <w:rFonts w:hint="eastAsia" w:ascii="Times New Roman" w:hAnsi="Times New Roman" w:eastAsia="黑体" w:cs="黑体"/>
          <w:kern w:val="2"/>
          <w:sz w:val="24"/>
          <w:szCs w:val="24"/>
          <w:lang w:val="zh-TW" w:eastAsia="zh-TW"/>
        </w:rPr>
      </w:pPr>
    </w:p>
    <w:p>
      <w:pPr>
        <w:pStyle w:val="7"/>
        <w:widowControl w:val="0"/>
        <w:spacing w:after="0" w:line="360" w:lineRule="auto"/>
        <w:ind w:firstLine="240" w:firstLineChars="100"/>
        <w:jc w:val="both"/>
        <w:rPr>
          <w:rFonts w:hint="eastAsia" w:ascii="Times New Roman" w:hAnsi="Times New Roman" w:eastAsia="黑体" w:cs="黑体"/>
          <w:kern w:val="2"/>
          <w:sz w:val="24"/>
          <w:szCs w:val="24"/>
          <w:lang w:val="zh-TW" w:eastAsia="zh-TW"/>
        </w:rPr>
      </w:pPr>
    </w:p>
    <w:p>
      <w:pPr>
        <w:pStyle w:val="7"/>
        <w:widowControl w:val="0"/>
        <w:spacing w:after="0" w:line="360" w:lineRule="auto"/>
        <w:ind w:firstLine="240" w:firstLineChars="100"/>
        <w:jc w:val="both"/>
        <w:rPr>
          <w:rFonts w:ascii="Times New Roman" w:hAnsi="Times New Roman" w:eastAsia="黑体" w:cs="黑体"/>
          <w:b/>
          <w:bCs/>
          <w:sz w:val="28"/>
          <w:szCs w:val="28"/>
        </w:rPr>
      </w:pPr>
      <w:r>
        <w:rPr>
          <w:rFonts w:hint="eastAsia" w:ascii="Times New Roman" w:hAnsi="Times New Roman" w:eastAsia="黑体" w:cs="黑体"/>
          <w:kern w:val="2"/>
          <w:sz w:val="24"/>
          <w:szCs w:val="24"/>
          <w:lang w:val="zh-TW" w:eastAsia="zh-TW"/>
        </w:rPr>
        <w:t>评价小组成员：</w:t>
      </w:r>
    </w:p>
    <w:tbl>
      <w:tblPr>
        <w:tblStyle w:val="5"/>
        <w:tblpPr w:leftFromText="180" w:rightFromText="180" w:vertAnchor="text" w:horzAnchor="page" w:tblpXSpec="center" w:tblpY="18"/>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620"/>
        <w:gridCol w:w="1620"/>
        <w:gridCol w:w="1567"/>
        <w:gridCol w:w="1794"/>
        <w:gridCol w:w="150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20" w:type="dxa"/>
            <w:noWrap w:val="0"/>
            <w:vAlign w:val="center"/>
          </w:tcPr>
          <w:p>
            <w:pPr>
              <w:pStyle w:val="7"/>
              <w:widowControl w:val="0"/>
              <w:spacing w:after="0" w:line="360" w:lineRule="auto"/>
              <w:jc w:val="center"/>
              <w:rPr>
                <w:rFonts w:hint="eastAsia" w:ascii="仿宋_GB2312" w:hAnsi="仿宋_GB2312" w:eastAsia="仿宋_GB2312" w:cs="仿宋_GB2312"/>
                <w:kern w:val="2"/>
                <w:sz w:val="24"/>
                <w:szCs w:val="24"/>
                <w:lang w:val="zh-TW"/>
              </w:rPr>
            </w:pPr>
            <w:r>
              <w:rPr>
                <w:rFonts w:hint="eastAsia" w:ascii="仿宋_GB2312" w:hAnsi="仿宋_GB2312" w:eastAsia="仿宋_GB2312" w:cs="仿宋_GB2312"/>
                <w:kern w:val="2"/>
                <w:sz w:val="24"/>
                <w:szCs w:val="24"/>
                <w:lang w:val="zh-TW"/>
              </w:rPr>
              <w:t>评价小组</w:t>
            </w:r>
          </w:p>
          <w:p>
            <w:pPr>
              <w:pStyle w:val="7"/>
              <w:widowControl w:val="0"/>
              <w:spacing w:after="0" w:line="360" w:lineRule="auto"/>
              <w:jc w:val="center"/>
              <w:rPr>
                <w:rFonts w:hint="eastAsia" w:ascii="仿宋_GB2312" w:hAnsi="仿宋_GB2312" w:eastAsia="仿宋_GB2312" w:cs="仿宋_GB2312"/>
                <w:kern w:val="2"/>
                <w:sz w:val="24"/>
                <w:szCs w:val="24"/>
                <w:lang w:val="zh-TW"/>
              </w:rPr>
            </w:pPr>
            <w:r>
              <w:rPr>
                <w:rFonts w:hint="eastAsia" w:ascii="仿宋_GB2312" w:hAnsi="仿宋_GB2312" w:eastAsia="仿宋_GB2312" w:cs="仿宋_GB2312"/>
                <w:kern w:val="2"/>
                <w:sz w:val="24"/>
                <w:szCs w:val="24"/>
                <w:lang w:val="zh-TW"/>
              </w:rPr>
              <w:t>机构职位</w:t>
            </w:r>
          </w:p>
        </w:tc>
        <w:tc>
          <w:tcPr>
            <w:tcW w:w="1620" w:type="dxa"/>
            <w:noWrap w:val="0"/>
            <w:vAlign w:val="center"/>
          </w:tcPr>
          <w:p>
            <w:pPr>
              <w:pStyle w:val="7"/>
              <w:widowControl w:val="0"/>
              <w:spacing w:after="0" w:line="360" w:lineRule="auto"/>
              <w:jc w:val="center"/>
              <w:rPr>
                <w:rFonts w:hint="eastAsia" w:ascii="仿宋_GB2312" w:hAnsi="仿宋_GB2312" w:eastAsia="仿宋_GB2312" w:cs="仿宋_GB2312"/>
                <w:kern w:val="2"/>
                <w:sz w:val="24"/>
                <w:szCs w:val="24"/>
                <w:lang w:val="en-US" w:eastAsia="zh-CN"/>
              </w:rPr>
            </w:pPr>
            <w:r>
              <w:rPr>
                <w:rFonts w:hint="eastAsia" w:ascii="仿宋_GB2312" w:hAnsi="仿宋_GB2312" w:eastAsia="仿宋_GB2312" w:cs="仿宋_GB2312"/>
                <w:kern w:val="2"/>
                <w:sz w:val="24"/>
                <w:szCs w:val="24"/>
                <w:lang w:val="zh-TW"/>
              </w:rPr>
              <w:t>姓名</w:t>
            </w:r>
          </w:p>
        </w:tc>
        <w:tc>
          <w:tcPr>
            <w:tcW w:w="1567" w:type="dxa"/>
            <w:noWrap w:val="0"/>
            <w:vAlign w:val="center"/>
          </w:tcPr>
          <w:p>
            <w:pPr>
              <w:pStyle w:val="7"/>
              <w:widowControl w:val="0"/>
              <w:spacing w:after="0" w:line="360" w:lineRule="auto"/>
              <w:jc w:val="center"/>
              <w:rPr>
                <w:rFonts w:hint="eastAsia" w:ascii="仿宋_GB2312" w:hAnsi="仿宋_GB2312" w:eastAsia="仿宋_GB2312" w:cs="仿宋_GB2312"/>
                <w:kern w:val="2"/>
                <w:sz w:val="24"/>
                <w:szCs w:val="24"/>
                <w:lang w:val="en-US" w:eastAsia="zh-CN"/>
              </w:rPr>
            </w:pPr>
            <w:r>
              <w:rPr>
                <w:rFonts w:hint="eastAsia" w:ascii="仿宋_GB2312" w:hAnsi="仿宋_GB2312" w:eastAsia="仿宋_GB2312" w:cs="仿宋_GB2312"/>
                <w:kern w:val="2"/>
                <w:sz w:val="24"/>
                <w:szCs w:val="24"/>
                <w:lang w:val="zh-TW"/>
              </w:rPr>
              <w:t>职务/职称</w:t>
            </w:r>
          </w:p>
        </w:tc>
        <w:tc>
          <w:tcPr>
            <w:tcW w:w="1794" w:type="dxa"/>
            <w:noWrap w:val="0"/>
            <w:vAlign w:val="center"/>
          </w:tcPr>
          <w:p>
            <w:pPr>
              <w:pStyle w:val="7"/>
              <w:widowControl w:val="0"/>
              <w:spacing w:after="0" w:line="360" w:lineRule="auto"/>
              <w:jc w:val="center"/>
              <w:rPr>
                <w:rFonts w:hint="eastAsia" w:ascii="仿宋_GB2312" w:hAnsi="仿宋_GB2312" w:eastAsia="仿宋_GB2312" w:cs="仿宋_GB2312"/>
                <w:kern w:val="2"/>
                <w:sz w:val="24"/>
                <w:szCs w:val="24"/>
                <w:lang w:val="zh-TW"/>
              </w:rPr>
            </w:pPr>
            <w:r>
              <w:rPr>
                <w:rFonts w:hint="eastAsia" w:ascii="仿宋_GB2312" w:hAnsi="仿宋_GB2312" w:eastAsia="仿宋_GB2312" w:cs="仿宋_GB2312"/>
                <w:kern w:val="2"/>
                <w:sz w:val="24"/>
                <w:szCs w:val="24"/>
                <w:lang w:val="zh-TW"/>
              </w:rPr>
              <w:t>所属</w:t>
            </w:r>
          </w:p>
          <w:p>
            <w:pPr>
              <w:pStyle w:val="7"/>
              <w:widowControl w:val="0"/>
              <w:spacing w:after="0" w:line="360" w:lineRule="auto"/>
              <w:jc w:val="center"/>
              <w:rPr>
                <w:rFonts w:hint="eastAsia" w:ascii="仿宋_GB2312" w:hAnsi="仿宋_GB2312" w:eastAsia="仿宋_GB2312" w:cs="仿宋_GB2312"/>
                <w:kern w:val="2"/>
                <w:sz w:val="24"/>
                <w:szCs w:val="24"/>
                <w:lang w:val="en-US" w:eastAsia="zh-CN"/>
              </w:rPr>
            </w:pPr>
            <w:r>
              <w:rPr>
                <w:rFonts w:hint="eastAsia" w:ascii="仿宋_GB2312" w:hAnsi="仿宋_GB2312" w:eastAsia="仿宋_GB2312" w:cs="仿宋_GB2312"/>
                <w:kern w:val="2"/>
                <w:sz w:val="24"/>
                <w:szCs w:val="24"/>
                <w:lang w:val="zh-TW"/>
              </w:rPr>
              <w:t>单位/处室</w:t>
            </w:r>
          </w:p>
        </w:tc>
        <w:tc>
          <w:tcPr>
            <w:tcW w:w="1501" w:type="dxa"/>
            <w:noWrap w:val="0"/>
            <w:vAlign w:val="center"/>
          </w:tcPr>
          <w:p>
            <w:pPr>
              <w:pStyle w:val="7"/>
              <w:widowControl w:val="0"/>
              <w:spacing w:after="0" w:line="360" w:lineRule="auto"/>
              <w:jc w:val="center"/>
              <w:rPr>
                <w:rFonts w:hint="eastAsia" w:ascii="仿宋_GB2312" w:hAnsi="仿宋_GB2312" w:eastAsia="仿宋_GB2312" w:cs="仿宋_GB2312"/>
                <w:kern w:val="2"/>
                <w:sz w:val="24"/>
                <w:szCs w:val="24"/>
                <w:lang w:val="zh-TW" w:eastAsia="zh-TW"/>
              </w:rPr>
            </w:pPr>
            <w:r>
              <w:rPr>
                <w:rFonts w:hint="eastAsia" w:ascii="仿宋_GB2312" w:hAnsi="仿宋_GB2312" w:eastAsia="仿宋_GB2312" w:cs="仿宋_GB2312"/>
                <w:kern w:val="2"/>
                <w:sz w:val="24"/>
                <w:szCs w:val="24"/>
                <w:lang w:val="zh-TW"/>
              </w:rPr>
              <w:t>签字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6" w:hRule="atLeast"/>
          <w:jc w:val="center"/>
        </w:trPr>
        <w:tc>
          <w:tcPr>
            <w:tcW w:w="1620" w:type="dxa"/>
            <w:noWrap w:val="0"/>
            <w:vAlign w:val="center"/>
          </w:tcPr>
          <w:p>
            <w:pPr>
              <w:pStyle w:val="7"/>
              <w:widowControl w:val="0"/>
              <w:spacing w:after="0" w:line="360" w:lineRule="auto"/>
              <w:jc w:val="center"/>
              <w:rPr>
                <w:rFonts w:hint="eastAsia" w:ascii="仿宋_GB2312" w:hAnsi="仿宋_GB2312" w:eastAsia="仿宋_GB2312" w:cs="仿宋_GB2312"/>
                <w:kern w:val="2"/>
                <w:sz w:val="24"/>
                <w:szCs w:val="24"/>
                <w:lang w:val="zh-TW"/>
              </w:rPr>
            </w:pPr>
            <w:r>
              <w:rPr>
                <w:rFonts w:hint="eastAsia" w:ascii="仿宋_GB2312" w:hAnsi="仿宋_GB2312" w:eastAsia="仿宋_GB2312" w:cs="仿宋_GB2312"/>
                <w:kern w:val="2"/>
                <w:sz w:val="24"/>
                <w:szCs w:val="24"/>
                <w:lang w:val="zh-TW"/>
              </w:rPr>
              <w:t>组</w:t>
            </w:r>
            <w:r>
              <w:rPr>
                <w:rFonts w:hint="eastAsia" w:ascii="仿宋_GB2312" w:hAnsi="仿宋_GB2312" w:eastAsia="仿宋_GB2312" w:cs="仿宋_GB2312"/>
                <w:kern w:val="2"/>
                <w:sz w:val="24"/>
                <w:szCs w:val="24"/>
                <w:lang w:val="en-US" w:eastAsia="zh-CN"/>
              </w:rPr>
              <w:t xml:space="preserve">  </w:t>
            </w:r>
            <w:r>
              <w:rPr>
                <w:rFonts w:hint="eastAsia" w:ascii="仿宋_GB2312" w:hAnsi="仿宋_GB2312" w:eastAsia="仿宋_GB2312" w:cs="仿宋_GB2312"/>
                <w:kern w:val="2"/>
                <w:sz w:val="24"/>
                <w:szCs w:val="24"/>
                <w:lang w:val="zh-TW"/>
              </w:rPr>
              <w:t>长</w:t>
            </w:r>
          </w:p>
        </w:tc>
        <w:tc>
          <w:tcPr>
            <w:tcW w:w="1620" w:type="dxa"/>
            <w:noWrap w:val="0"/>
            <w:vAlign w:val="top"/>
          </w:tcPr>
          <w:p>
            <w:pPr>
              <w:pStyle w:val="7"/>
              <w:widowControl w:val="0"/>
              <w:spacing w:after="0" w:line="360" w:lineRule="auto"/>
              <w:jc w:val="center"/>
              <w:rPr>
                <w:rFonts w:hint="eastAsia" w:ascii="仿宋_GB2312" w:hAnsi="仿宋_GB2312" w:eastAsia="仿宋_GB2312" w:cs="仿宋_GB2312"/>
                <w:kern w:val="2"/>
                <w:sz w:val="24"/>
                <w:szCs w:val="24"/>
                <w:lang w:val="en-US" w:eastAsia="zh-CN"/>
              </w:rPr>
            </w:pPr>
            <w:r>
              <w:rPr>
                <w:rFonts w:hint="eastAsia" w:ascii="仿宋_GB2312" w:hAnsi="仿宋_GB2312" w:eastAsia="仿宋_GB2312" w:cs="仿宋_GB2312"/>
                <w:kern w:val="2"/>
                <w:sz w:val="24"/>
                <w:szCs w:val="24"/>
                <w:lang w:val="en-US" w:eastAsia="zh-CN"/>
              </w:rPr>
              <w:t>袁  松</w:t>
            </w:r>
          </w:p>
        </w:tc>
        <w:tc>
          <w:tcPr>
            <w:tcW w:w="1567" w:type="dxa"/>
            <w:noWrap w:val="0"/>
            <w:vAlign w:val="top"/>
          </w:tcPr>
          <w:p>
            <w:pPr>
              <w:pStyle w:val="7"/>
              <w:widowControl w:val="0"/>
              <w:spacing w:after="0" w:line="360" w:lineRule="auto"/>
              <w:jc w:val="center"/>
              <w:rPr>
                <w:rFonts w:hint="eastAsia" w:ascii="仿宋_GB2312" w:hAnsi="仿宋_GB2312" w:eastAsia="仿宋_GB2312" w:cs="仿宋_GB2312"/>
                <w:kern w:val="2"/>
                <w:sz w:val="24"/>
                <w:szCs w:val="24"/>
                <w:lang w:val="en-US" w:eastAsia="zh-CN"/>
              </w:rPr>
            </w:pPr>
            <w:r>
              <w:rPr>
                <w:rFonts w:hint="eastAsia" w:ascii="仿宋_GB2312" w:hAnsi="仿宋_GB2312" w:eastAsia="仿宋_GB2312" w:cs="仿宋_GB2312"/>
                <w:kern w:val="2"/>
                <w:sz w:val="24"/>
                <w:szCs w:val="24"/>
                <w:lang w:val="en-US" w:eastAsia="zh-CN"/>
              </w:rPr>
              <w:t>常务副书记</w:t>
            </w:r>
          </w:p>
        </w:tc>
        <w:tc>
          <w:tcPr>
            <w:tcW w:w="1794" w:type="dxa"/>
            <w:noWrap w:val="0"/>
            <w:vAlign w:val="top"/>
          </w:tcPr>
          <w:p>
            <w:pPr>
              <w:pStyle w:val="7"/>
              <w:widowControl w:val="0"/>
              <w:spacing w:after="0" w:line="360" w:lineRule="auto"/>
              <w:jc w:val="both"/>
              <w:rPr>
                <w:rFonts w:hint="eastAsia" w:ascii="仿宋_GB2312" w:hAnsi="仿宋_GB2312" w:eastAsia="仿宋_GB2312" w:cs="仿宋_GB2312"/>
                <w:kern w:val="2"/>
                <w:sz w:val="24"/>
                <w:szCs w:val="24"/>
                <w:lang w:val="en-US" w:eastAsia="zh-CN"/>
              </w:rPr>
            </w:pPr>
            <w:r>
              <w:rPr>
                <w:rFonts w:hint="eastAsia" w:ascii="仿宋_GB2312" w:hAnsi="仿宋_GB2312" w:eastAsia="仿宋_GB2312" w:cs="仿宋_GB2312"/>
                <w:kern w:val="2"/>
                <w:sz w:val="24"/>
                <w:szCs w:val="24"/>
                <w:lang w:val="en-US" w:eastAsia="zh-CN"/>
              </w:rPr>
              <w:t>区委社会工委</w:t>
            </w:r>
          </w:p>
        </w:tc>
        <w:tc>
          <w:tcPr>
            <w:tcW w:w="1501" w:type="dxa"/>
            <w:noWrap w:val="0"/>
            <w:vAlign w:val="top"/>
          </w:tcPr>
          <w:p>
            <w:pPr>
              <w:pStyle w:val="7"/>
              <w:widowControl w:val="0"/>
              <w:spacing w:after="0" w:line="360" w:lineRule="auto"/>
              <w:jc w:val="center"/>
              <w:rPr>
                <w:rFonts w:hint="eastAsia" w:ascii="仿宋_GB2312" w:hAnsi="仿宋_GB2312" w:eastAsia="仿宋_GB2312" w:cs="仿宋_GB2312"/>
                <w:kern w:val="2"/>
                <w:sz w:val="24"/>
                <w:szCs w:val="24"/>
                <w:lang w:val="zh-TW" w:eastAsia="zh-TW"/>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20" w:type="dxa"/>
            <w:noWrap w:val="0"/>
            <w:vAlign w:val="center"/>
          </w:tcPr>
          <w:p>
            <w:pPr>
              <w:pStyle w:val="7"/>
              <w:widowControl w:val="0"/>
              <w:spacing w:after="0" w:line="360" w:lineRule="auto"/>
              <w:jc w:val="center"/>
              <w:rPr>
                <w:rFonts w:hint="eastAsia" w:ascii="仿宋_GB2312" w:hAnsi="仿宋_GB2312" w:eastAsia="仿宋_GB2312" w:cs="仿宋_GB2312"/>
                <w:kern w:val="2"/>
                <w:sz w:val="24"/>
                <w:szCs w:val="24"/>
                <w:lang w:val="zh-TW"/>
              </w:rPr>
            </w:pPr>
            <w:r>
              <w:rPr>
                <w:rFonts w:hint="eastAsia" w:ascii="仿宋_GB2312" w:hAnsi="仿宋_GB2312" w:eastAsia="仿宋_GB2312" w:cs="仿宋_GB2312"/>
                <w:kern w:val="2"/>
                <w:sz w:val="24"/>
                <w:szCs w:val="24"/>
                <w:lang w:val="zh-TW"/>
              </w:rPr>
              <w:t>副组长</w:t>
            </w:r>
          </w:p>
        </w:tc>
        <w:tc>
          <w:tcPr>
            <w:tcW w:w="1620" w:type="dxa"/>
            <w:noWrap w:val="0"/>
            <w:vAlign w:val="top"/>
          </w:tcPr>
          <w:p>
            <w:pPr>
              <w:pStyle w:val="7"/>
              <w:widowControl w:val="0"/>
              <w:spacing w:after="0" w:line="360" w:lineRule="auto"/>
              <w:jc w:val="center"/>
              <w:rPr>
                <w:rFonts w:hint="eastAsia" w:ascii="仿宋_GB2312" w:hAnsi="仿宋_GB2312" w:eastAsia="仿宋_GB2312" w:cs="仿宋_GB2312"/>
                <w:kern w:val="2"/>
                <w:sz w:val="24"/>
                <w:szCs w:val="24"/>
                <w:lang w:val="en-US" w:eastAsia="zh-CN"/>
              </w:rPr>
            </w:pPr>
            <w:r>
              <w:rPr>
                <w:rFonts w:hint="eastAsia" w:ascii="仿宋_GB2312" w:hAnsi="仿宋_GB2312" w:eastAsia="仿宋_GB2312" w:cs="仿宋_GB2312"/>
                <w:kern w:val="2"/>
                <w:sz w:val="24"/>
                <w:szCs w:val="24"/>
                <w:lang w:val="en-US" w:eastAsia="zh-CN"/>
              </w:rPr>
              <w:t>廖  敏</w:t>
            </w:r>
          </w:p>
        </w:tc>
        <w:tc>
          <w:tcPr>
            <w:tcW w:w="1567" w:type="dxa"/>
            <w:noWrap w:val="0"/>
            <w:vAlign w:val="top"/>
          </w:tcPr>
          <w:p>
            <w:pPr>
              <w:pStyle w:val="7"/>
              <w:widowControl w:val="0"/>
              <w:spacing w:after="0" w:line="360" w:lineRule="auto"/>
              <w:jc w:val="center"/>
              <w:rPr>
                <w:rFonts w:hint="eastAsia" w:ascii="仿宋_GB2312" w:hAnsi="仿宋_GB2312" w:eastAsia="仿宋_GB2312" w:cs="仿宋_GB2312"/>
                <w:kern w:val="2"/>
                <w:sz w:val="24"/>
                <w:szCs w:val="24"/>
                <w:lang w:val="en-US" w:eastAsia="zh-CN"/>
              </w:rPr>
            </w:pPr>
            <w:r>
              <w:rPr>
                <w:rFonts w:hint="eastAsia" w:ascii="仿宋_GB2312" w:hAnsi="仿宋_GB2312" w:eastAsia="仿宋_GB2312" w:cs="仿宋_GB2312"/>
                <w:kern w:val="2"/>
                <w:sz w:val="24"/>
                <w:szCs w:val="24"/>
                <w:lang w:val="en-US" w:eastAsia="zh-CN"/>
              </w:rPr>
              <w:t>副书记</w:t>
            </w:r>
          </w:p>
        </w:tc>
        <w:tc>
          <w:tcPr>
            <w:tcW w:w="1794" w:type="dxa"/>
            <w:noWrap w:val="0"/>
            <w:vAlign w:val="top"/>
          </w:tcPr>
          <w:p>
            <w:pPr>
              <w:widowControl w:val="0"/>
              <w:spacing w:after="0" w:line="360" w:lineRule="auto"/>
              <w:jc w:val="both"/>
              <w:rPr>
                <w:rFonts w:hint="eastAsia" w:ascii="仿宋_GB2312" w:hAnsi="仿宋_GB2312" w:eastAsia="仿宋_GB2312" w:cs="仿宋_GB2312"/>
                <w:kern w:val="2"/>
                <w:sz w:val="24"/>
                <w:szCs w:val="24"/>
                <w:lang w:val="zh-TW" w:eastAsia="zh-TW"/>
              </w:rPr>
            </w:pPr>
            <w:r>
              <w:rPr>
                <w:rFonts w:hint="eastAsia" w:ascii="仿宋_GB2312" w:hAnsi="仿宋_GB2312" w:eastAsia="仿宋_GB2312" w:cs="仿宋_GB2312"/>
                <w:kern w:val="2"/>
                <w:sz w:val="24"/>
                <w:szCs w:val="24"/>
                <w:lang w:val="en-US" w:eastAsia="zh-CN"/>
              </w:rPr>
              <w:t>区委社会工委</w:t>
            </w:r>
          </w:p>
        </w:tc>
        <w:tc>
          <w:tcPr>
            <w:tcW w:w="1501" w:type="dxa"/>
            <w:noWrap w:val="0"/>
            <w:vAlign w:val="top"/>
          </w:tcPr>
          <w:p>
            <w:pPr>
              <w:pStyle w:val="7"/>
              <w:widowControl w:val="0"/>
              <w:spacing w:after="0" w:line="360" w:lineRule="auto"/>
              <w:jc w:val="both"/>
              <w:rPr>
                <w:rFonts w:hint="eastAsia" w:ascii="仿宋_GB2312" w:hAnsi="仿宋_GB2312" w:eastAsia="仿宋_GB2312" w:cs="仿宋_GB2312"/>
                <w:kern w:val="2"/>
                <w:sz w:val="24"/>
                <w:szCs w:val="24"/>
                <w:lang w:val="zh-TW" w:eastAsia="zh-TW"/>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20" w:type="dxa"/>
            <w:noWrap w:val="0"/>
            <w:vAlign w:val="center"/>
          </w:tcPr>
          <w:p>
            <w:pPr>
              <w:pStyle w:val="7"/>
              <w:widowControl w:val="0"/>
              <w:spacing w:after="0" w:line="360" w:lineRule="auto"/>
              <w:jc w:val="center"/>
              <w:rPr>
                <w:rFonts w:hint="eastAsia" w:ascii="仿宋_GB2312" w:hAnsi="仿宋_GB2312" w:eastAsia="仿宋_GB2312" w:cs="仿宋_GB2312"/>
                <w:kern w:val="2"/>
                <w:sz w:val="24"/>
                <w:szCs w:val="24"/>
                <w:lang w:val="zh-TW"/>
              </w:rPr>
            </w:pPr>
            <w:r>
              <w:rPr>
                <w:rFonts w:hint="eastAsia" w:ascii="仿宋_GB2312" w:hAnsi="仿宋_GB2312" w:eastAsia="仿宋_GB2312" w:cs="仿宋_GB2312"/>
                <w:kern w:val="2"/>
                <w:sz w:val="24"/>
                <w:szCs w:val="24"/>
                <w:lang w:val="zh-TW"/>
              </w:rPr>
              <w:t>成</w:t>
            </w:r>
            <w:r>
              <w:rPr>
                <w:rFonts w:hint="eastAsia" w:ascii="仿宋_GB2312" w:hAnsi="仿宋_GB2312" w:eastAsia="仿宋_GB2312" w:cs="仿宋_GB2312"/>
                <w:kern w:val="2"/>
                <w:sz w:val="24"/>
                <w:szCs w:val="24"/>
                <w:lang w:val="en-US" w:eastAsia="zh-CN"/>
              </w:rPr>
              <w:t xml:space="preserve">   </w:t>
            </w:r>
            <w:r>
              <w:rPr>
                <w:rFonts w:hint="eastAsia" w:ascii="仿宋_GB2312" w:hAnsi="仿宋_GB2312" w:eastAsia="仿宋_GB2312" w:cs="仿宋_GB2312"/>
                <w:kern w:val="2"/>
                <w:sz w:val="24"/>
                <w:szCs w:val="24"/>
                <w:lang w:val="zh-TW"/>
              </w:rPr>
              <w:t>员</w:t>
            </w:r>
          </w:p>
        </w:tc>
        <w:tc>
          <w:tcPr>
            <w:tcW w:w="1620" w:type="dxa"/>
            <w:noWrap w:val="0"/>
            <w:vAlign w:val="center"/>
          </w:tcPr>
          <w:p>
            <w:pPr>
              <w:pStyle w:val="7"/>
              <w:widowControl w:val="0"/>
              <w:spacing w:after="0" w:line="360" w:lineRule="auto"/>
              <w:jc w:val="center"/>
              <w:rPr>
                <w:rFonts w:hint="eastAsia" w:ascii="仿宋_GB2312" w:hAnsi="仿宋_GB2312" w:eastAsia="仿宋_GB2312" w:cs="仿宋_GB2312"/>
                <w:kern w:val="2"/>
                <w:sz w:val="24"/>
                <w:szCs w:val="24"/>
                <w:lang w:val="en-US" w:eastAsia="zh-CN"/>
              </w:rPr>
            </w:pPr>
            <w:r>
              <w:rPr>
                <w:rFonts w:hint="eastAsia" w:ascii="仿宋_GB2312" w:hAnsi="仿宋_GB2312" w:eastAsia="仿宋_GB2312" w:cs="仿宋_GB2312"/>
                <w:kern w:val="2"/>
                <w:sz w:val="24"/>
                <w:szCs w:val="24"/>
                <w:lang w:val="en-US" w:eastAsia="zh-CN"/>
              </w:rPr>
              <w:t>徐  勖</w:t>
            </w:r>
          </w:p>
        </w:tc>
        <w:tc>
          <w:tcPr>
            <w:tcW w:w="1567" w:type="dxa"/>
            <w:noWrap w:val="0"/>
            <w:vAlign w:val="center"/>
          </w:tcPr>
          <w:p>
            <w:pPr>
              <w:pStyle w:val="7"/>
              <w:widowControl w:val="0"/>
              <w:spacing w:after="0" w:line="360" w:lineRule="auto"/>
              <w:jc w:val="center"/>
              <w:rPr>
                <w:rFonts w:hint="eastAsia" w:ascii="仿宋_GB2312" w:hAnsi="仿宋_GB2312" w:eastAsia="仿宋_GB2312" w:cs="仿宋_GB2312"/>
                <w:kern w:val="2"/>
                <w:sz w:val="24"/>
                <w:szCs w:val="24"/>
                <w:lang w:val="zh-TW" w:eastAsia="zh-TW"/>
              </w:rPr>
            </w:pPr>
          </w:p>
        </w:tc>
        <w:tc>
          <w:tcPr>
            <w:tcW w:w="1794" w:type="dxa"/>
            <w:noWrap w:val="0"/>
            <w:vAlign w:val="center"/>
          </w:tcPr>
          <w:p>
            <w:pPr>
              <w:widowControl w:val="0"/>
              <w:spacing w:after="0" w:line="360" w:lineRule="auto"/>
              <w:jc w:val="center"/>
              <w:rPr>
                <w:rFonts w:hint="default" w:ascii="仿宋_GB2312" w:hAnsi="仿宋_GB2312" w:eastAsia="仿宋_GB2312" w:cs="仿宋_GB2312"/>
                <w:kern w:val="2"/>
                <w:sz w:val="24"/>
                <w:szCs w:val="24"/>
                <w:lang w:val="en-US" w:eastAsia="zh-TW"/>
              </w:rPr>
            </w:pPr>
            <w:r>
              <w:rPr>
                <w:rFonts w:hint="eastAsia" w:ascii="仿宋_GB2312" w:hAnsi="仿宋_GB2312" w:eastAsia="仿宋_GB2312" w:cs="仿宋_GB2312"/>
                <w:kern w:val="2"/>
                <w:sz w:val="24"/>
                <w:szCs w:val="24"/>
                <w:lang w:val="en-US" w:eastAsia="zh-CN"/>
              </w:rPr>
              <w:t>区委社会工委综合科</w:t>
            </w:r>
          </w:p>
        </w:tc>
        <w:tc>
          <w:tcPr>
            <w:tcW w:w="1501" w:type="dxa"/>
            <w:noWrap w:val="0"/>
            <w:vAlign w:val="center"/>
          </w:tcPr>
          <w:p>
            <w:pPr>
              <w:pStyle w:val="7"/>
              <w:widowControl w:val="0"/>
              <w:spacing w:after="0" w:line="360" w:lineRule="auto"/>
              <w:jc w:val="center"/>
              <w:rPr>
                <w:rFonts w:hint="eastAsia" w:ascii="仿宋_GB2312" w:hAnsi="仿宋_GB2312" w:eastAsia="仿宋_GB2312" w:cs="仿宋_GB2312"/>
                <w:kern w:val="2"/>
                <w:sz w:val="24"/>
                <w:szCs w:val="24"/>
                <w:lang w:val="zh-TW" w:eastAsia="zh-TW"/>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99" w:hRule="atLeast"/>
          <w:jc w:val="center"/>
        </w:trPr>
        <w:tc>
          <w:tcPr>
            <w:tcW w:w="8102" w:type="dxa"/>
            <w:gridSpan w:val="5"/>
            <w:noWrap w:val="0"/>
            <w:vAlign w:val="top"/>
          </w:tcPr>
          <w:p>
            <w:pPr>
              <w:pStyle w:val="7"/>
              <w:widowControl w:val="0"/>
              <w:spacing w:after="0" w:line="360" w:lineRule="auto"/>
              <w:jc w:val="both"/>
              <w:rPr>
                <w:rFonts w:hint="eastAsia" w:ascii="仿宋_GB2312" w:hAnsi="仿宋_GB2312" w:eastAsia="仿宋_GB2312" w:cs="仿宋_GB2312"/>
                <w:kern w:val="2"/>
                <w:sz w:val="24"/>
                <w:szCs w:val="24"/>
                <w:lang w:val="zh-TW"/>
              </w:rPr>
            </w:pPr>
            <w:r>
              <w:rPr>
                <w:rFonts w:hint="eastAsia" w:ascii="仿宋_GB2312" w:hAnsi="仿宋_GB2312" w:eastAsia="仿宋_GB2312" w:cs="仿宋_GB2312"/>
                <w:kern w:val="2"/>
                <w:sz w:val="24"/>
                <w:szCs w:val="24"/>
                <w:lang w:val="zh-TW"/>
              </w:rPr>
              <w:t>报告撰写人（签字）：</w:t>
            </w:r>
          </w:p>
          <w:p>
            <w:pPr>
              <w:pStyle w:val="7"/>
              <w:widowControl w:val="0"/>
              <w:spacing w:after="0" w:line="360" w:lineRule="auto"/>
              <w:jc w:val="both"/>
              <w:rPr>
                <w:rFonts w:hint="eastAsia" w:ascii="仿宋_GB2312" w:hAnsi="仿宋_GB2312" w:eastAsia="仿宋_GB2312" w:cs="仿宋_GB2312"/>
                <w:kern w:val="2"/>
                <w:sz w:val="24"/>
                <w:szCs w:val="24"/>
                <w:lang w:val="zh-TW"/>
              </w:rPr>
            </w:pPr>
          </w:p>
          <w:p>
            <w:pPr>
              <w:pStyle w:val="7"/>
              <w:widowControl w:val="0"/>
              <w:spacing w:after="0" w:line="360" w:lineRule="auto"/>
              <w:jc w:val="both"/>
              <w:rPr>
                <w:rFonts w:hint="eastAsia" w:ascii="仿宋_GB2312" w:hAnsi="仿宋_GB2312" w:eastAsia="仿宋_GB2312" w:cs="仿宋_GB2312"/>
                <w:kern w:val="2"/>
                <w:sz w:val="24"/>
                <w:szCs w:val="24"/>
                <w:lang w:val="zh-TW"/>
              </w:rPr>
            </w:pPr>
          </w:p>
          <w:p>
            <w:pPr>
              <w:pStyle w:val="7"/>
              <w:widowControl w:val="0"/>
              <w:wordWrap w:val="0"/>
              <w:spacing w:after="0" w:line="360" w:lineRule="auto"/>
              <w:jc w:val="right"/>
              <w:rPr>
                <w:rFonts w:hint="eastAsia" w:ascii="仿宋_GB2312" w:hAnsi="仿宋_GB2312" w:eastAsia="仿宋_GB2312" w:cs="仿宋_GB2312"/>
                <w:kern w:val="2"/>
                <w:sz w:val="24"/>
                <w:szCs w:val="24"/>
                <w:lang w:val="zh-TW"/>
              </w:rPr>
            </w:pPr>
            <w:r>
              <w:rPr>
                <w:rFonts w:hint="eastAsia" w:ascii="仿宋_GB2312" w:hAnsi="仿宋_GB2312" w:eastAsia="仿宋_GB2312" w:cs="仿宋_GB2312"/>
                <w:kern w:val="2"/>
                <w:sz w:val="24"/>
                <w:szCs w:val="24"/>
                <w:lang w:val="zh-TW"/>
              </w:rPr>
              <w:t>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71" w:hRule="atLeast"/>
          <w:jc w:val="center"/>
        </w:trPr>
        <w:tc>
          <w:tcPr>
            <w:tcW w:w="8102" w:type="dxa"/>
            <w:gridSpan w:val="5"/>
            <w:noWrap w:val="0"/>
            <w:vAlign w:val="top"/>
          </w:tcPr>
          <w:p>
            <w:pPr>
              <w:pStyle w:val="7"/>
              <w:widowControl w:val="0"/>
              <w:spacing w:after="0" w:line="360" w:lineRule="auto"/>
              <w:jc w:val="both"/>
              <w:rPr>
                <w:rFonts w:hint="eastAsia" w:ascii="仿宋_GB2312" w:hAnsi="仿宋_GB2312" w:eastAsia="仿宋_GB2312" w:cs="仿宋_GB2312"/>
                <w:kern w:val="2"/>
                <w:sz w:val="24"/>
                <w:szCs w:val="24"/>
                <w:lang w:val="zh-TW"/>
              </w:rPr>
            </w:pPr>
            <w:r>
              <w:rPr>
                <w:rFonts w:hint="eastAsia" w:ascii="仿宋_GB2312" w:hAnsi="仿宋_GB2312" w:eastAsia="仿宋_GB2312" w:cs="仿宋_GB2312"/>
                <w:kern w:val="2"/>
                <w:sz w:val="24"/>
                <w:szCs w:val="24"/>
                <w:lang w:val="zh-TW"/>
              </w:rPr>
              <w:t>评价工作负责人（签字）：</w:t>
            </w:r>
          </w:p>
          <w:p>
            <w:pPr>
              <w:pStyle w:val="7"/>
              <w:widowControl w:val="0"/>
              <w:spacing w:after="0" w:line="360" w:lineRule="auto"/>
              <w:jc w:val="both"/>
              <w:rPr>
                <w:rFonts w:hint="eastAsia" w:ascii="仿宋_GB2312" w:hAnsi="仿宋_GB2312" w:eastAsia="仿宋_GB2312" w:cs="仿宋_GB2312"/>
                <w:kern w:val="2"/>
                <w:sz w:val="24"/>
                <w:szCs w:val="24"/>
                <w:lang w:val="zh-TW"/>
              </w:rPr>
            </w:pPr>
          </w:p>
          <w:p>
            <w:pPr>
              <w:pStyle w:val="7"/>
              <w:widowControl w:val="0"/>
              <w:spacing w:after="0" w:line="360" w:lineRule="auto"/>
              <w:jc w:val="both"/>
              <w:rPr>
                <w:rFonts w:hint="eastAsia" w:ascii="仿宋_GB2312" w:hAnsi="仿宋_GB2312" w:eastAsia="仿宋_GB2312" w:cs="仿宋_GB2312"/>
                <w:kern w:val="2"/>
                <w:sz w:val="24"/>
                <w:szCs w:val="24"/>
                <w:lang w:val="zh-TW"/>
              </w:rPr>
            </w:pPr>
          </w:p>
          <w:p>
            <w:pPr>
              <w:pStyle w:val="7"/>
              <w:widowControl w:val="0"/>
              <w:wordWrap w:val="0"/>
              <w:spacing w:after="0" w:line="360" w:lineRule="auto"/>
              <w:jc w:val="right"/>
              <w:rPr>
                <w:rFonts w:hint="eastAsia" w:ascii="仿宋_GB2312" w:hAnsi="仿宋_GB2312" w:eastAsia="仿宋_GB2312" w:cs="仿宋_GB2312"/>
                <w:kern w:val="2"/>
                <w:sz w:val="24"/>
                <w:szCs w:val="24"/>
                <w:lang w:val="zh-TW"/>
              </w:rPr>
            </w:pPr>
            <w:r>
              <w:rPr>
                <w:rFonts w:hint="eastAsia" w:ascii="仿宋_GB2312" w:hAnsi="仿宋_GB2312" w:eastAsia="仿宋_GB2312" w:cs="仿宋_GB2312"/>
                <w:kern w:val="2"/>
                <w:sz w:val="24"/>
                <w:szCs w:val="24"/>
                <w:lang w:val="zh-TW"/>
              </w:rPr>
              <w:t>年  月  日</w:t>
            </w:r>
          </w:p>
        </w:tc>
      </w:tr>
    </w:tbl>
    <w:p>
      <w:pPr>
        <w:jc w:val="center"/>
        <w:rPr>
          <w:rFonts w:ascii="Times New Roman" w:hAnsi="Times New Roman" w:eastAsia="黑体" w:cs="黑体"/>
          <w:b/>
          <w:bCs/>
          <w:sz w:val="28"/>
          <w:szCs w:val="28"/>
        </w:rPr>
      </w:pPr>
    </w:p>
    <w:p>
      <w:pPr>
        <w:jc w:val="center"/>
        <w:rPr>
          <w:rFonts w:ascii="Times New Roman" w:hAnsi="Times New Roman" w:eastAsia="黑体" w:cs="黑体"/>
          <w:b/>
          <w:bCs/>
          <w:sz w:val="28"/>
          <w:szCs w:val="28"/>
        </w:rPr>
      </w:pPr>
    </w:p>
    <w:p>
      <w:pPr>
        <w:jc w:val="center"/>
        <w:rPr>
          <w:rFonts w:ascii="Times New Roman" w:hAnsi="Times New Roman" w:eastAsia="黑体" w:cs="黑体"/>
          <w:b/>
          <w:bCs/>
          <w:sz w:val="28"/>
          <w:szCs w:val="28"/>
        </w:rPr>
      </w:pPr>
    </w:p>
    <w:p>
      <w:pPr>
        <w:pStyle w:val="7"/>
        <w:widowControl w:val="0"/>
        <w:spacing w:after="0" w:line="360" w:lineRule="auto"/>
        <w:jc w:val="both"/>
        <w:rPr>
          <w:rFonts w:ascii="Times New Roman" w:hAnsi="Times New Roman" w:cs="Times New Roman"/>
          <w:kern w:val="2"/>
          <w:sz w:val="24"/>
          <w:szCs w:val="24"/>
          <w:lang w:val="zh-TW"/>
        </w:rPr>
        <w:sectPr>
          <w:headerReference r:id="rId3" w:type="default"/>
          <w:footerReference r:id="rId4" w:type="default"/>
          <w:pgSz w:w="11906" w:h="16838"/>
          <w:pgMar w:top="1440" w:right="1800" w:bottom="1440" w:left="1800" w:header="851" w:footer="992" w:gutter="0"/>
          <w:pgNumType w:fmt="decimal"/>
          <w:cols w:space="425" w:num="1"/>
          <w:docGrid w:type="lines" w:linePitch="312" w:charSpace="0"/>
        </w:sectPr>
      </w:pPr>
    </w:p>
    <w:p>
      <w:pPr>
        <w:pStyle w:val="8"/>
        <w:jc w:val="center"/>
        <w:rPr>
          <w:rFonts w:hint="eastAsia" w:ascii="方正小标宋_GBK" w:hAnsi="方正小标宋_GBK" w:eastAsia="方正小标宋_GBK" w:cs="方正小标宋_GBK"/>
          <w:b w:val="0"/>
          <w:color w:val="auto"/>
          <w:sz w:val="44"/>
          <w:szCs w:val="44"/>
        </w:rPr>
      </w:pPr>
      <w:r>
        <w:rPr>
          <w:rFonts w:hint="eastAsia" w:ascii="方正小标宋_GBK" w:hAnsi="方正小标宋_GBK" w:eastAsia="方正小标宋_GBK" w:cs="方正小标宋_GBK"/>
          <w:b w:val="0"/>
          <w:color w:val="auto"/>
          <w:sz w:val="44"/>
          <w:szCs w:val="44"/>
          <w:lang w:val="zh-CN"/>
        </w:rPr>
        <w:t>目</w:t>
      </w:r>
      <w:r>
        <w:rPr>
          <w:rFonts w:hint="eastAsia" w:ascii="方正小标宋_GBK" w:hAnsi="方正小标宋_GBK" w:eastAsia="方正小标宋_GBK" w:cs="方正小标宋_GBK"/>
          <w:b w:val="0"/>
          <w:color w:val="auto"/>
          <w:sz w:val="44"/>
          <w:szCs w:val="44"/>
          <w:lang w:val="en-US" w:eastAsia="zh-CN"/>
        </w:rPr>
        <w:t xml:space="preserve"> </w:t>
      </w:r>
      <w:r>
        <w:rPr>
          <w:rFonts w:hint="eastAsia" w:ascii="方正小标宋_GBK" w:hAnsi="方正小标宋_GBK" w:eastAsia="方正小标宋_GBK" w:cs="方正小标宋_GBK"/>
          <w:b w:val="0"/>
          <w:color w:val="auto"/>
          <w:sz w:val="44"/>
          <w:szCs w:val="44"/>
          <w:lang w:val="zh-CN"/>
        </w:rPr>
        <w:t>录</w:t>
      </w:r>
    </w:p>
    <w:p>
      <w:pPr>
        <w:spacing w:line="400" w:lineRule="exact"/>
        <w:ind w:firstLine="640" w:firstLineChars="20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一、摘要</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t xml:space="preserve"> </w:t>
      </w:r>
    </w:p>
    <w:p>
      <w:pPr>
        <w:spacing w:line="400" w:lineRule="exact"/>
        <w:ind w:firstLine="640" w:firstLineChars="20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二、部门概况</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t xml:space="preserve"> </w:t>
      </w:r>
    </w:p>
    <w:p>
      <w:pPr>
        <w:spacing w:line="400" w:lineRule="exact"/>
        <w:ind w:firstLine="640" w:firstLineChars="20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（一）部门机构设置、编制</w:t>
      </w:r>
      <w:r>
        <w:rPr>
          <w:rFonts w:hint="eastAsia" w:ascii="仿宋_GB2312" w:hAnsi="仿宋_GB2312" w:eastAsia="仿宋_GB2312" w:cs="仿宋_GB2312"/>
          <w:sz w:val="32"/>
          <w:szCs w:val="32"/>
        </w:rPr>
        <w:tab/>
      </w:r>
    </w:p>
    <w:p>
      <w:pPr>
        <w:spacing w:line="400" w:lineRule="exact"/>
        <w:ind w:firstLine="640" w:firstLineChars="20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（二）部门职能</w:t>
      </w:r>
    </w:p>
    <w:p>
      <w:pPr>
        <w:spacing w:line="400" w:lineRule="exact"/>
        <w:ind w:firstLine="640" w:firstLineChars="20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（三）部门工作完成情况</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t xml:space="preserve"> </w:t>
      </w:r>
    </w:p>
    <w:p>
      <w:pPr>
        <w:spacing w:line="400" w:lineRule="exact"/>
        <w:ind w:firstLine="640" w:firstLineChars="20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（四）部门管理制度 </w:t>
      </w:r>
    </w:p>
    <w:p>
      <w:pPr>
        <w:spacing w:line="400" w:lineRule="exact"/>
        <w:ind w:firstLine="640" w:firstLineChars="20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（五）部门资金来源及使用情况</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t xml:space="preserve"> </w:t>
      </w:r>
    </w:p>
    <w:p>
      <w:pPr>
        <w:spacing w:line="400" w:lineRule="exact"/>
        <w:ind w:firstLine="640" w:firstLineChars="20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（六）政府采购情况 </w:t>
      </w:r>
    </w:p>
    <w:p>
      <w:pPr>
        <w:spacing w:line="400" w:lineRule="exact"/>
        <w:ind w:firstLine="640" w:firstLineChars="20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（七）固定资产情况</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t xml:space="preserve"> </w:t>
      </w:r>
    </w:p>
    <w:p>
      <w:pPr>
        <w:spacing w:line="400" w:lineRule="exact"/>
        <w:ind w:firstLine="640" w:firstLineChars="20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三、绩效目标</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t xml:space="preserve"> </w:t>
      </w:r>
    </w:p>
    <w:p>
      <w:pPr>
        <w:spacing w:line="400" w:lineRule="exact"/>
        <w:ind w:firstLine="640" w:firstLineChars="20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四、评价思路和过程</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t xml:space="preserve"> </w:t>
      </w:r>
    </w:p>
    <w:p>
      <w:pPr>
        <w:spacing w:line="400" w:lineRule="exact"/>
        <w:ind w:firstLine="640" w:firstLineChars="20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（一）评价思路</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t xml:space="preserve"> </w:t>
      </w:r>
    </w:p>
    <w:p>
      <w:pPr>
        <w:spacing w:line="400" w:lineRule="exact"/>
        <w:ind w:firstLine="640" w:firstLineChars="20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（二）评价目的</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t xml:space="preserve"> </w:t>
      </w:r>
    </w:p>
    <w:p>
      <w:pPr>
        <w:spacing w:line="400" w:lineRule="exact"/>
        <w:ind w:firstLine="640" w:firstLineChars="20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（三）评价依据</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t xml:space="preserve"> </w:t>
      </w:r>
    </w:p>
    <w:p>
      <w:pPr>
        <w:spacing w:line="400" w:lineRule="exact"/>
        <w:ind w:firstLine="640" w:firstLineChars="20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（四）评价对象及评价时段</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t xml:space="preserve"> </w:t>
      </w:r>
    </w:p>
    <w:p>
      <w:pPr>
        <w:spacing w:line="400" w:lineRule="exact"/>
        <w:ind w:firstLine="640" w:firstLineChars="20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五、评价结论和绩效分析</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t xml:space="preserve"> </w:t>
      </w:r>
    </w:p>
    <w:p>
      <w:pPr>
        <w:spacing w:line="400" w:lineRule="exact"/>
        <w:ind w:firstLine="640" w:firstLineChars="20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（一）评价结论</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t xml:space="preserve"> </w:t>
      </w:r>
    </w:p>
    <w:p>
      <w:pPr>
        <w:spacing w:line="400" w:lineRule="exact"/>
        <w:ind w:firstLine="640" w:firstLineChars="20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（二）具体绩效分析</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t xml:space="preserve"> </w:t>
      </w:r>
    </w:p>
    <w:p>
      <w:pPr>
        <w:spacing w:line="400" w:lineRule="exact"/>
        <w:ind w:firstLine="640" w:firstLineChars="20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六、主要经验做法</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t xml:space="preserve"> </w:t>
      </w:r>
    </w:p>
    <w:p>
      <w:pPr>
        <w:spacing w:line="400" w:lineRule="exact"/>
        <w:ind w:firstLine="640" w:firstLineChars="20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七、存在的问题</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t xml:space="preserve"> </w:t>
      </w:r>
    </w:p>
    <w:p>
      <w:pPr>
        <w:spacing w:line="400" w:lineRule="exact"/>
        <w:ind w:firstLine="640" w:firstLineChars="20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八、改进措施及建议</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t xml:space="preserve"> </w:t>
      </w:r>
    </w:p>
    <w:p>
      <w:pPr>
        <w:spacing w:line="400" w:lineRule="exact"/>
        <w:ind w:firstLine="640" w:firstLineChars="200"/>
        <w:jc w:val="left"/>
        <w:rPr>
          <w:rFonts w:hint="eastAsia" w:ascii="仿宋_GB2312" w:hAnsi="仿宋_GB2312" w:eastAsia="仿宋_GB2312" w:cs="仿宋_GB2312"/>
          <w:sz w:val="32"/>
          <w:szCs w:val="32"/>
        </w:rPr>
      </w:pPr>
    </w:p>
    <w:p>
      <w:pPr>
        <w:spacing w:line="520" w:lineRule="exact"/>
        <w:jc w:val="center"/>
        <w:rPr>
          <w:rFonts w:hint="eastAsia" w:ascii="方正小标宋_GBK" w:eastAsia="方正小标宋_GBK"/>
          <w:sz w:val="44"/>
          <w:szCs w:val="44"/>
          <w:lang w:val="en-US" w:eastAsia="zh-CN"/>
        </w:rPr>
      </w:pPr>
    </w:p>
    <w:p>
      <w:pPr>
        <w:spacing w:line="520" w:lineRule="exact"/>
        <w:jc w:val="center"/>
        <w:rPr>
          <w:rFonts w:hint="eastAsia" w:ascii="方正小标宋_GBK" w:eastAsia="方正小标宋_GBK"/>
          <w:sz w:val="44"/>
          <w:szCs w:val="44"/>
          <w:lang w:val="en-US" w:eastAsia="zh-CN"/>
        </w:rPr>
      </w:pPr>
    </w:p>
    <w:p>
      <w:pPr>
        <w:spacing w:line="520" w:lineRule="exact"/>
        <w:jc w:val="center"/>
        <w:rPr>
          <w:rFonts w:hint="eastAsia" w:ascii="方正小标宋_GBK" w:eastAsia="方正小标宋_GBK"/>
          <w:sz w:val="44"/>
          <w:szCs w:val="44"/>
          <w:lang w:val="en-US" w:eastAsia="zh-CN"/>
        </w:rPr>
      </w:pPr>
    </w:p>
    <w:p>
      <w:pPr>
        <w:spacing w:line="520" w:lineRule="exact"/>
        <w:jc w:val="center"/>
        <w:rPr>
          <w:rFonts w:hint="eastAsia" w:ascii="方正小标宋_GBK" w:eastAsia="方正小标宋_GBK"/>
          <w:sz w:val="44"/>
          <w:szCs w:val="44"/>
          <w:lang w:val="en-US" w:eastAsia="zh-CN"/>
        </w:rPr>
      </w:pPr>
    </w:p>
    <w:p>
      <w:pPr>
        <w:spacing w:line="520" w:lineRule="exact"/>
        <w:jc w:val="center"/>
        <w:rPr>
          <w:rFonts w:hint="eastAsia" w:ascii="方正小标宋_GBK" w:eastAsia="方正小标宋_GBK"/>
          <w:sz w:val="44"/>
          <w:szCs w:val="44"/>
          <w:lang w:val="en-US" w:eastAsia="zh-CN"/>
        </w:rPr>
      </w:pPr>
      <w:r>
        <w:rPr>
          <w:rFonts w:hint="eastAsia" w:ascii="方正小标宋_GBK" w:eastAsia="方正小标宋_GBK"/>
          <w:sz w:val="44"/>
          <w:szCs w:val="44"/>
          <w:lang w:val="en-US" w:eastAsia="zh-CN"/>
        </w:rPr>
        <w:t>中共昆明市盘龙区委社会工作委员会</w:t>
      </w:r>
    </w:p>
    <w:p>
      <w:pPr>
        <w:spacing w:line="520" w:lineRule="exact"/>
        <w:jc w:val="center"/>
        <w:rPr>
          <w:rFonts w:ascii="方正小标宋_GBK" w:eastAsia="方正小标宋_GBK"/>
          <w:sz w:val="44"/>
          <w:szCs w:val="44"/>
        </w:rPr>
      </w:pPr>
      <w:r>
        <w:rPr>
          <w:rFonts w:hint="eastAsia" w:ascii="方正小标宋_GBK" w:eastAsia="方正小标宋_GBK"/>
          <w:sz w:val="44"/>
          <w:szCs w:val="44"/>
        </w:rPr>
        <w:t>20</w:t>
      </w:r>
      <w:r>
        <w:rPr>
          <w:rFonts w:hint="eastAsia" w:ascii="方正小标宋_GBK" w:eastAsia="方正小标宋_GBK"/>
          <w:sz w:val="44"/>
          <w:szCs w:val="44"/>
          <w:lang w:val="en-US" w:eastAsia="zh-CN"/>
        </w:rPr>
        <w:t>22</w:t>
      </w:r>
      <w:r>
        <w:rPr>
          <w:rFonts w:hint="eastAsia" w:ascii="方正小标宋_GBK" w:eastAsia="方正小标宋_GBK"/>
          <w:sz w:val="44"/>
          <w:szCs w:val="44"/>
        </w:rPr>
        <w:t>年部门整体支出绩效自评报告</w:t>
      </w:r>
    </w:p>
    <w:p>
      <w:pPr>
        <w:spacing w:line="520" w:lineRule="exact"/>
        <w:ind w:firstLine="480" w:firstLineChars="200"/>
        <w:jc w:val="center"/>
        <w:rPr>
          <w:rFonts w:ascii="仿宋_GB2312" w:eastAsia="仿宋_GB2312"/>
          <w:sz w:val="24"/>
          <w:szCs w:val="24"/>
        </w:rPr>
      </w:pP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黑体" w:hAnsi="黑体" w:eastAsia="黑体"/>
          <w:sz w:val="32"/>
          <w:szCs w:val="32"/>
          <w:lang w:val="en-US" w:eastAsia="zh-CN"/>
        </w:rPr>
      </w:pPr>
      <w:r>
        <w:rPr>
          <w:rFonts w:hint="eastAsia" w:ascii="黑体" w:hAnsi="黑体" w:eastAsia="黑体"/>
          <w:sz w:val="32"/>
          <w:szCs w:val="32"/>
          <w:lang w:val="en-US" w:eastAsia="zh-CN"/>
        </w:rPr>
        <w:t>一、摘要</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中共昆明市盘龙区委社会工作委员为区委工作机关，加挂盘龙区社会建设工作办公室牌子。</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黑体" w:hAnsi="黑体" w:eastAsia="黑体"/>
          <w:sz w:val="32"/>
          <w:szCs w:val="32"/>
        </w:rPr>
      </w:pPr>
      <w:r>
        <w:rPr>
          <w:rFonts w:hint="eastAsia" w:ascii="黑体" w:hAnsi="黑体" w:eastAsia="黑体"/>
          <w:sz w:val="32"/>
          <w:szCs w:val="32"/>
          <w:lang w:val="en-US" w:eastAsia="zh-CN"/>
        </w:rPr>
        <w:t>二</w:t>
      </w:r>
      <w:r>
        <w:rPr>
          <w:rFonts w:hint="eastAsia" w:ascii="黑体" w:hAnsi="黑体" w:eastAsia="黑体"/>
          <w:sz w:val="32"/>
          <w:szCs w:val="32"/>
        </w:rPr>
        <w:t>、部门概况：</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楷体_GB2312" w:hAnsi="楷体_GB2312" w:eastAsia="楷体_GB2312" w:cs="楷体_GB2312"/>
          <w:sz w:val="32"/>
          <w:szCs w:val="32"/>
          <w:lang w:val="en-US" w:eastAsia="zh-CN"/>
        </w:rPr>
      </w:pPr>
      <w:r>
        <w:rPr>
          <w:rFonts w:hint="eastAsia" w:ascii="楷体_GB2312" w:hAnsi="楷体_GB2312" w:eastAsia="楷体_GB2312" w:cs="楷体_GB2312"/>
          <w:sz w:val="32"/>
          <w:szCs w:val="32"/>
          <w:lang w:eastAsia="zh-CN"/>
        </w:rPr>
        <w:t>（</w:t>
      </w:r>
      <w:r>
        <w:rPr>
          <w:rFonts w:hint="eastAsia" w:ascii="楷体_GB2312" w:hAnsi="楷体_GB2312" w:eastAsia="楷体_GB2312" w:cs="楷体_GB2312"/>
          <w:sz w:val="32"/>
          <w:szCs w:val="32"/>
          <w:lang w:val="en-US" w:eastAsia="zh-CN"/>
        </w:rPr>
        <w:t>一</w:t>
      </w:r>
      <w:r>
        <w:rPr>
          <w:rFonts w:hint="eastAsia" w:ascii="楷体_GB2312" w:hAnsi="楷体_GB2312" w:eastAsia="楷体_GB2312" w:cs="楷体_GB2312"/>
          <w:sz w:val="32"/>
          <w:szCs w:val="32"/>
          <w:lang w:eastAsia="zh-CN"/>
        </w:rPr>
        <w:t>）</w:t>
      </w:r>
      <w:r>
        <w:rPr>
          <w:rFonts w:hint="eastAsia" w:ascii="楷体_GB2312" w:hAnsi="楷体_GB2312" w:eastAsia="楷体_GB2312" w:cs="楷体_GB2312"/>
          <w:sz w:val="32"/>
          <w:szCs w:val="32"/>
          <w:lang w:val="en-US" w:eastAsia="zh-CN"/>
        </w:rPr>
        <w:t>部门机构设置、编制</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default" w:ascii="仿宋_GB2312" w:hAnsi="黑体" w:eastAsia="仿宋_GB2312"/>
          <w:sz w:val="32"/>
          <w:szCs w:val="32"/>
          <w:lang w:val="en-US" w:eastAsia="zh-CN"/>
        </w:rPr>
      </w:pPr>
      <w:r>
        <w:rPr>
          <w:rFonts w:hint="eastAsia" w:ascii="仿宋_GB2312" w:hAnsi="黑体" w:eastAsia="仿宋_GB2312"/>
          <w:sz w:val="32"/>
          <w:szCs w:val="32"/>
          <w:lang w:val="en-US" w:eastAsia="zh-CN"/>
        </w:rPr>
        <w:t>机关</w:t>
      </w:r>
      <w:r>
        <w:rPr>
          <w:rFonts w:hint="default" w:ascii="仿宋_GB2312" w:hAnsi="黑体" w:eastAsia="仿宋_GB2312"/>
          <w:sz w:val="32"/>
          <w:szCs w:val="32"/>
          <w:lang w:val="en-US" w:eastAsia="zh-CN"/>
        </w:rPr>
        <w:t>行政编制5名，内设2个科室，综合科、社会治理发展科。单位设书记1名，由区委副书记兼任；常务副书记1名，副书记2名，一般干部2名，2022年在职干部5名。</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楷体_GB2312" w:hAnsi="楷体_GB2312" w:eastAsia="楷体_GB2312" w:cs="楷体_GB2312"/>
          <w:sz w:val="32"/>
          <w:szCs w:val="32"/>
          <w:lang w:val="en-US" w:eastAsia="zh-CN"/>
        </w:rPr>
      </w:pPr>
      <w:r>
        <w:rPr>
          <w:rFonts w:hint="eastAsia" w:ascii="楷体_GB2312" w:hAnsi="楷体_GB2312" w:eastAsia="楷体_GB2312" w:cs="楷体_GB2312"/>
          <w:sz w:val="32"/>
          <w:szCs w:val="32"/>
          <w:lang w:val="en-US" w:eastAsia="zh-CN"/>
        </w:rPr>
        <w:t>（二）部门职能</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黑体" w:eastAsia="仿宋_GB2312"/>
          <w:sz w:val="32"/>
          <w:szCs w:val="32"/>
          <w:lang w:val="en-US" w:eastAsia="zh-CN"/>
        </w:rPr>
      </w:pPr>
      <w:r>
        <w:rPr>
          <w:rFonts w:hint="eastAsia" w:ascii="仿宋_GB2312" w:hAnsi="黑体" w:eastAsia="仿宋_GB2312"/>
          <w:sz w:val="32"/>
          <w:szCs w:val="32"/>
          <w:lang w:val="en-US" w:eastAsia="zh-CN"/>
        </w:rPr>
        <w:t>区委社会工委主要职责是：研究制定全区社会公共服务体制机制建设的总体规划、重大方案和政策措施；贯彻落实区委关于加强全区社会建设的决议决定；推动和创新群众工作，协调建立健全群众利益协调、诉求表达、矛盾调处、权益保障机制；负责宏观指导、统筹协调和督促检查全区社区建设及社区组织建设重点任务的落实。</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楷体_GB2312" w:hAnsi="楷体_GB2312" w:eastAsia="楷体_GB2312" w:cs="楷体_GB2312"/>
          <w:sz w:val="32"/>
          <w:szCs w:val="32"/>
        </w:rPr>
      </w:pPr>
      <w:r>
        <w:rPr>
          <w:rFonts w:hint="eastAsia" w:ascii="楷体_GB2312" w:hAnsi="楷体_GB2312" w:eastAsia="楷体_GB2312" w:cs="楷体_GB2312"/>
          <w:sz w:val="32"/>
          <w:szCs w:val="32"/>
        </w:rPr>
        <w:t>（三）部门工作完成情况</w:t>
      </w:r>
      <w:r>
        <w:rPr>
          <w:rFonts w:hint="eastAsia" w:ascii="楷体_GB2312" w:hAnsi="楷体_GB2312" w:eastAsia="楷体_GB2312" w:cs="楷体_GB2312"/>
          <w:sz w:val="32"/>
          <w:szCs w:val="32"/>
        </w:rPr>
        <w:tab/>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黑体" w:eastAsia="仿宋_GB2312"/>
          <w:sz w:val="32"/>
          <w:szCs w:val="32"/>
          <w:lang w:val="en-US" w:eastAsia="zh-CN"/>
        </w:rPr>
      </w:pPr>
      <w:r>
        <w:rPr>
          <w:rFonts w:hint="eastAsia" w:ascii="仿宋_GB2312" w:hAnsi="黑体" w:eastAsia="仿宋_GB2312"/>
          <w:sz w:val="32"/>
          <w:szCs w:val="32"/>
          <w:lang w:val="en-US" w:eastAsia="zh-CN"/>
        </w:rPr>
        <w:t>2022年区委社会工委的工作始终坚持目标导向、需求导向、问题导向，围绕增进群众福祉、提升群众满意度、幸福感找准工作着力点，加强工作协调沟通、增强工作融合找准工作结合点，真抓实干争当排头兵、以项目化为抓手推进工作，针对性开展培训指导、加大总结宣传展示工作亮点。主要工作有民生小实事的申报审核、经费下拨、项目评估。结合民生小实事、雨污分流整治、民族团结进步示范创建等工作，全年打造5个美丽街巷、10个美丽庭院、20个美丽楼道、40个美丽阳台。小坝社区裕康路、小坝西村美丽示范项目作为全市现场会观摩点接受观摩。拓东街道明通巷、联盟街道裕康路、茨坝街道红梅里3个最美街巷，金辰街道宏实园、金星园丁小区、天祥社区3个民生小实事初步入选全市十佳系列。城乡美化工作激发了群众美化家园、建设幸福盘龙的积极性、主动性、创造性，进一步改善了居住环境、增进了邻里关系，提升了群众幸福感。2022年预算收入852万元，支出807.09万元。其中，基本支出57.34万元，（人员经费52.97万元，日常公用经费4.37万元），占全年总支出的7.1%，项目支出749.75万元，占全年总支出的92.9%。</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楷体_GB2312" w:hAnsi="楷体_GB2312" w:eastAsia="楷体_GB2312" w:cs="楷体_GB2312"/>
          <w:sz w:val="32"/>
          <w:szCs w:val="32"/>
          <w:lang w:val="en-US" w:eastAsia="zh-CN"/>
        </w:rPr>
      </w:pPr>
      <w:r>
        <w:rPr>
          <w:rFonts w:hint="eastAsia" w:ascii="楷体_GB2312" w:hAnsi="楷体_GB2312" w:eastAsia="楷体_GB2312" w:cs="楷体_GB2312"/>
          <w:sz w:val="32"/>
          <w:szCs w:val="32"/>
          <w:lang w:val="en-US" w:eastAsia="zh-CN"/>
        </w:rPr>
        <w:t>（四）部门管理制度</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黑体" w:eastAsia="仿宋_GB2312"/>
          <w:sz w:val="32"/>
          <w:szCs w:val="32"/>
          <w:lang w:val="en-US" w:eastAsia="zh-CN"/>
        </w:rPr>
      </w:pPr>
      <w:r>
        <w:rPr>
          <w:rFonts w:hint="eastAsia" w:ascii="仿宋_GB2312" w:hAnsi="黑体" w:eastAsia="仿宋_GB2312"/>
          <w:sz w:val="32"/>
          <w:szCs w:val="32"/>
          <w:lang w:val="en-US" w:eastAsia="zh-CN"/>
        </w:rPr>
        <w:t>综合科制定了相关的管理制度，包括《中共昆明市盘龙区委社会工作委员会贯彻落实“三重一大”事项集体决策制度的实施细则》、《中共昆明市盘龙区委社会工作委员会经费支出管理办法》、《中共昆明市盘龙区委社会工作委员会公务卡管理及使用办法》等。</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楷体_GB2312" w:hAnsi="楷体_GB2312" w:eastAsia="楷体_GB2312" w:cs="楷体_GB2312"/>
          <w:sz w:val="32"/>
          <w:szCs w:val="32"/>
          <w:lang w:val="en-US" w:eastAsia="zh-CN"/>
        </w:rPr>
      </w:pPr>
      <w:r>
        <w:rPr>
          <w:rFonts w:hint="eastAsia" w:ascii="楷体_GB2312" w:hAnsi="楷体_GB2312" w:eastAsia="楷体_GB2312" w:cs="楷体_GB2312"/>
          <w:sz w:val="32"/>
          <w:szCs w:val="32"/>
          <w:lang w:val="en-US" w:eastAsia="zh-CN"/>
        </w:rPr>
        <w:t>（五）部门资金来源及使用情况</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default" w:ascii="仿宋_GB2312" w:hAnsi="黑体" w:eastAsia="仿宋_GB2312"/>
          <w:sz w:val="32"/>
          <w:szCs w:val="32"/>
          <w:lang w:val="en-US" w:eastAsia="zh-CN"/>
        </w:rPr>
      </w:pPr>
      <w:r>
        <w:rPr>
          <w:rFonts w:hint="default" w:ascii="仿宋_GB2312" w:hAnsi="黑体" w:eastAsia="仿宋_GB2312"/>
          <w:sz w:val="32"/>
          <w:szCs w:val="32"/>
          <w:lang w:val="en-US" w:eastAsia="zh-CN"/>
        </w:rPr>
        <w:t>2022年，本部门年初预算收入852万元，2022年收入实际完成908.62万元，其中40万</w:t>
      </w:r>
      <w:r>
        <w:rPr>
          <w:rFonts w:hint="eastAsia" w:ascii="仿宋_GB2312" w:hAnsi="黑体" w:eastAsia="仿宋_GB2312"/>
          <w:sz w:val="32"/>
          <w:szCs w:val="32"/>
          <w:lang w:val="en-US" w:eastAsia="zh-CN"/>
        </w:rPr>
        <w:t>元</w:t>
      </w:r>
      <w:r>
        <w:rPr>
          <w:rFonts w:hint="default" w:ascii="仿宋_GB2312" w:hAnsi="黑体" w:eastAsia="仿宋_GB2312"/>
          <w:sz w:val="32"/>
          <w:szCs w:val="32"/>
          <w:lang w:val="en-US" w:eastAsia="zh-CN"/>
        </w:rPr>
        <w:t>为上年结转，16.62万元为追加经费。其中：一般公共预算财政拨款收入完成852万元。2022年本部门支出807.09万元，其中：基本支出完成57.34万元，项目支出完成749.75万元。</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楷体_GB2312" w:hAnsi="楷体_GB2312" w:eastAsia="楷体_GB2312" w:cs="楷体_GB2312"/>
          <w:sz w:val="32"/>
          <w:szCs w:val="32"/>
          <w:lang w:val="en-US" w:eastAsia="zh-CN"/>
        </w:rPr>
      </w:pPr>
      <w:r>
        <w:rPr>
          <w:rFonts w:hint="eastAsia" w:ascii="楷体_GB2312" w:hAnsi="楷体_GB2312" w:eastAsia="楷体_GB2312" w:cs="楷体_GB2312"/>
          <w:sz w:val="32"/>
          <w:szCs w:val="32"/>
          <w:lang w:val="en-US" w:eastAsia="zh-CN"/>
        </w:rPr>
        <w:t>（六）政府采购情况</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default" w:ascii="仿宋_GB2312" w:hAnsi="黑体" w:eastAsia="仿宋_GB2312"/>
          <w:sz w:val="32"/>
          <w:szCs w:val="32"/>
          <w:lang w:val="en-US" w:eastAsia="zh-CN"/>
        </w:rPr>
      </w:pPr>
      <w:r>
        <w:rPr>
          <w:rFonts w:hint="default" w:ascii="仿宋_GB2312" w:hAnsi="黑体" w:eastAsia="仿宋_GB2312"/>
          <w:sz w:val="32"/>
          <w:szCs w:val="32"/>
          <w:lang w:val="en-US" w:eastAsia="zh-CN"/>
        </w:rPr>
        <w:t>20</w:t>
      </w:r>
      <w:r>
        <w:rPr>
          <w:rFonts w:hint="eastAsia" w:ascii="仿宋_GB2312" w:hAnsi="黑体" w:eastAsia="仿宋_GB2312"/>
          <w:sz w:val="32"/>
          <w:szCs w:val="32"/>
          <w:lang w:val="en-US" w:eastAsia="zh-CN"/>
        </w:rPr>
        <w:t>22</w:t>
      </w:r>
      <w:r>
        <w:rPr>
          <w:rFonts w:hint="default" w:ascii="仿宋_GB2312" w:hAnsi="黑体" w:eastAsia="仿宋_GB2312"/>
          <w:sz w:val="32"/>
          <w:szCs w:val="32"/>
          <w:lang w:val="en-US" w:eastAsia="zh-CN"/>
        </w:rPr>
        <w:t>年</w:t>
      </w:r>
      <w:r>
        <w:rPr>
          <w:rFonts w:hint="eastAsia" w:ascii="仿宋_GB2312" w:hAnsi="黑体" w:eastAsia="仿宋_GB2312"/>
          <w:sz w:val="32"/>
          <w:szCs w:val="32"/>
          <w:lang w:val="en-US" w:eastAsia="zh-CN"/>
        </w:rPr>
        <w:t>采购复印纸项目支出1695.05元。</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楷体_GB2312" w:hAnsi="楷体_GB2312" w:eastAsia="楷体_GB2312" w:cs="楷体_GB2312"/>
          <w:sz w:val="32"/>
          <w:szCs w:val="32"/>
          <w:lang w:val="en-US" w:eastAsia="zh-CN"/>
        </w:rPr>
      </w:pPr>
      <w:r>
        <w:rPr>
          <w:rFonts w:hint="eastAsia" w:ascii="楷体_GB2312" w:hAnsi="楷体_GB2312" w:eastAsia="楷体_GB2312" w:cs="楷体_GB2312"/>
          <w:sz w:val="32"/>
          <w:szCs w:val="32"/>
          <w:lang w:val="en-US" w:eastAsia="zh-CN"/>
        </w:rPr>
        <w:t>（七）固定资产情况</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黑体" w:eastAsia="仿宋_GB2312"/>
          <w:sz w:val="32"/>
          <w:szCs w:val="32"/>
          <w:lang w:val="en-US" w:eastAsia="zh-CN"/>
        </w:rPr>
      </w:pPr>
      <w:r>
        <w:rPr>
          <w:rFonts w:hint="default" w:ascii="仿宋_GB2312" w:hAnsi="黑体" w:eastAsia="仿宋_GB2312"/>
          <w:sz w:val="32"/>
          <w:szCs w:val="32"/>
          <w:lang w:val="en-US" w:eastAsia="zh-CN"/>
        </w:rPr>
        <w:t>20</w:t>
      </w:r>
      <w:r>
        <w:rPr>
          <w:rFonts w:hint="eastAsia" w:ascii="仿宋_GB2312" w:hAnsi="黑体" w:eastAsia="仿宋_GB2312"/>
          <w:sz w:val="32"/>
          <w:szCs w:val="32"/>
          <w:lang w:val="en-US" w:eastAsia="zh-CN"/>
        </w:rPr>
        <w:t>22</w:t>
      </w:r>
      <w:r>
        <w:rPr>
          <w:rFonts w:hint="default" w:ascii="仿宋_GB2312" w:hAnsi="黑体" w:eastAsia="仿宋_GB2312"/>
          <w:sz w:val="32"/>
          <w:szCs w:val="32"/>
          <w:lang w:val="en-US" w:eastAsia="zh-CN"/>
        </w:rPr>
        <w:t>年末</w:t>
      </w:r>
      <w:r>
        <w:rPr>
          <w:rFonts w:hint="eastAsia" w:ascii="仿宋_GB2312" w:hAnsi="黑体" w:eastAsia="仿宋_GB2312"/>
          <w:sz w:val="32"/>
          <w:szCs w:val="32"/>
          <w:lang w:val="en-US" w:eastAsia="zh-CN"/>
        </w:rPr>
        <w:t>无固定资产。</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default" w:ascii="黑体" w:hAnsi="黑体" w:eastAsia="黑体"/>
          <w:sz w:val="32"/>
          <w:szCs w:val="32"/>
          <w:lang w:val="en-US" w:eastAsia="zh-CN"/>
        </w:rPr>
      </w:pPr>
      <w:r>
        <w:rPr>
          <w:rFonts w:hint="eastAsia" w:ascii="黑体" w:hAnsi="黑体" w:eastAsia="黑体"/>
          <w:sz w:val="32"/>
          <w:szCs w:val="32"/>
          <w:lang w:val="en-US" w:eastAsia="zh-CN"/>
        </w:rPr>
        <w:t>三、绩效目标</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1.20</w:t>
      </w:r>
      <w:r>
        <w:rPr>
          <w:rFonts w:hint="eastAsia" w:ascii="仿宋_GB2312" w:hAnsi="仿宋_GB2312" w:eastAsia="仿宋_GB2312" w:cs="仿宋_GB2312"/>
          <w:sz w:val="32"/>
          <w:szCs w:val="32"/>
          <w:lang w:val="en-US" w:eastAsia="zh-CN"/>
        </w:rPr>
        <w:t>22</w:t>
      </w:r>
      <w:r>
        <w:rPr>
          <w:rFonts w:hint="eastAsia" w:ascii="仿宋_GB2312" w:hAnsi="仿宋_GB2312" w:eastAsia="仿宋_GB2312" w:cs="仿宋_GB2312"/>
          <w:sz w:val="32"/>
          <w:szCs w:val="32"/>
        </w:rPr>
        <w:t>年，我单位有</w:t>
      </w:r>
      <w:r>
        <w:rPr>
          <w:rFonts w:hint="eastAsia" w:ascii="仿宋_GB2312" w:hAnsi="仿宋_GB2312" w:eastAsia="仿宋_GB2312" w:cs="仿宋_GB2312"/>
          <w:sz w:val="32"/>
          <w:szCs w:val="32"/>
          <w:lang w:val="en-US" w:eastAsia="zh-CN"/>
        </w:rPr>
        <w:t>5</w:t>
      </w:r>
      <w:r>
        <w:rPr>
          <w:rFonts w:hint="eastAsia" w:ascii="仿宋_GB2312" w:hAnsi="仿宋_GB2312" w:eastAsia="仿宋_GB2312" w:cs="仿宋_GB2312"/>
          <w:sz w:val="32"/>
          <w:szCs w:val="32"/>
        </w:rPr>
        <w:t>个</w:t>
      </w:r>
      <w:r>
        <w:rPr>
          <w:rFonts w:hint="eastAsia" w:ascii="仿宋_GB2312" w:hAnsi="仿宋_GB2312" w:eastAsia="仿宋_GB2312" w:cs="仿宋_GB2312"/>
          <w:sz w:val="32"/>
          <w:szCs w:val="32"/>
          <w:lang w:val="en-US" w:eastAsia="zh-CN"/>
        </w:rPr>
        <w:t>项目</w:t>
      </w:r>
      <w:r>
        <w:rPr>
          <w:rFonts w:hint="eastAsia" w:ascii="仿宋_GB2312" w:hAnsi="仿宋_GB2312" w:eastAsia="仿宋_GB2312" w:cs="仿宋_GB2312"/>
          <w:sz w:val="32"/>
          <w:szCs w:val="32"/>
        </w:rPr>
        <w:t>支出，共749</w:t>
      </w:r>
      <w:r>
        <w:rPr>
          <w:rFonts w:hint="eastAsia" w:ascii="仿宋_GB2312" w:hAnsi="仿宋_GB2312" w:eastAsia="仿宋_GB2312" w:cs="仿宋_GB2312"/>
          <w:sz w:val="32"/>
          <w:szCs w:val="32"/>
          <w:lang w:val="en-US" w:eastAsia="zh-CN"/>
        </w:rPr>
        <w:t>.</w:t>
      </w:r>
      <w:r>
        <w:rPr>
          <w:rFonts w:hint="eastAsia" w:ascii="仿宋_GB2312" w:hAnsi="仿宋_GB2312" w:eastAsia="仿宋_GB2312" w:cs="仿宋_GB2312"/>
          <w:sz w:val="32"/>
          <w:szCs w:val="32"/>
        </w:rPr>
        <w:t>75</w:t>
      </w:r>
      <w:r>
        <w:rPr>
          <w:rFonts w:hint="eastAsia" w:ascii="仿宋_GB2312" w:hAnsi="仿宋_GB2312" w:eastAsia="仿宋_GB2312" w:cs="仿宋_GB2312"/>
          <w:sz w:val="32"/>
          <w:szCs w:val="32"/>
          <w:lang w:val="en-US" w:eastAsia="zh-CN"/>
        </w:rPr>
        <w:t>万</w:t>
      </w:r>
      <w:r>
        <w:rPr>
          <w:rFonts w:hint="eastAsia" w:ascii="仿宋_GB2312" w:hAnsi="仿宋_GB2312" w:eastAsia="仿宋_GB2312" w:cs="仿宋_GB2312"/>
          <w:sz w:val="32"/>
          <w:szCs w:val="32"/>
        </w:rPr>
        <w:t>元。</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2.项目资金中:</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（1）开放空间楼宇社群服务社会治理创新项目经费。支出20</w:t>
      </w:r>
      <w:r>
        <w:rPr>
          <w:rFonts w:hint="eastAsia" w:ascii="仿宋_GB2312" w:hAnsi="仿宋_GB2312" w:eastAsia="仿宋_GB2312" w:cs="仿宋_GB2312"/>
          <w:sz w:val="32"/>
          <w:szCs w:val="32"/>
          <w:lang w:val="en-US" w:eastAsia="zh-CN"/>
        </w:rPr>
        <w:t>万</w:t>
      </w:r>
      <w:r>
        <w:rPr>
          <w:rFonts w:hint="eastAsia" w:ascii="仿宋_GB2312" w:hAnsi="仿宋_GB2312" w:eastAsia="仿宋_GB2312" w:cs="仿宋_GB2312"/>
          <w:sz w:val="32"/>
          <w:szCs w:val="32"/>
        </w:rPr>
        <w:t>元。具体是</w:t>
      </w:r>
      <w:r>
        <w:rPr>
          <w:rFonts w:hint="eastAsia" w:ascii="仿宋_GB2312" w:hAnsi="仿宋_GB2312" w:eastAsia="仿宋_GB2312" w:cs="仿宋_GB2312"/>
          <w:sz w:val="32"/>
          <w:szCs w:val="32"/>
          <w:lang w:val="en-US" w:eastAsia="zh-CN"/>
        </w:rPr>
        <w:t>拨付拓东街道用于恒隆广场楼宇治理</w:t>
      </w:r>
      <w:r>
        <w:rPr>
          <w:rFonts w:hint="eastAsia" w:ascii="仿宋_GB2312" w:hAnsi="仿宋_GB2312" w:eastAsia="仿宋_GB2312" w:cs="仿宋_GB2312"/>
          <w:sz w:val="32"/>
          <w:szCs w:val="32"/>
        </w:rPr>
        <w:t>。</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（2）小实事撬动大民生治理行动社会治理创新项目。支出15</w:t>
      </w:r>
      <w:r>
        <w:rPr>
          <w:rFonts w:hint="eastAsia" w:ascii="仿宋_GB2312" w:hAnsi="仿宋_GB2312" w:eastAsia="仿宋_GB2312" w:cs="仿宋_GB2312"/>
          <w:sz w:val="32"/>
          <w:szCs w:val="32"/>
          <w:lang w:val="en-US" w:eastAsia="zh-CN"/>
        </w:rPr>
        <w:t>.</w:t>
      </w:r>
      <w:r>
        <w:rPr>
          <w:rFonts w:hint="eastAsia" w:ascii="仿宋_GB2312" w:hAnsi="仿宋_GB2312" w:eastAsia="仿宋_GB2312" w:cs="仿宋_GB2312"/>
          <w:sz w:val="32"/>
          <w:szCs w:val="32"/>
        </w:rPr>
        <w:t>90</w:t>
      </w:r>
      <w:r>
        <w:rPr>
          <w:rFonts w:hint="eastAsia" w:ascii="仿宋_GB2312" w:hAnsi="仿宋_GB2312" w:eastAsia="仿宋_GB2312" w:cs="仿宋_GB2312"/>
          <w:sz w:val="32"/>
          <w:szCs w:val="32"/>
          <w:lang w:val="en-US" w:eastAsia="zh-CN"/>
        </w:rPr>
        <w:t>万</w:t>
      </w:r>
      <w:r>
        <w:rPr>
          <w:rFonts w:hint="eastAsia" w:ascii="仿宋_GB2312" w:hAnsi="仿宋_GB2312" w:eastAsia="仿宋_GB2312" w:cs="仿宋_GB2312"/>
          <w:sz w:val="32"/>
          <w:szCs w:val="32"/>
        </w:rPr>
        <w:t>元，用于</w:t>
      </w:r>
      <w:r>
        <w:rPr>
          <w:rFonts w:hint="eastAsia" w:ascii="仿宋_GB2312" w:hAnsi="仿宋_GB2312" w:eastAsia="仿宋_GB2312" w:cs="仿宋_GB2312"/>
          <w:sz w:val="32"/>
          <w:szCs w:val="32"/>
          <w:lang w:val="en-US" w:eastAsia="zh-CN"/>
        </w:rPr>
        <w:t>2022年“民生小实事”项目运营</w:t>
      </w:r>
      <w:r>
        <w:rPr>
          <w:rFonts w:hint="eastAsia" w:ascii="仿宋_GB2312" w:hAnsi="仿宋_GB2312" w:eastAsia="仿宋_GB2312" w:cs="仿宋_GB2312"/>
          <w:sz w:val="32"/>
          <w:szCs w:val="32"/>
        </w:rPr>
        <w:t>。</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（3）媒体宣传专项经费。支出</w:t>
      </w:r>
      <w:r>
        <w:rPr>
          <w:rFonts w:hint="eastAsia" w:ascii="仿宋_GB2312" w:hAnsi="仿宋_GB2312" w:eastAsia="仿宋_GB2312" w:cs="仿宋_GB2312"/>
          <w:sz w:val="32"/>
          <w:szCs w:val="32"/>
          <w:lang w:val="en-US" w:eastAsia="zh-CN"/>
        </w:rPr>
        <w:t>16万</w:t>
      </w:r>
      <w:r>
        <w:rPr>
          <w:rFonts w:hint="eastAsia" w:ascii="仿宋_GB2312" w:hAnsi="仿宋_GB2312" w:eastAsia="仿宋_GB2312" w:cs="仿宋_GB2312"/>
          <w:sz w:val="32"/>
          <w:szCs w:val="32"/>
        </w:rPr>
        <w:t>元</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综合运用报纸、电视、广播等传统媒体和互联网、微博、微信等新媒体，加强对社会治理工作的正面宣传报道，注重实施项目与宣传政策相结合，重点宣传党建引领、服务提升、改革创新、共建共享等内容</w:t>
      </w:r>
      <w:r>
        <w:rPr>
          <w:rFonts w:hint="eastAsia" w:ascii="仿宋_GB2312" w:hAnsi="仿宋_GB2312" w:eastAsia="仿宋_GB2312" w:cs="仿宋_GB2312"/>
          <w:sz w:val="32"/>
          <w:szCs w:val="32"/>
        </w:rPr>
        <w:t>。</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4</w:t>
      </w:r>
      <w:r>
        <w:rPr>
          <w:rFonts w:hint="eastAsia" w:ascii="仿宋_GB2312" w:hAnsi="仿宋_GB2312" w:eastAsia="仿宋_GB2312" w:cs="仿宋_GB2312"/>
          <w:sz w:val="32"/>
          <w:szCs w:val="32"/>
          <w:lang w:eastAsia="zh-CN"/>
        </w:rPr>
        <w:t>）民生小实事项目经费。</w:t>
      </w:r>
      <w:r>
        <w:rPr>
          <w:rFonts w:hint="eastAsia" w:ascii="仿宋_GB2312" w:hAnsi="仿宋_GB2312" w:eastAsia="仿宋_GB2312" w:cs="仿宋_GB2312"/>
          <w:sz w:val="32"/>
          <w:szCs w:val="32"/>
          <w:lang w:val="en-US" w:eastAsia="zh-CN"/>
        </w:rPr>
        <w:t>支出691.69万元，按照《盘龙区推进民生小实事实施方案（试行）》（盘办通〔2020〕12号）每年开展一批民生实事，针对群众关注度高、受益面广、街道社区解决困难较大的问题，区级统筹加大帮扶支持力度。</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（5）区委社会工委工作经费。支出6.16万元，区委社会工作委员会负责全区社会建设工作的总体布局、发展规划、统筹协调、整体推进、督促落实以及其他重大事项，为便于工作顺利开展工作经费。</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黑体" w:hAnsi="黑体" w:eastAsia="黑体"/>
          <w:sz w:val="32"/>
          <w:szCs w:val="32"/>
        </w:rPr>
      </w:pPr>
      <w:r>
        <w:rPr>
          <w:rFonts w:hint="eastAsia" w:ascii="黑体" w:hAnsi="黑体" w:eastAsia="黑体"/>
          <w:sz w:val="32"/>
          <w:szCs w:val="32"/>
        </w:rPr>
        <w:t>四、评价思路和过程</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（一）评价思路：加强组织领导，健全体制机制。为了更好落实绩效目标，督办自评、反馈问题和应用评价结果，进一步健全绩效管理工作机制，加强制度建设。成立了区委</w:t>
      </w:r>
      <w:r>
        <w:rPr>
          <w:rFonts w:hint="eastAsia" w:ascii="仿宋_GB2312" w:hAnsi="仿宋_GB2312" w:eastAsia="仿宋_GB2312" w:cs="仿宋_GB2312"/>
          <w:sz w:val="32"/>
          <w:szCs w:val="32"/>
          <w:lang w:val="en-US" w:eastAsia="zh-CN"/>
        </w:rPr>
        <w:t>社会工委</w:t>
      </w:r>
      <w:r>
        <w:rPr>
          <w:rFonts w:hint="eastAsia" w:ascii="仿宋_GB2312" w:hAnsi="仿宋_GB2312" w:eastAsia="仿宋_GB2312" w:cs="仿宋_GB2312"/>
          <w:sz w:val="32"/>
          <w:szCs w:val="32"/>
        </w:rPr>
        <w:t>财政性资金绩效评价工作领导小组，组长由常务副</w:t>
      </w:r>
      <w:r>
        <w:rPr>
          <w:rFonts w:hint="eastAsia" w:ascii="仿宋_GB2312" w:hAnsi="仿宋_GB2312" w:eastAsia="仿宋_GB2312" w:cs="仿宋_GB2312"/>
          <w:sz w:val="32"/>
          <w:szCs w:val="32"/>
          <w:lang w:val="en-US" w:eastAsia="zh-CN"/>
        </w:rPr>
        <w:t>书记</w:t>
      </w:r>
      <w:r>
        <w:rPr>
          <w:rFonts w:hint="eastAsia" w:ascii="仿宋_GB2312" w:hAnsi="仿宋_GB2312" w:eastAsia="仿宋_GB2312" w:cs="仿宋_GB2312"/>
          <w:sz w:val="32"/>
          <w:szCs w:val="32"/>
        </w:rPr>
        <w:t>担任,副组长由分管副</w:t>
      </w:r>
      <w:r>
        <w:rPr>
          <w:rFonts w:hint="eastAsia" w:ascii="仿宋_GB2312" w:hAnsi="仿宋_GB2312" w:eastAsia="仿宋_GB2312" w:cs="仿宋_GB2312"/>
          <w:sz w:val="32"/>
          <w:szCs w:val="32"/>
          <w:lang w:val="en-US" w:eastAsia="zh-CN"/>
        </w:rPr>
        <w:t>书记</w:t>
      </w:r>
      <w:r>
        <w:rPr>
          <w:rFonts w:hint="eastAsia" w:ascii="仿宋_GB2312" w:hAnsi="仿宋_GB2312" w:eastAsia="仿宋_GB2312" w:cs="仿宋_GB2312"/>
          <w:sz w:val="32"/>
          <w:szCs w:val="32"/>
        </w:rPr>
        <w:t xml:space="preserve">担任，其它工作人员为成员。将其作为日常性重要工作来抓，定期研究绩效管理工作。经费支出严格按照市、区及本单位相关经费管理办法以及本部门财务管理制度、大额资金使用管理办法等规章制度进行支出。 </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（二）评价目的。区委</w:t>
      </w:r>
      <w:r>
        <w:rPr>
          <w:rFonts w:hint="eastAsia" w:ascii="仿宋_GB2312" w:hAnsi="仿宋_GB2312" w:eastAsia="仿宋_GB2312" w:cs="仿宋_GB2312"/>
          <w:sz w:val="32"/>
          <w:szCs w:val="32"/>
          <w:lang w:val="en-US" w:eastAsia="zh-CN"/>
        </w:rPr>
        <w:t>社会工委2022</w:t>
      </w:r>
      <w:r>
        <w:rPr>
          <w:rFonts w:hint="eastAsia" w:ascii="仿宋_GB2312" w:hAnsi="仿宋_GB2312" w:eastAsia="仿宋_GB2312" w:cs="仿宋_GB2312"/>
          <w:sz w:val="32"/>
          <w:szCs w:val="32"/>
        </w:rPr>
        <w:t>年部门预算绩效管理工作，按财政局要求认真填报项目绩效目标申报表。将各个项目绩效管理评价工作按照业务工作实绩和财务管理两个部分，每个一级绩效指标，按照工作内容、工作措施、工作时限和要达到的预期效果，进一步分解细化，将责任落实到科室、岗位，形成完整的绩效管理工作方案和指标考核评估体系，使绩效评估指标与工作任务紧密结合起来，推动各项工作落实。</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（三）评价依据。</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区委</w:t>
      </w:r>
      <w:r>
        <w:rPr>
          <w:rFonts w:hint="eastAsia" w:ascii="仿宋_GB2312" w:hAnsi="仿宋_GB2312" w:eastAsia="仿宋_GB2312" w:cs="仿宋_GB2312"/>
          <w:sz w:val="32"/>
          <w:szCs w:val="32"/>
          <w:lang w:val="en-US" w:eastAsia="zh-CN"/>
        </w:rPr>
        <w:t>社会工委2022</w:t>
      </w:r>
      <w:r>
        <w:rPr>
          <w:rFonts w:hint="eastAsia" w:ascii="仿宋_GB2312" w:hAnsi="仿宋_GB2312" w:eastAsia="仿宋_GB2312" w:cs="仿宋_GB2312"/>
          <w:sz w:val="32"/>
          <w:szCs w:val="32"/>
        </w:rPr>
        <w:t>年部门预算绩效管理工作，从项目立项、绩效目标、资金管理、财务信息质量以及项目经济社会效益等方面设置一级绩效指标，从各个层面对各项资金进行管理，注重对绩效运行过程实施全目标、全过程、全方位的监控，积极跟踪年度目标任务执行是否到位，对</w:t>
      </w:r>
      <w:r>
        <w:rPr>
          <w:rFonts w:hint="eastAsia" w:ascii="仿宋_GB2312" w:hAnsi="仿宋_GB2312" w:eastAsia="仿宋_GB2312" w:cs="仿宋_GB2312"/>
          <w:sz w:val="32"/>
          <w:szCs w:val="32"/>
          <w:lang w:val="en-US" w:eastAsia="zh-CN"/>
        </w:rPr>
        <w:t>2022</w:t>
      </w:r>
      <w:r>
        <w:rPr>
          <w:rFonts w:hint="eastAsia" w:ascii="仿宋_GB2312" w:hAnsi="仿宋_GB2312" w:eastAsia="仿宋_GB2312" w:cs="仿宋_GB2312"/>
          <w:sz w:val="32"/>
          <w:szCs w:val="32"/>
        </w:rPr>
        <w:t>年下拨的专项经费使用管理情况和绩效管理等工作进行检查，积极探索构建保持绩效督查的常态化、制度化的工作机制，有力地推动了各项工作落实。</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（四）评价对象及评价时段。</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区委</w:t>
      </w:r>
      <w:r>
        <w:rPr>
          <w:rFonts w:hint="eastAsia" w:ascii="仿宋_GB2312" w:hAnsi="仿宋_GB2312" w:eastAsia="仿宋_GB2312" w:cs="仿宋_GB2312"/>
          <w:sz w:val="32"/>
          <w:szCs w:val="32"/>
          <w:lang w:val="en-US" w:eastAsia="zh-CN"/>
        </w:rPr>
        <w:t>社会工委2022</w:t>
      </w:r>
      <w:r>
        <w:rPr>
          <w:rFonts w:hint="eastAsia" w:ascii="仿宋_GB2312" w:hAnsi="仿宋_GB2312" w:eastAsia="仿宋_GB2312" w:cs="仿宋_GB2312"/>
          <w:sz w:val="32"/>
          <w:szCs w:val="32"/>
        </w:rPr>
        <w:t>年部门自评主要针对本单位</w:t>
      </w:r>
      <w:r>
        <w:rPr>
          <w:rFonts w:hint="eastAsia" w:ascii="仿宋_GB2312" w:hAnsi="仿宋_GB2312" w:eastAsia="仿宋_GB2312" w:cs="仿宋_GB2312"/>
          <w:sz w:val="32"/>
          <w:szCs w:val="32"/>
          <w:lang w:val="en-US" w:eastAsia="zh-CN"/>
        </w:rPr>
        <w:t>2022</w:t>
      </w:r>
      <w:r>
        <w:rPr>
          <w:rFonts w:hint="eastAsia" w:ascii="仿宋_GB2312" w:hAnsi="仿宋_GB2312" w:eastAsia="仿宋_GB2312" w:cs="仿宋_GB2312"/>
          <w:sz w:val="32"/>
          <w:szCs w:val="32"/>
        </w:rPr>
        <w:t>年整体支出和项目支出进行自评。</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黑体" w:hAnsi="黑体" w:eastAsia="黑体"/>
          <w:sz w:val="32"/>
          <w:szCs w:val="32"/>
        </w:rPr>
      </w:pPr>
      <w:r>
        <w:rPr>
          <w:rFonts w:hint="eastAsia" w:ascii="黑体" w:hAnsi="黑体" w:eastAsia="黑体"/>
          <w:sz w:val="32"/>
          <w:szCs w:val="32"/>
          <w:lang w:val="en-US" w:eastAsia="zh-CN"/>
        </w:rPr>
        <w:t>五</w:t>
      </w:r>
      <w:r>
        <w:rPr>
          <w:rFonts w:hint="eastAsia" w:ascii="黑体" w:hAnsi="黑体" w:eastAsia="黑体"/>
          <w:sz w:val="32"/>
          <w:szCs w:val="32"/>
        </w:rPr>
        <w:t>、评价结论及绩效分析</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楷体_GB2312" w:hAnsi="楷体_GB2312" w:eastAsia="楷体_GB2312" w:cs="楷体_GB2312"/>
          <w:sz w:val="32"/>
          <w:szCs w:val="32"/>
        </w:rPr>
      </w:pPr>
      <w:r>
        <w:rPr>
          <w:rFonts w:hint="eastAsia" w:ascii="楷体_GB2312" w:hAnsi="楷体_GB2312" w:eastAsia="楷体_GB2312" w:cs="楷体_GB2312"/>
          <w:sz w:val="32"/>
          <w:szCs w:val="32"/>
        </w:rPr>
        <w:t>（一）评价结论</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黑体" w:eastAsia="仿宋_GB2312"/>
          <w:sz w:val="32"/>
          <w:szCs w:val="32"/>
          <w:lang w:val="en-US" w:eastAsia="zh-CN"/>
        </w:rPr>
      </w:pPr>
      <w:r>
        <w:rPr>
          <w:rFonts w:hint="eastAsia" w:ascii="仿宋_GB2312" w:hAnsi="黑体" w:eastAsia="仿宋_GB2312"/>
          <w:sz w:val="32"/>
          <w:szCs w:val="32"/>
          <w:lang w:val="en-US" w:eastAsia="zh-CN"/>
        </w:rPr>
        <w:t>2022年区委社会工委整个资金使用方向合理，没有超预算支出的情况发生，资金收入保障到位，支出结构合理，项目和资金管理到位，并注重资金的节约性和资金使用效果，从全年来看，整个资金的使用支出没有随意浪费、违规使用和大起大落的情况发生。2022年基本支出及项目经费能依法依规申报和规范合理使用，严格纳入绩效过程管理，较好的保障了日常工作的正常开展，全面完成了2022年的各项工作计划和目标任务，在2022年综合目标考核中，获得优秀等次，取得了较好成绩。</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楷体_GB2312" w:hAnsi="楷体_GB2312" w:eastAsia="楷体_GB2312" w:cs="楷体_GB2312"/>
          <w:sz w:val="32"/>
          <w:szCs w:val="32"/>
        </w:rPr>
      </w:pPr>
      <w:r>
        <w:rPr>
          <w:rFonts w:hint="eastAsia" w:ascii="楷体_GB2312" w:hAnsi="楷体_GB2312" w:eastAsia="楷体_GB2312" w:cs="楷体_GB2312"/>
          <w:sz w:val="32"/>
          <w:szCs w:val="32"/>
        </w:rPr>
        <w:t>（二）</w:t>
      </w:r>
      <w:r>
        <w:rPr>
          <w:rFonts w:hint="eastAsia" w:ascii="楷体_GB2312" w:hAnsi="楷体_GB2312" w:eastAsia="楷体_GB2312" w:cs="楷体_GB2312"/>
          <w:sz w:val="32"/>
          <w:szCs w:val="32"/>
          <w:lang w:val="en-US" w:eastAsia="zh-CN"/>
        </w:rPr>
        <w:t>具体</w:t>
      </w:r>
      <w:r>
        <w:rPr>
          <w:rFonts w:hint="eastAsia" w:ascii="楷体_GB2312" w:hAnsi="楷体_GB2312" w:eastAsia="楷体_GB2312" w:cs="楷体_GB2312"/>
          <w:sz w:val="32"/>
          <w:szCs w:val="32"/>
        </w:rPr>
        <w:t>绩效分析</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202</w:t>
      </w:r>
      <w:r>
        <w:rPr>
          <w:rFonts w:hint="eastAsia" w:ascii="仿宋_GB2312" w:hAnsi="仿宋_GB2312" w:eastAsia="仿宋_GB2312" w:cs="仿宋_GB2312"/>
          <w:sz w:val="32"/>
          <w:szCs w:val="32"/>
          <w:lang w:val="en-US" w:eastAsia="zh-CN"/>
        </w:rPr>
        <w:t>2</w:t>
      </w:r>
      <w:r>
        <w:rPr>
          <w:rFonts w:hint="eastAsia" w:ascii="仿宋_GB2312" w:hAnsi="仿宋_GB2312" w:eastAsia="仿宋_GB2312" w:cs="仿宋_GB2312"/>
          <w:sz w:val="32"/>
          <w:szCs w:val="32"/>
        </w:rPr>
        <w:t>年，在区委的坚强领导下，区委</w:t>
      </w:r>
      <w:r>
        <w:rPr>
          <w:rFonts w:hint="eastAsia" w:ascii="仿宋_GB2312" w:hAnsi="仿宋_GB2312" w:eastAsia="仿宋_GB2312" w:cs="仿宋_GB2312"/>
          <w:sz w:val="32"/>
          <w:szCs w:val="32"/>
          <w:lang w:val="en-US" w:eastAsia="zh-CN"/>
        </w:rPr>
        <w:t>社会工委</w:t>
      </w:r>
      <w:r>
        <w:rPr>
          <w:rFonts w:hint="eastAsia" w:ascii="仿宋_GB2312" w:hAnsi="仿宋_GB2312" w:eastAsia="仿宋_GB2312" w:cs="仿宋_GB2312"/>
          <w:sz w:val="32"/>
          <w:szCs w:val="32"/>
        </w:rPr>
        <w:t>始终坚持围绕中心、服务大局，恪尽职守、勤奋工作，较好地完成了各项目标任务。</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rPr>
      </w:pPr>
      <w:r>
        <w:rPr>
          <w:rFonts w:hint="eastAsia" w:ascii="楷体_GB2312" w:hAnsi="楷体_GB2312" w:eastAsia="楷体_GB2312" w:cs="楷体_GB2312"/>
          <w:sz w:val="32"/>
          <w:szCs w:val="32"/>
        </w:rPr>
        <w:t>（一）民生小实事项目规范提升。</w:t>
      </w:r>
      <w:r>
        <w:rPr>
          <w:rFonts w:hint="eastAsia" w:ascii="仿宋_GB2312" w:hAnsi="仿宋_GB2312" w:eastAsia="仿宋_GB2312" w:cs="仿宋_GB2312"/>
          <w:sz w:val="32"/>
          <w:szCs w:val="32"/>
        </w:rPr>
        <w:t>严格贯彻执行《盘龙区民生小实事项目管理办法（试行）》，落细落实项目申报、项目实施、验收评估、资产管理等环节各项工作，扎实推进民生小实事项目规范化、参与制度化、自治组织化、共治社会化、成果长效化，完成第一批53个项目立项，其中，工程类项目47个，服务类项目6个。项目总投资825.65万元，其中自筹资金142.84万元，政府补助资金682.81万元。第二批项目3个，总投资134.68万元，其中自筹资金20.84万元，政府补助资金113.84万元。目前项目已完工30个，其余项目正在推进中。通过项目实施，已成立项目小组53个，深度动员参与项目具体实施326人，受益群众预计达13万余人。在民生小实事实施过程中，加强了街道、社区、居民骨干的培训赋能，形成了《盘龙区民生小实事监测、督导管理细则》《民生小实事督导指南》《盘龙区社区社会组织备案指引》等规范操作资料，党组织引领基层协商更加规范、群众自治不断深入、群众得到实实在在的实惠，满意度和幸福感不断提升。</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rPr>
      </w:pPr>
      <w:r>
        <w:rPr>
          <w:rFonts w:hint="eastAsia" w:ascii="楷体_GB2312" w:hAnsi="楷体_GB2312" w:eastAsia="楷体_GB2312" w:cs="楷体_GB2312"/>
          <w:sz w:val="32"/>
          <w:szCs w:val="32"/>
        </w:rPr>
        <w:t>（二）多元主体参与城乡美化初见成效。</w:t>
      </w:r>
      <w:r>
        <w:rPr>
          <w:rFonts w:hint="eastAsia" w:ascii="仿宋_GB2312" w:hAnsi="仿宋_GB2312" w:eastAsia="仿宋_GB2312" w:cs="仿宋_GB2312"/>
          <w:sz w:val="32"/>
          <w:szCs w:val="32"/>
        </w:rPr>
        <w:t>印发《盘龙区动员多元主体参与城乡美化工作实施方案》，结合民生小实事、雨污分流整治、民族团结进步示范创建等工作，全年打造5个美丽街巷、10个美丽庭院、20个美丽楼道、40个美丽阳台。小坝社区裕康路、小坝西村美丽示范项目作为全市现场会观摩点接受观摩。拓东街道明通巷、联盟街道裕康路、茨坝街道红梅里3个最美街巷，金星园丁小区、天祥社区</w:t>
      </w:r>
      <w:r>
        <w:rPr>
          <w:rFonts w:hint="eastAsia" w:ascii="仿宋_GB2312" w:hAnsi="仿宋_GB2312" w:eastAsia="仿宋_GB2312" w:cs="仿宋_GB2312"/>
          <w:sz w:val="32"/>
          <w:szCs w:val="32"/>
          <w:lang w:val="en-US" w:eastAsia="zh-CN"/>
        </w:rPr>
        <w:t>2</w:t>
      </w:r>
      <w:r>
        <w:rPr>
          <w:rFonts w:hint="eastAsia" w:ascii="仿宋_GB2312" w:hAnsi="仿宋_GB2312" w:eastAsia="仿宋_GB2312" w:cs="仿宋_GB2312"/>
          <w:sz w:val="32"/>
          <w:szCs w:val="32"/>
        </w:rPr>
        <w:t>个民生小实事入选全市</w:t>
      </w:r>
      <w:r>
        <w:rPr>
          <w:rFonts w:hint="eastAsia" w:ascii="仿宋_GB2312" w:hAnsi="仿宋_GB2312" w:eastAsia="仿宋_GB2312" w:cs="仿宋_GB2312"/>
          <w:sz w:val="32"/>
          <w:szCs w:val="32"/>
          <w:lang w:val="en-US" w:eastAsia="zh-CN"/>
        </w:rPr>
        <w:t>优秀项目</w:t>
      </w:r>
      <w:r>
        <w:rPr>
          <w:rFonts w:hint="eastAsia" w:ascii="仿宋_GB2312" w:hAnsi="仿宋_GB2312" w:eastAsia="仿宋_GB2312" w:cs="仿宋_GB2312"/>
          <w:sz w:val="32"/>
          <w:szCs w:val="32"/>
        </w:rPr>
        <w:t>。城乡美化工作激发了群众美化家园、建设幸福盘龙的积极性、主动性、创造性，进一步改善了居住环境、增进了邻里关系，提升了群众幸福感。</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rPr>
      </w:pPr>
      <w:r>
        <w:rPr>
          <w:rFonts w:hint="eastAsia" w:ascii="楷体_GB2312" w:hAnsi="楷体_GB2312" w:eastAsia="楷体_GB2312" w:cs="楷体_GB2312"/>
          <w:sz w:val="32"/>
          <w:szCs w:val="32"/>
        </w:rPr>
        <w:t>（三）社区治理不断深化。</w:t>
      </w:r>
      <w:r>
        <w:rPr>
          <w:rFonts w:hint="eastAsia" w:ascii="仿宋_GB2312" w:hAnsi="仿宋_GB2312" w:eastAsia="仿宋_GB2312" w:cs="仿宋_GB2312"/>
          <w:sz w:val="32"/>
          <w:szCs w:val="32"/>
        </w:rPr>
        <w:t>围绕社区工作事项和人员匹配，采取面上摸排、蹲点访查方式，深入开展调研，分析现状、剖析问题，形成社区工作情况调研报告1篇。扎实推进社区（村）党群服务中心亲民化改造，联合区委组织部、区民政局出台《盘龙区社区（村）党群服务中心亲民化改造提升工作方案》，优化空间布局、整合功能设置、营造服务场景，打造居民群众的邻里中心和温馨家园，全年完成鼓楼街道凤凰社区、联盟街道金菊路社区、金辰街道清泉社区等10个社区亲民化改造。细化疫情防控网格化管理，加强网格队伍建设和机制建设，提升社区疫情防控应急响应能力，抓实社会面重点人员排查，严格落实常态化疫情防控措施，社区社会动员体系不断完善。</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rPr>
      </w:pPr>
      <w:r>
        <w:rPr>
          <w:rFonts w:hint="eastAsia" w:ascii="楷体_GB2312" w:hAnsi="楷体_GB2312" w:eastAsia="楷体_GB2312" w:cs="楷体_GB2312"/>
          <w:sz w:val="32"/>
          <w:szCs w:val="32"/>
        </w:rPr>
        <w:t>（四）小区治理逐步拓展。</w:t>
      </w:r>
      <w:r>
        <w:rPr>
          <w:rFonts w:hint="eastAsia" w:ascii="仿宋_GB2312" w:hAnsi="仿宋_GB2312" w:eastAsia="仿宋_GB2312" w:cs="仿宋_GB2312"/>
          <w:sz w:val="32"/>
          <w:szCs w:val="32"/>
        </w:rPr>
        <w:t>协同小区党支部、物委会全覆盖建设，围绕小区党建引领自治、邻里关系、管理服务、环境品质、治安秩序等，动员街道社区积极申报，完成拓东街道、东华街道、联盟街道、金辰街道等6个“百佳小区”创建。借助民生小实事项目，选取条件成熟的无人管理老旧小区，完善基础设施、改善环境、整治秩序，打造小区治理空间，引导群众自治，总结提炼自治管理、临近代管、引入物业3种模式，拟制《关于加强无人管理老旧小区治理的意见》，逐步推广。</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rPr>
      </w:pPr>
      <w:r>
        <w:rPr>
          <w:rFonts w:hint="eastAsia" w:ascii="楷体_GB2312" w:hAnsi="楷体_GB2312" w:eastAsia="楷体_GB2312" w:cs="楷体_GB2312"/>
          <w:sz w:val="32"/>
          <w:szCs w:val="32"/>
        </w:rPr>
        <w:t>（五）推进工作融合。</w:t>
      </w:r>
      <w:r>
        <w:rPr>
          <w:rFonts w:hint="eastAsia" w:ascii="仿宋_GB2312" w:hAnsi="仿宋_GB2312" w:eastAsia="仿宋_GB2312" w:cs="仿宋_GB2312"/>
          <w:sz w:val="32"/>
          <w:szCs w:val="32"/>
        </w:rPr>
        <w:t>联系工青妇等群团组织，引导群团组织拓展功能和创新工作，召开党建带群建促社建工作会议，发布实施“同心·幸福食堂”新社会阶层助力社会治理项目等17个党建带群建促社建项目，促使其在基层社会治理中发挥更加积极的作用。积极对接水务、城改等部门，加强雨污分流整治、老旧小区微改造工作中群众动员参与，推动群众自治、提升基层治理精细化水平，把民生工程做成群众满意工程。</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rPr>
      </w:pPr>
      <w:r>
        <w:rPr>
          <w:rFonts w:hint="eastAsia" w:ascii="楷体_GB2312" w:hAnsi="楷体_GB2312" w:eastAsia="楷体_GB2312" w:cs="楷体_GB2312"/>
          <w:sz w:val="32"/>
          <w:szCs w:val="32"/>
        </w:rPr>
        <w:t>（六）强化基础保障。</w:t>
      </w:r>
      <w:r>
        <w:rPr>
          <w:rFonts w:hint="eastAsia" w:ascii="仿宋_GB2312" w:hAnsi="仿宋_GB2312" w:eastAsia="仿宋_GB2312" w:cs="仿宋_GB2312"/>
          <w:sz w:val="32"/>
          <w:szCs w:val="32"/>
        </w:rPr>
        <w:t>开展优秀“楼栋长、十户长”评选和优秀社会工作人才选拔，向市级推荐4名优秀“楼栋长”、8名优秀社会工作人才，加强宣传，营造良好氛围。聚焦能力提升，组织开展“首届社区工作人员动员组织能力竞赛”，激发社区工作者工作激情。采取集中授课、分组研讨、经验交流等形式，分层分类开展培训，先后针对区、街道、社区、居民骨干等不同层面组织开展基层治理专题培训13期、724人次，覆盖全区103个社区。</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黑体" w:hAnsi="黑体" w:eastAsia="黑体" w:cs="黑体"/>
          <w:sz w:val="32"/>
          <w:szCs w:val="32"/>
        </w:rPr>
      </w:pPr>
      <w:r>
        <w:rPr>
          <w:rFonts w:hint="eastAsia" w:ascii="黑体" w:hAnsi="黑体" w:eastAsia="黑体" w:cs="黑体"/>
          <w:sz w:val="32"/>
          <w:szCs w:val="32"/>
          <w:lang w:val="en-US" w:eastAsia="zh-CN"/>
        </w:rPr>
        <w:t>六、</w:t>
      </w:r>
      <w:r>
        <w:rPr>
          <w:rFonts w:hint="eastAsia" w:ascii="黑体" w:hAnsi="黑体" w:eastAsia="黑体" w:cs="黑体"/>
          <w:sz w:val="32"/>
          <w:szCs w:val="32"/>
        </w:rPr>
        <w:t>主要经验及做法</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202</w:t>
      </w:r>
      <w:r>
        <w:rPr>
          <w:rFonts w:hint="eastAsia" w:ascii="仿宋_GB2312" w:hAnsi="仿宋_GB2312" w:eastAsia="仿宋_GB2312" w:cs="仿宋_GB2312"/>
          <w:sz w:val="32"/>
          <w:szCs w:val="32"/>
          <w:lang w:val="en-US" w:eastAsia="zh-CN"/>
        </w:rPr>
        <w:t>2</w:t>
      </w:r>
      <w:r>
        <w:rPr>
          <w:rFonts w:hint="eastAsia" w:ascii="仿宋_GB2312" w:hAnsi="仿宋_GB2312" w:eastAsia="仿宋_GB2312" w:cs="仿宋_GB2312"/>
          <w:sz w:val="32"/>
          <w:szCs w:val="32"/>
        </w:rPr>
        <w:t>年，</w:t>
      </w:r>
      <w:r>
        <w:rPr>
          <w:rFonts w:hint="eastAsia" w:ascii="仿宋_GB2312" w:hAnsi="仿宋_GB2312" w:eastAsia="仿宋_GB2312" w:cs="仿宋_GB2312"/>
          <w:sz w:val="32"/>
          <w:szCs w:val="32"/>
          <w:lang w:val="en-US" w:eastAsia="zh-CN"/>
        </w:rPr>
        <w:t>区委社会工委</w:t>
      </w:r>
      <w:r>
        <w:rPr>
          <w:rFonts w:hint="eastAsia" w:ascii="仿宋_GB2312" w:hAnsi="仿宋_GB2312" w:eastAsia="仿宋_GB2312" w:cs="仿宋_GB2312"/>
          <w:sz w:val="32"/>
          <w:szCs w:val="32"/>
        </w:rPr>
        <w:t>紧紧围绕年初制定的工作方案，切实履行职责，主动积极作为，加大工作力度，重点做好</w:t>
      </w:r>
      <w:r>
        <w:rPr>
          <w:rFonts w:hint="eastAsia" w:ascii="仿宋_GB2312" w:hAnsi="仿宋_GB2312" w:eastAsia="仿宋_GB2312" w:cs="仿宋_GB2312"/>
          <w:sz w:val="32"/>
          <w:szCs w:val="32"/>
          <w:lang w:val="en-US" w:eastAsia="zh-CN"/>
        </w:rPr>
        <w:t>民生小实事、“最美系列”、百佳小区创建</w:t>
      </w:r>
      <w:r>
        <w:rPr>
          <w:rFonts w:hint="eastAsia" w:ascii="仿宋_GB2312" w:hAnsi="仿宋_GB2312" w:eastAsia="仿宋_GB2312" w:cs="仿宋_GB2312"/>
          <w:sz w:val="32"/>
          <w:szCs w:val="32"/>
        </w:rPr>
        <w:t>等诸多工作。区财政对该项目的投入是对我</w:t>
      </w:r>
      <w:r>
        <w:rPr>
          <w:rFonts w:hint="eastAsia" w:ascii="仿宋_GB2312" w:hAnsi="仿宋_GB2312" w:eastAsia="仿宋_GB2312" w:cs="仿宋_GB2312"/>
          <w:sz w:val="32"/>
          <w:szCs w:val="32"/>
          <w:lang w:val="en-US" w:eastAsia="zh-CN"/>
        </w:rPr>
        <w:t>委</w:t>
      </w:r>
      <w:r>
        <w:rPr>
          <w:rFonts w:hint="eastAsia" w:ascii="仿宋_GB2312" w:hAnsi="仿宋_GB2312" w:eastAsia="仿宋_GB2312" w:cs="仿宋_GB2312"/>
          <w:sz w:val="32"/>
          <w:szCs w:val="32"/>
        </w:rPr>
        <w:t>职责职能的资金保证。加强业务培训和信息宣传，提高各科室业务知识水平和实际操作技能是保证工作质量，确保该项目顺利实施的基本要求。</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黑体" w:hAnsi="黑体" w:eastAsia="黑体" w:cs="黑体"/>
          <w:sz w:val="32"/>
          <w:szCs w:val="32"/>
        </w:rPr>
      </w:pPr>
      <w:r>
        <w:rPr>
          <w:rFonts w:hint="eastAsia" w:ascii="黑体" w:hAnsi="黑体" w:eastAsia="黑体" w:cs="黑体"/>
          <w:sz w:val="32"/>
          <w:szCs w:val="32"/>
          <w:lang w:val="en-US" w:eastAsia="zh-CN"/>
        </w:rPr>
        <w:t>七、</w:t>
      </w:r>
      <w:r>
        <w:rPr>
          <w:rFonts w:hint="eastAsia" w:ascii="黑体" w:hAnsi="黑体" w:eastAsia="黑体" w:cs="黑体"/>
          <w:sz w:val="32"/>
          <w:szCs w:val="32"/>
        </w:rPr>
        <w:t>存在的问题</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部分工作业务还有待深化拓展，资金监管手段循旧，缺乏专业技术人才，科学化、信息化管理水平有待进一步提高，缺乏对新形势和新要求的深入研究和探索。具体项目有时未严格按要求完成资金使用进度等。</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ascii="黑体" w:hAnsi="黑体" w:eastAsia="黑体"/>
          <w:sz w:val="32"/>
          <w:szCs w:val="32"/>
        </w:rPr>
      </w:pPr>
      <w:r>
        <w:rPr>
          <w:rFonts w:hint="eastAsia" w:ascii="黑体" w:hAnsi="黑体" w:eastAsia="黑体"/>
          <w:sz w:val="32"/>
          <w:szCs w:val="32"/>
        </w:rPr>
        <w:t>八、改进措施及建议</w:t>
      </w:r>
      <w:r>
        <w:rPr>
          <w:rFonts w:hint="eastAsia" w:ascii="黑体" w:hAnsi="黑体" w:eastAsia="黑体"/>
          <w:sz w:val="32"/>
          <w:szCs w:val="32"/>
        </w:rPr>
        <w:tab/>
      </w:r>
      <w:r>
        <w:rPr>
          <w:rFonts w:hint="eastAsia" w:ascii="黑体" w:hAnsi="黑体" w:eastAsia="黑体"/>
          <w:sz w:val="32"/>
          <w:szCs w:val="32"/>
        </w:rPr>
        <w:t xml:space="preserve"> </w:t>
      </w:r>
    </w:p>
    <w:p>
      <w:pPr>
        <w:topLinePunct/>
        <w:spacing w:line="520" w:lineRule="exact"/>
        <w:ind w:firstLine="643" w:firstLineChars="200"/>
        <w:outlineLvl w:val="3"/>
        <w:rPr>
          <w:rFonts w:hint="eastAsia" w:ascii="楷体" w:hAnsi="楷体" w:eastAsia="楷体" w:cs="仿宋_GB2312"/>
          <w:b/>
          <w:color w:val="000000"/>
          <w:kern w:val="0"/>
          <w:sz w:val="32"/>
          <w:szCs w:val="32"/>
        </w:rPr>
      </w:pPr>
      <w:r>
        <w:rPr>
          <w:rFonts w:hint="eastAsia" w:ascii="楷体" w:hAnsi="楷体" w:eastAsia="楷体" w:cs="仿宋_GB2312"/>
          <w:b/>
          <w:color w:val="000000"/>
          <w:kern w:val="0"/>
          <w:sz w:val="32"/>
          <w:szCs w:val="32"/>
        </w:rPr>
        <w:t>（一）改进措施</w:t>
      </w:r>
    </w:p>
    <w:p>
      <w:pPr>
        <w:topLinePunct/>
        <w:spacing w:line="520" w:lineRule="exact"/>
        <w:ind w:firstLine="640" w:firstLineChars="200"/>
        <w:outlineLvl w:val="3"/>
        <w:rPr>
          <w:rFonts w:hint="eastAsia"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rPr>
        <w:t>一是加强人员培训。借区财政提供学习培训机会，加大对单位参与绩效评价的人员培训力度，充实业务知识；</w:t>
      </w:r>
    </w:p>
    <w:p>
      <w:pPr>
        <w:topLinePunct/>
        <w:spacing w:line="520" w:lineRule="exact"/>
        <w:ind w:firstLine="640" w:firstLineChars="200"/>
        <w:outlineLvl w:val="3"/>
        <w:rPr>
          <w:rFonts w:hint="eastAsia" w:ascii="仿宋_GB2312" w:hAnsi="仿宋_GB2312" w:eastAsia="仿宋_GB2312" w:cs="仿宋_GB2312"/>
          <w:color w:val="000000"/>
          <w:kern w:val="0"/>
          <w:sz w:val="32"/>
          <w:szCs w:val="32"/>
          <w:lang w:eastAsia="zh-CN"/>
        </w:rPr>
      </w:pPr>
      <w:r>
        <w:rPr>
          <w:rFonts w:hint="eastAsia" w:ascii="仿宋_GB2312" w:hAnsi="仿宋_GB2312" w:eastAsia="仿宋_GB2312" w:cs="仿宋_GB2312"/>
          <w:color w:val="000000"/>
          <w:kern w:val="0"/>
          <w:sz w:val="32"/>
          <w:szCs w:val="32"/>
        </w:rPr>
        <w:t>二是积极完善运用绩效评价结果。进一步完善绩效评价结果运用机制，将评价结果作为申报以后年度预算的重要依据，发挥绩效评价工作的应有作用</w:t>
      </w:r>
      <w:r>
        <w:rPr>
          <w:rFonts w:hint="eastAsia" w:ascii="仿宋_GB2312" w:hAnsi="仿宋_GB2312" w:eastAsia="仿宋_GB2312" w:cs="仿宋_GB2312"/>
          <w:color w:val="000000"/>
          <w:kern w:val="0"/>
          <w:sz w:val="32"/>
          <w:szCs w:val="32"/>
          <w:lang w:eastAsia="zh-CN"/>
        </w:rPr>
        <w:t>。</w:t>
      </w:r>
    </w:p>
    <w:p>
      <w:pPr>
        <w:topLinePunct/>
        <w:spacing w:line="520" w:lineRule="exact"/>
        <w:ind w:firstLine="643" w:firstLineChars="200"/>
        <w:outlineLvl w:val="3"/>
        <w:rPr>
          <w:rFonts w:hint="eastAsia" w:ascii="楷体" w:hAnsi="楷体" w:eastAsia="楷体" w:cs="仿宋_GB2312"/>
          <w:b/>
          <w:color w:val="000000"/>
          <w:kern w:val="0"/>
          <w:sz w:val="32"/>
          <w:szCs w:val="32"/>
        </w:rPr>
      </w:pPr>
      <w:r>
        <w:rPr>
          <w:rFonts w:hint="eastAsia" w:ascii="楷体" w:hAnsi="楷体" w:eastAsia="楷体" w:cs="仿宋_GB2312"/>
          <w:b/>
          <w:color w:val="000000"/>
          <w:kern w:val="0"/>
          <w:sz w:val="32"/>
          <w:szCs w:val="32"/>
        </w:rPr>
        <w:t>（二）建议</w:t>
      </w:r>
    </w:p>
    <w:p>
      <w:pPr>
        <w:topLinePunct/>
        <w:spacing w:line="520" w:lineRule="exact"/>
        <w:ind w:firstLine="640" w:firstLineChars="200"/>
        <w:outlineLvl w:val="3"/>
        <w:rPr>
          <w:rFonts w:hint="eastAsia"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rPr>
        <w:t>建议区财政局进一步加强对预算单位绩效管理工作的培训与指导。</w:t>
      </w:r>
    </w:p>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sz w:val="32"/>
          <w:szCs w:val="32"/>
        </w:rPr>
      </w:pPr>
    </w:p>
    <w:sectPr>
      <w:pgSz w:w="11906" w:h="16838"/>
      <w:pgMar w:top="2154" w:right="1531" w:bottom="2098" w:left="1531"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方正小标宋简体">
    <w:panose1 w:val="02010601030101010101"/>
    <w:charset w:val="86"/>
    <w:family w:val="script"/>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方正小标宋_GBK">
    <w:panose1 w:val="03000509000000000000"/>
    <w:charset w:val="86"/>
    <w:family w:val="script"/>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 w:name="楷体">
    <w:panose1 w:val="02010609060101010101"/>
    <w:charset w:val="86"/>
    <w:family w:val="modern"/>
    <w:pitch w:val="default"/>
    <w:sig w:usb0="800002BF" w:usb1="38CF7CFA" w:usb2="00000016" w:usb3="00000000" w:csb0="00040001" w:csb1="00000000"/>
  </w:font>
  <w:font w:name="华文仿宋">
    <w:panose1 w:val="02010600040101010101"/>
    <w:charset w:val="86"/>
    <w:family w:val="auto"/>
    <w:pitch w:val="default"/>
    <w:sig w:usb0="00000287" w:usb1="080F0000" w:usb2="00000000" w:usb3="00000000" w:csb0="0004009F" w:csb1="DFD7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3"/>
                            <w:rPr>
                              <w:rFonts w:hint="eastAsia" w:ascii="宋体" w:hAnsi="宋体" w:eastAsia="宋体" w:cs="宋体"/>
                              <w:sz w:val="28"/>
                              <w:szCs w:val="28"/>
                            </w:rPr>
                          </w:pP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eXtc4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DHl7XOMQIAAGEEAAAOAAAAAAAAAAEAIAAAAB8BAABkcnMvZTJvRG9jLnhtbFBLBQYA&#10;AAAABgAGAFkBAADCBQAAAAA=&#10;">
              <v:fill on="f" focussize="0,0"/>
              <v:stroke on="f" weight="0.5pt"/>
              <v:imagedata o:title=""/>
              <o:lock v:ext="edit" aspectratio="f"/>
              <v:textbox inset="0mm,0mm,0mm,0mm" style="mso-fit-shape-to-text:t;">
                <w:txbxContent>
                  <w:p>
                    <w:pPr>
                      <w:pStyle w:val="3"/>
                      <w:rPr>
                        <w:rFonts w:hint="eastAsia" w:ascii="宋体" w:hAnsi="宋体" w:eastAsia="宋体" w:cs="宋体"/>
                        <w:sz w:val="28"/>
                        <w:szCs w:val="28"/>
                      </w:rPr>
                    </w:pP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p>
                </w:txbxContent>
              </v:textbox>
            </v:shape>
          </w:pict>
        </mc:Fallback>
      </mc:AlternateContent>
    </w:r>
  </w:p>
  <w:p>
    <w:pPr>
      <w:pStyle w:val="3"/>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241512BF"/>
    <w:rsid w:val="35843871"/>
    <w:rsid w:val="4BE04861"/>
    <w:rsid w:val="65412E7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iPriority="99"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paragraph" w:styleId="2">
    <w:name w:val="heading 1"/>
    <w:basedOn w:val="1"/>
    <w:next w:val="1"/>
    <w:qFormat/>
    <w:uiPriority w:val="9"/>
    <w:pPr>
      <w:keepNext/>
      <w:keepLines/>
      <w:spacing w:before="340" w:after="330" w:line="578" w:lineRule="auto"/>
      <w:outlineLvl w:val="0"/>
    </w:pPr>
    <w:rPr>
      <w:b/>
      <w:bCs/>
      <w:kern w:val="44"/>
      <w:sz w:val="44"/>
      <w:szCs w:val="44"/>
    </w:rPr>
  </w:style>
  <w:style w:type="character" w:default="1" w:styleId="6">
    <w:name w:val="Default Paragraph Font"/>
    <w:semiHidden/>
    <w:uiPriority w:val="0"/>
  </w:style>
  <w:style w:type="table" w:default="1" w:styleId="5">
    <w:name w:val="Normal Table"/>
    <w:semiHidden/>
    <w:uiPriority w:val="0"/>
    <w:tblPr>
      <w:tblCellMar>
        <w:top w:w="0" w:type="dxa"/>
        <w:left w:w="108" w:type="dxa"/>
        <w:bottom w:w="0" w:type="dxa"/>
        <w:right w:w="108" w:type="dxa"/>
      </w:tblCellMar>
    </w:tblPr>
  </w:style>
  <w:style w:type="paragraph" w:styleId="3">
    <w:name w:val="footer"/>
    <w:basedOn w:val="1"/>
    <w:unhideWhenUsed/>
    <w:qFormat/>
    <w:uiPriority w:val="99"/>
    <w:pPr>
      <w:tabs>
        <w:tab w:val="center" w:pos="4153"/>
        <w:tab w:val="right" w:pos="8306"/>
      </w:tabs>
      <w:snapToGrid w:val="0"/>
      <w:jc w:val="left"/>
    </w:pPr>
    <w:rPr>
      <w:kern w:val="0"/>
      <w:sz w:val="18"/>
      <w:szCs w:val="18"/>
    </w:rPr>
  </w:style>
  <w:style w:type="paragraph" w:styleId="4">
    <w:name w:val="header"/>
    <w:basedOn w:val="1"/>
    <w:unhideWhenUsed/>
    <w:qFormat/>
    <w:uiPriority w:val="99"/>
    <w:pPr>
      <w:pBdr>
        <w:bottom w:val="single" w:color="auto" w:sz="6" w:space="1"/>
      </w:pBdr>
      <w:tabs>
        <w:tab w:val="center" w:pos="4153"/>
        <w:tab w:val="right" w:pos="8306"/>
      </w:tabs>
      <w:snapToGrid w:val="0"/>
      <w:jc w:val="center"/>
    </w:pPr>
    <w:rPr>
      <w:kern w:val="0"/>
      <w:sz w:val="18"/>
      <w:szCs w:val="18"/>
    </w:rPr>
  </w:style>
  <w:style w:type="paragraph" w:customStyle="1" w:styleId="7">
    <w:name w:val="正文 A"/>
    <w:uiPriority w:val="99"/>
    <w:pPr>
      <w:spacing w:after="200" w:line="276" w:lineRule="auto"/>
    </w:pPr>
    <w:rPr>
      <w:rFonts w:ascii="Calibri" w:hAnsi="Calibri" w:eastAsia="宋体" w:cs="Calibri"/>
      <w:color w:val="000000"/>
      <w:sz w:val="22"/>
      <w:szCs w:val="22"/>
      <w:u w:val="none" w:color="000000"/>
      <w:lang w:val="en-US" w:eastAsia="zh-CN" w:bidi="ar-SA"/>
    </w:rPr>
  </w:style>
  <w:style w:type="paragraph" w:customStyle="1" w:styleId="8">
    <w:name w:val="TOC 标题1"/>
    <w:basedOn w:val="2"/>
    <w:next w:val="1"/>
    <w:uiPriority w:val="99"/>
    <w:pPr>
      <w:widowControl/>
      <w:spacing w:before="480" w:after="0" w:line="276" w:lineRule="auto"/>
      <w:jc w:val="left"/>
      <w:outlineLvl w:val="9"/>
    </w:pPr>
    <w:rPr>
      <w:rFonts w:ascii="Cambria" w:hAnsi="Cambria" w:eastAsia="宋体" w:cs="Cambria"/>
      <w:color w:val="365F91"/>
      <w:kern w:val="0"/>
      <w:sz w:val="28"/>
      <w:szCs w:val="2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31</TotalTime>
  <ScaleCrop>false</ScaleCrop>
  <LinksUpToDate>false</LinksUpToDate>
  <CharactersWithSpaces>0</CharactersWithSpaces>
  <Application>WPS Office_11.8.6.11020_F1E327BC-269C-435d-A152-05C5408002CA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2023-04-20T09:22:00Z</dcterms:created>
  <dc:creator>Lenovo</dc:creator>
  <cp:lastModifiedBy>Lenovo</cp:lastModifiedBy>
  <cp:lastPrinted>2023-04-25T08:14:36Z</cp:lastPrinted>
  <dcterms:modified xsi:type="dcterms:W3CDTF">2023-04-25T08:15:09Z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2052-11.8.6.11020</vt:lpwstr>
  </property>
  <property fmtid="{D5CDD505-2E9C-101B-9397-08002B2CF9AE}" pid="3" name="ICV">
    <vt:lpwstr>DBEE2154702D46BC9AA2C2D8857FA3E1</vt:lpwstr>
  </property>
</Properties>
</file>