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jc w:val="center"/>
        <w:rPr>
          <w:rFonts w:ascii="Times New Roman" w:hAnsi="Times New Roman" w:cs="Times New Roman"/>
          <w:color w:val="auto"/>
        </w:rPr>
      </w:pPr>
      <w:r>
        <w:rPr>
          <w:rFonts w:hint="eastAsia" w:ascii="Times New Roman" w:hAnsi="Times New Roman" w:cs="宋体"/>
          <w:color w:val="auto"/>
          <w:lang w:val="zh-CN"/>
        </w:rPr>
        <w:t>目录</w:t>
      </w:r>
    </w:p>
    <w:p>
      <w:pPr>
        <w:spacing w:line="440" w:lineRule="exact"/>
        <w:ind w:firstLine="420" w:firstLineChars="200"/>
        <w:jc w:val="left"/>
        <w:rPr>
          <w:rFonts w:ascii="黑体" w:hAnsi="黑体" w:eastAsia="黑体"/>
          <w:szCs w:val="32"/>
        </w:rPr>
      </w:pPr>
      <w:r>
        <w:rPr>
          <w:rFonts w:hint="eastAsia" w:ascii="黑体" w:hAnsi="黑体" w:eastAsia="黑体"/>
          <w:szCs w:val="32"/>
        </w:rPr>
        <w:t>摘要</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 项目基本情况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（一）项目立项背景</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（二）项目立项依据 </w:t>
      </w:r>
    </w:p>
    <w:p>
      <w:pPr>
        <w:spacing w:line="440" w:lineRule="exact"/>
        <w:ind w:firstLine="420" w:firstLineChars="200"/>
        <w:jc w:val="left"/>
        <w:rPr>
          <w:rFonts w:ascii="黑体" w:hAnsi="黑体" w:eastAsia="黑体"/>
          <w:szCs w:val="32"/>
        </w:rPr>
      </w:pPr>
      <w:r>
        <w:rPr>
          <w:rFonts w:hint="eastAsia" w:ascii="黑体" w:hAnsi="黑体" w:eastAsia="黑体"/>
          <w:szCs w:val="32"/>
        </w:rPr>
        <w:t>（三）项目实施内容</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（四）项目实施计划及完成情况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（五）项目的组织及管理</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（六）项目绩效目标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(一)评价的目的和依据</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(二)绩效评价工作方案制定过程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(三)绩效评价原则、评价方法等</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(四)绩效评价实施过程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(五)绩效评价的局限性</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三、评价结论及绩效分析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(二)绩效分析</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四、项目主要经验及做法、存在的问题和建议 </w:t>
      </w:r>
    </w:p>
    <w:p>
      <w:pPr>
        <w:spacing w:line="440" w:lineRule="exact"/>
        <w:ind w:firstLine="420" w:firstLineChars="200"/>
        <w:jc w:val="left"/>
        <w:rPr>
          <w:rFonts w:ascii="黑体" w:hAnsi="黑体" w:eastAsia="黑体"/>
          <w:szCs w:val="32"/>
        </w:rPr>
      </w:pPr>
      <w:r>
        <w:rPr>
          <w:rFonts w:hint="eastAsia" w:ascii="黑体" w:hAnsi="黑体" w:eastAsia="黑体"/>
          <w:szCs w:val="32"/>
        </w:rPr>
        <w:t>(一)主要经验及做法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(二)存在的问题</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(三)建议和改进措施 </w:t>
      </w:r>
    </w:p>
    <w:p>
      <w:pPr>
        <w:spacing w:line="440" w:lineRule="exact"/>
        <w:ind w:firstLine="420" w:firstLineChars="200"/>
        <w:jc w:val="left"/>
        <w:rPr>
          <w:rFonts w:ascii="黑体" w:hAnsi="黑体" w:eastAsia="黑体"/>
          <w:szCs w:val="32"/>
        </w:rPr>
      </w:pPr>
      <w:r>
        <w:rPr>
          <w:rFonts w:hint="eastAsia" w:ascii="黑体" w:hAnsi="黑体" w:eastAsia="黑体"/>
          <w:szCs w:val="32"/>
        </w:rPr>
        <w:t>五、附件</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附件一：指标体系</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附件二：基础数据表</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附件三：问卷调查分析报告</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附件四：①立项申请、批复文件；②绩效目标申报表</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ab/>
      </w:r>
      <w:r>
        <w:rPr>
          <w:rFonts w:hint="eastAsia" w:ascii="黑体" w:hAnsi="黑体" w:eastAsia="黑体"/>
          <w:szCs w:val="32"/>
        </w:rPr>
        <w:t xml:space="preserve">  </w:t>
      </w:r>
    </w:p>
    <w:p>
      <w:pPr>
        <w:spacing w:line="540" w:lineRule="exact"/>
        <w:rPr>
          <w:rFonts w:ascii="方正小标宋_GBK" w:hAnsi="黑体" w:eastAsia="方正小标宋_GBK"/>
          <w:szCs w:val="32"/>
        </w:rPr>
      </w:pPr>
    </w:p>
    <w:p>
      <w:pPr>
        <w:spacing w:line="440" w:lineRule="exact"/>
        <w:jc w:val="center"/>
        <w:rPr>
          <w:rFonts w:ascii="方正小标宋_GBK" w:eastAsia="方正小标宋_GBK"/>
          <w:sz w:val="36"/>
          <w:szCs w:val="36"/>
        </w:rPr>
      </w:pPr>
      <w:r>
        <w:rPr>
          <w:rFonts w:hint="eastAsia" w:ascii="方正小标宋_GBK" w:eastAsia="方正小标宋_GBK"/>
          <w:sz w:val="36"/>
          <w:szCs w:val="36"/>
        </w:rPr>
        <w:t>街道运转工作经费项目支出</w:t>
      </w:r>
    </w:p>
    <w:p>
      <w:pPr>
        <w:spacing w:line="440" w:lineRule="exact"/>
        <w:jc w:val="center"/>
        <w:rPr>
          <w:rFonts w:ascii="方正小标宋_GBK" w:eastAsia="方正小标宋_GBK"/>
          <w:sz w:val="36"/>
          <w:szCs w:val="36"/>
        </w:rPr>
      </w:pPr>
      <w:r>
        <w:rPr>
          <w:rFonts w:hint="eastAsia" w:ascii="方正小标宋_GBK" w:eastAsia="方正小标宋_GBK"/>
          <w:sz w:val="36"/>
          <w:szCs w:val="36"/>
        </w:rPr>
        <w:t>绩效自评报告</w:t>
      </w:r>
    </w:p>
    <w:p>
      <w:pPr>
        <w:spacing w:line="440" w:lineRule="exact"/>
        <w:ind w:firstLine="420" w:firstLineChars="200"/>
        <w:jc w:val="left"/>
        <w:rPr>
          <w:rFonts w:ascii="仿宋_GB2312" w:hAnsi="仿宋_GB2312" w:eastAsia="仿宋_GB2312" w:cs="仿宋_GB2312"/>
          <w:szCs w:val="32"/>
        </w:rPr>
      </w:pPr>
    </w:p>
    <w:p>
      <w:pPr>
        <w:spacing w:line="440" w:lineRule="exact"/>
        <w:ind w:firstLine="560" w:firstLineChars="200"/>
        <w:jc w:val="center"/>
        <w:rPr>
          <w:rFonts w:ascii="方正小标宋_GBK" w:hAnsi="黑体" w:eastAsia="方正小标宋_GBK"/>
          <w:sz w:val="28"/>
          <w:szCs w:val="28"/>
        </w:rPr>
      </w:pPr>
      <w:r>
        <w:rPr>
          <w:rFonts w:hint="eastAsia" w:ascii="方正小标宋_GBK" w:hAnsi="黑体" w:eastAsia="方正小标宋_GBK"/>
          <w:sz w:val="28"/>
          <w:szCs w:val="28"/>
        </w:rPr>
        <w:t>摘要</w:t>
      </w:r>
    </w:p>
    <w:p>
      <w:pPr>
        <w:spacing w:line="360" w:lineRule="auto"/>
        <w:ind w:firstLine="560" w:firstLineChars="200"/>
        <w:jc w:val="left"/>
        <w:rPr>
          <w:rFonts w:ascii="黑体" w:hAnsi="黑体" w:eastAsia="黑体" w:cs="黑体"/>
          <w:sz w:val="28"/>
          <w:szCs w:val="28"/>
        </w:rPr>
      </w:pPr>
      <w:r>
        <w:rPr>
          <w:rFonts w:hint="eastAsia" w:ascii="黑体" w:hAnsi="黑体" w:eastAsia="黑体" w:cs="黑体"/>
          <w:sz w:val="28"/>
          <w:szCs w:val="28"/>
        </w:rPr>
        <w:t>一、项目概况</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按照市、区对街道办事处的要求，保证街道招商引资、税收、县域经济、重点工作、重点项目、城市管理、劳动保障、科教文体、安全生产等工作的推进和完成。按照街道党工委、办事处的要求，参与政务和事务管理，统筹落实好区政府下达的各项工作任务指标，做好机关各项后勤保障工作，做好辖区各类民众咨询、服务工作，为街道办事处各项工作正常运转提供有力保障，全心全意为辖区</w:t>
      </w:r>
      <w:r>
        <w:rPr>
          <w:rFonts w:hint="eastAsia" w:ascii="仿宋_GB2312" w:hAnsi="仿宋_GB2312" w:eastAsia="仿宋_GB2312" w:cs="仿宋_GB2312"/>
          <w:sz w:val="28"/>
          <w:szCs w:val="28"/>
          <w:lang w:eastAsia="zh-CN"/>
        </w:rPr>
        <w:t>群众</w:t>
      </w:r>
      <w:r>
        <w:rPr>
          <w:rFonts w:hint="eastAsia" w:ascii="仿宋_GB2312" w:hAnsi="仿宋_GB2312" w:eastAsia="仿宋_GB2312" w:cs="仿宋_GB2312"/>
          <w:sz w:val="28"/>
          <w:szCs w:val="28"/>
        </w:rPr>
        <w:t>服务。项目预算收入 444.99 万元，预算支出444.99万元，结余0.00元。</w:t>
      </w:r>
    </w:p>
    <w:p>
      <w:pPr>
        <w:spacing w:line="360" w:lineRule="auto"/>
        <w:ind w:firstLine="560" w:firstLineChars="200"/>
        <w:jc w:val="left"/>
        <w:rPr>
          <w:rFonts w:ascii="黑体" w:hAnsi="黑体" w:eastAsia="黑体" w:cs="黑体"/>
          <w:sz w:val="28"/>
          <w:szCs w:val="28"/>
        </w:rPr>
      </w:pPr>
      <w:r>
        <w:rPr>
          <w:rFonts w:hint="eastAsia" w:ascii="黑体" w:hAnsi="黑体" w:eastAsia="黑体" w:cs="黑体"/>
          <w:sz w:val="28"/>
          <w:szCs w:val="28"/>
        </w:rPr>
        <w:t>二、评价结论</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街道运转工作经费项目评价得</w:t>
      </w:r>
      <w:r>
        <w:rPr>
          <w:rFonts w:hint="eastAsia" w:ascii="仿宋_GB2312" w:hAnsi="仿宋_GB2312" w:eastAsia="仿宋_GB2312" w:cs="仿宋_GB2312"/>
          <w:color w:val="000000" w:themeColor="text1"/>
          <w:sz w:val="28"/>
          <w:szCs w:val="28"/>
          <w14:textFill>
            <w14:solidFill>
              <w14:schemeClr w14:val="tx1"/>
            </w14:solidFill>
          </w14:textFill>
        </w:rPr>
        <w:t>分</w:t>
      </w:r>
      <w:r>
        <w:rPr>
          <w:rFonts w:ascii="仿宋_GB2312" w:hAnsi="仿宋_GB2312" w:eastAsia="仿宋_GB2312" w:cs="仿宋_GB2312"/>
          <w:color w:val="000000" w:themeColor="text1"/>
          <w:sz w:val="28"/>
          <w:szCs w:val="28"/>
          <w14:textFill>
            <w14:solidFill>
              <w14:schemeClr w14:val="tx1"/>
            </w14:solidFill>
          </w14:textFill>
        </w:rPr>
        <w:t>97.50</w:t>
      </w:r>
      <w:r>
        <w:rPr>
          <w:rFonts w:hint="eastAsia" w:ascii="仿宋_GB2312" w:hAnsi="仿宋_GB2312" w:eastAsia="仿宋_GB2312" w:cs="仿宋_GB2312"/>
          <w:sz w:val="28"/>
          <w:szCs w:val="28"/>
        </w:rPr>
        <w:t>分，评价结果为优。达成了预期的绩效目标，切实做到了用实、用好财政资金。</w:t>
      </w:r>
    </w:p>
    <w:p>
      <w:pPr>
        <w:spacing w:line="360" w:lineRule="auto"/>
        <w:ind w:firstLine="560" w:firstLineChars="200"/>
        <w:jc w:val="left"/>
        <w:rPr>
          <w:rFonts w:ascii="黑体" w:hAnsi="黑体" w:eastAsia="黑体" w:cs="黑体"/>
          <w:sz w:val="28"/>
          <w:szCs w:val="28"/>
        </w:rPr>
      </w:pPr>
      <w:r>
        <w:rPr>
          <w:rFonts w:hint="eastAsia" w:ascii="黑体" w:hAnsi="黑体" w:eastAsia="黑体" w:cs="黑体"/>
          <w:sz w:val="28"/>
          <w:szCs w:val="28"/>
        </w:rPr>
        <w:t>三、经验、问题和建议</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1.主要经验及做法</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项目主要是为街道办事处的运转提供管理、维护等支持。通过有计划、有预算地使用项目经费，能够在控制成本的前提下，确保街道办事处整体职能的高效运转。同时，通过运用灵活机动的协调管理方式，在街道办事处的正常运转及应急事件的处置中发挥积极的作用。</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2.存在的问题</w:t>
      </w:r>
    </w:p>
    <w:p>
      <w:pPr>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项目实施后可有效提高单位内部各个部门、科室的相互配合，随着项目协调部门、科室的增多，单位内部控制制度的不足开始显露，为保障单位内部控制制度的完善，需定期进行整体内部控制风险评估工作，并根据评估结果进行相应的内控制度的修改。</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3.改进措施及建议</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按照《行政事业单位内部控制规范（试行）》（财会〔2012〕21号）的规定，持续动态地完善内部控制。</w:t>
      </w:r>
    </w:p>
    <w:p>
      <w:pPr>
        <w:spacing w:line="360" w:lineRule="auto"/>
        <w:jc w:val="left"/>
        <w:rPr>
          <w:rFonts w:ascii="仿宋_GB2312" w:hAnsi="仿宋_GB2312" w:eastAsia="仿宋_GB2312" w:cs="仿宋_GB2312"/>
          <w:sz w:val="28"/>
          <w:szCs w:val="28"/>
        </w:rPr>
      </w:pPr>
    </w:p>
    <w:p>
      <w:pPr>
        <w:spacing w:line="360" w:lineRule="auto"/>
        <w:ind w:firstLine="560" w:firstLineChars="200"/>
        <w:jc w:val="left"/>
        <w:rPr>
          <w:rFonts w:ascii="仿宋_GB2312" w:hAnsi="仿宋_GB2312" w:eastAsia="仿宋_GB2312" w:cs="仿宋_GB2312"/>
          <w:sz w:val="28"/>
          <w:szCs w:val="28"/>
        </w:rPr>
      </w:pPr>
    </w:p>
    <w:p>
      <w:pPr>
        <w:spacing w:line="360" w:lineRule="auto"/>
        <w:ind w:firstLine="560" w:firstLineChars="200"/>
        <w:jc w:val="left"/>
        <w:rPr>
          <w:rFonts w:ascii="仿宋_GB2312" w:hAnsi="仿宋_GB2312" w:eastAsia="仿宋_GB2312" w:cs="仿宋_GB2312"/>
          <w:sz w:val="28"/>
          <w:szCs w:val="28"/>
        </w:rPr>
      </w:pPr>
    </w:p>
    <w:p>
      <w:pPr>
        <w:spacing w:line="360" w:lineRule="auto"/>
        <w:ind w:firstLine="560" w:firstLineChars="200"/>
        <w:jc w:val="left"/>
        <w:rPr>
          <w:rFonts w:ascii="仿宋_GB2312" w:hAnsi="仿宋_GB2312" w:eastAsia="仿宋_GB2312" w:cs="仿宋_GB2312"/>
          <w:sz w:val="28"/>
          <w:szCs w:val="28"/>
        </w:rPr>
      </w:pPr>
    </w:p>
    <w:p>
      <w:pPr>
        <w:spacing w:line="360" w:lineRule="auto"/>
        <w:ind w:firstLine="560" w:firstLineChars="200"/>
        <w:jc w:val="left"/>
        <w:rPr>
          <w:rFonts w:ascii="仿宋_GB2312" w:hAnsi="仿宋_GB2312" w:eastAsia="仿宋_GB2312" w:cs="仿宋_GB2312"/>
          <w:sz w:val="28"/>
          <w:szCs w:val="28"/>
        </w:rPr>
      </w:pPr>
    </w:p>
    <w:p>
      <w:pPr>
        <w:spacing w:line="360" w:lineRule="auto"/>
        <w:ind w:firstLine="560" w:firstLineChars="200"/>
        <w:jc w:val="left"/>
        <w:rPr>
          <w:rFonts w:ascii="仿宋_GB2312" w:hAnsi="仿宋_GB2312" w:eastAsia="仿宋_GB2312" w:cs="仿宋_GB2312"/>
          <w:sz w:val="28"/>
          <w:szCs w:val="28"/>
        </w:rPr>
      </w:pPr>
    </w:p>
    <w:p>
      <w:pPr>
        <w:spacing w:line="360" w:lineRule="auto"/>
        <w:ind w:firstLine="560" w:firstLineChars="200"/>
        <w:jc w:val="left"/>
        <w:rPr>
          <w:rFonts w:ascii="仿宋_GB2312" w:hAnsi="仿宋_GB2312" w:eastAsia="仿宋_GB2312" w:cs="仿宋_GB2312"/>
          <w:sz w:val="28"/>
          <w:szCs w:val="28"/>
        </w:rPr>
      </w:pPr>
    </w:p>
    <w:p>
      <w:pPr>
        <w:spacing w:line="360" w:lineRule="auto"/>
        <w:ind w:firstLine="560" w:firstLineChars="200"/>
        <w:jc w:val="left"/>
        <w:rPr>
          <w:rFonts w:ascii="仿宋_GB2312" w:hAnsi="仿宋_GB2312" w:eastAsia="仿宋_GB2312" w:cs="仿宋_GB2312"/>
          <w:sz w:val="28"/>
          <w:szCs w:val="28"/>
        </w:rPr>
      </w:pPr>
    </w:p>
    <w:p>
      <w:pPr>
        <w:spacing w:line="360" w:lineRule="auto"/>
        <w:ind w:firstLine="560" w:firstLineChars="200"/>
        <w:jc w:val="left"/>
        <w:rPr>
          <w:rFonts w:ascii="仿宋_GB2312" w:hAnsi="仿宋_GB2312" w:eastAsia="仿宋_GB2312" w:cs="仿宋_GB2312"/>
          <w:sz w:val="28"/>
          <w:szCs w:val="28"/>
        </w:rPr>
      </w:pPr>
    </w:p>
    <w:p>
      <w:pPr>
        <w:spacing w:line="360" w:lineRule="auto"/>
        <w:ind w:firstLine="560" w:firstLineChars="200"/>
        <w:jc w:val="left"/>
        <w:rPr>
          <w:rFonts w:ascii="仿宋_GB2312" w:hAnsi="仿宋_GB2312" w:eastAsia="仿宋_GB2312" w:cs="仿宋_GB2312"/>
          <w:sz w:val="28"/>
          <w:szCs w:val="28"/>
        </w:rPr>
      </w:pPr>
    </w:p>
    <w:p>
      <w:pPr>
        <w:spacing w:line="360" w:lineRule="auto"/>
        <w:ind w:firstLine="560" w:firstLineChars="200"/>
        <w:jc w:val="left"/>
        <w:rPr>
          <w:rFonts w:ascii="仿宋_GB2312" w:hAnsi="仿宋_GB2312" w:eastAsia="仿宋_GB2312" w:cs="仿宋_GB2312"/>
          <w:sz w:val="28"/>
          <w:szCs w:val="28"/>
        </w:rPr>
      </w:pPr>
    </w:p>
    <w:p>
      <w:pPr>
        <w:spacing w:line="360" w:lineRule="auto"/>
        <w:ind w:firstLine="560" w:firstLineChars="200"/>
        <w:jc w:val="left"/>
        <w:rPr>
          <w:rFonts w:ascii="仿宋_GB2312" w:hAnsi="仿宋_GB2312" w:eastAsia="仿宋_GB2312" w:cs="仿宋_GB2312"/>
          <w:sz w:val="28"/>
          <w:szCs w:val="28"/>
        </w:rPr>
      </w:pPr>
    </w:p>
    <w:p>
      <w:pPr>
        <w:spacing w:line="360" w:lineRule="auto"/>
        <w:ind w:firstLine="560" w:firstLineChars="200"/>
        <w:jc w:val="left"/>
        <w:rPr>
          <w:rFonts w:ascii="仿宋_GB2312" w:hAnsi="仿宋_GB2312" w:eastAsia="仿宋_GB2312" w:cs="仿宋_GB2312"/>
          <w:sz w:val="28"/>
          <w:szCs w:val="28"/>
        </w:rPr>
      </w:pPr>
    </w:p>
    <w:p>
      <w:pPr>
        <w:spacing w:line="360" w:lineRule="auto"/>
        <w:ind w:firstLine="560" w:firstLineChars="200"/>
        <w:jc w:val="left"/>
        <w:rPr>
          <w:rFonts w:ascii="仿宋_GB2312" w:hAnsi="仿宋_GB2312" w:eastAsia="仿宋_GB2312" w:cs="仿宋_GB2312"/>
          <w:sz w:val="28"/>
          <w:szCs w:val="28"/>
        </w:rPr>
      </w:pPr>
    </w:p>
    <w:p>
      <w:pPr>
        <w:spacing w:line="360" w:lineRule="auto"/>
        <w:ind w:firstLine="560" w:firstLineChars="200"/>
        <w:jc w:val="left"/>
        <w:rPr>
          <w:rFonts w:ascii="仿宋_GB2312" w:hAnsi="仿宋_GB2312" w:eastAsia="仿宋_GB2312" w:cs="仿宋_GB2312"/>
          <w:sz w:val="28"/>
          <w:szCs w:val="28"/>
        </w:rPr>
      </w:pPr>
    </w:p>
    <w:p>
      <w:pPr>
        <w:spacing w:line="360" w:lineRule="auto"/>
        <w:ind w:firstLine="560" w:firstLineChars="200"/>
        <w:jc w:val="left"/>
        <w:rPr>
          <w:rFonts w:ascii="仿宋_GB2312" w:hAnsi="仿宋_GB2312" w:eastAsia="仿宋_GB2312" w:cs="仿宋_GB2312"/>
          <w:sz w:val="28"/>
          <w:szCs w:val="28"/>
        </w:rPr>
      </w:pPr>
    </w:p>
    <w:p>
      <w:pPr>
        <w:spacing w:line="440" w:lineRule="exact"/>
        <w:jc w:val="center"/>
        <w:rPr>
          <w:rFonts w:ascii="黑体" w:hAnsi="黑体" w:eastAsia="黑体" w:cs="黑体"/>
          <w:bCs/>
          <w:sz w:val="28"/>
          <w:szCs w:val="28"/>
        </w:rPr>
      </w:pPr>
      <w:r>
        <w:rPr>
          <w:rFonts w:hint="eastAsia" w:ascii="黑体" w:hAnsi="黑体" w:eastAsia="黑体" w:cs="黑体"/>
          <w:bCs/>
          <w:sz w:val="28"/>
          <w:szCs w:val="28"/>
        </w:rPr>
        <w:t>正文：街道运转工作经费项目支出绩效自评报告</w:t>
      </w:r>
    </w:p>
    <w:p>
      <w:pPr>
        <w:spacing w:line="360" w:lineRule="auto"/>
        <w:jc w:val="left"/>
        <w:rPr>
          <w:rFonts w:ascii="仿宋_GB2312" w:hAnsi="仿宋_GB2312" w:eastAsia="仿宋_GB2312" w:cs="仿宋_GB2312"/>
          <w:sz w:val="28"/>
          <w:szCs w:val="28"/>
        </w:rPr>
      </w:pPr>
    </w:p>
    <w:p>
      <w:pPr>
        <w:spacing w:line="360" w:lineRule="auto"/>
        <w:ind w:firstLine="560" w:firstLineChars="200"/>
        <w:jc w:val="left"/>
        <w:rPr>
          <w:rFonts w:ascii="黑体" w:hAnsi="黑体" w:eastAsia="黑体" w:cs="黑体"/>
          <w:sz w:val="28"/>
          <w:szCs w:val="28"/>
        </w:rPr>
      </w:pPr>
      <w:r>
        <w:rPr>
          <w:rFonts w:hint="eastAsia" w:ascii="黑体" w:hAnsi="黑体" w:eastAsia="黑体" w:cs="黑体"/>
          <w:sz w:val="28"/>
          <w:szCs w:val="28"/>
        </w:rPr>
        <w:t>一、项目基本情况</w:t>
      </w:r>
    </w:p>
    <w:p>
      <w:pPr>
        <w:spacing w:line="360" w:lineRule="auto"/>
        <w:ind w:firstLine="560" w:firstLineChars="200"/>
        <w:jc w:val="left"/>
        <w:rPr>
          <w:rFonts w:ascii="楷体" w:hAnsi="楷体" w:eastAsia="楷体" w:cs="楷体"/>
          <w:sz w:val="28"/>
          <w:szCs w:val="28"/>
        </w:rPr>
      </w:pPr>
      <w:r>
        <w:rPr>
          <w:rFonts w:hint="eastAsia" w:ascii="楷体" w:hAnsi="楷体" w:eastAsia="楷体" w:cs="楷体"/>
          <w:sz w:val="28"/>
          <w:szCs w:val="28"/>
        </w:rPr>
        <w:t>（一）项目概况</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1.立项背景及目的</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按照市、区对街道办事处的要求，保证街道招商引资、税收、县域经济、重点工作、重点项目、城市管理、劳动保障、科教文体、安全生产等工作的推进和完成。按照街道党工委、办事处的要求，参与政务和事务管理，统筹落实好区政府下达的各项工作任务指标，做好机关各项后勤保障工作，做好辖区各类民众咨询、服务工作，为街道办事处各项工作正常运转提供有力保障，全心全意为辖区</w:t>
      </w:r>
      <w:r>
        <w:rPr>
          <w:rFonts w:hint="eastAsia" w:ascii="仿宋_GB2312" w:hAnsi="仿宋_GB2312" w:eastAsia="仿宋_GB2312" w:cs="仿宋_GB2312"/>
          <w:sz w:val="28"/>
          <w:szCs w:val="28"/>
          <w:lang w:eastAsia="zh-CN"/>
        </w:rPr>
        <w:t>群众</w:t>
      </w:r>
      <w:r>
        <w:rPr>
          <w:rFonts w:hint="eastAsia" w:ascii="仿宋_GB2312" w:hAnsi="仿宋_GB2312" w:eastAsia="仿宋_GB2312" w:cs="仿宋_GB2312"/>
          <w:sz w:val="28"/>
          <w:szCs w:val="28"/>
        </w:rPr>
        <w:t>服务。</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2.项目实施情况</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2022年度街道运转工作经费预算资金为444.99万元，已于2022年12月31日以前全部支出完毕，经费的投入保障了办事处各项工作的开展，调动了人员工作的积极性，加强了设备设施的管理与维护，保障了日常工作的正常运行。办事处在保证工作按时、按质、按量完成的前提下，以勤俭节约、量力而行为原则，严格坚持合理适用、量力而行，充分利用有限的资金，科学组织，严格控制经费支出，注重维护和完善使用功能，对资金使用严格财经纪律，专款专用，确保资金使用效率。</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3.资金来源及使用情况</w:t>
      </w:r>
    </w:p>
    <w:p>
      <w:pPr>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2022年度街道运转工作经费预算总投入444.99万元，2022年度实际到位444.99万元，支出444.99万元，结余0.00万元。支出内容包括东华街道物业管理费、职工伙食费、保洁人员及保安人员工资、第三方服务及辖区范围内的绿化管养和工程费用等。</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4.组织及管理情况</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项目由行政办牵头，各科室具体负责组织并实施，项目资金严格按照文件规定，严格经费开支范围，未发现挤占、挪用、截留经费的情况。</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经费的支出均按照街道办事处的内部审批流程执行，由使用科室根据项目预算情况申请支出，履行完单位的审批流程后，由财政所负责款项的支付与核算，经费的管理与核算严格按照经费的开支范围执行，确保专款专用。</w:t>
      </w:r>
    </w:p>
    <w:p>
      <w:pPr>
        <w:spacing w:line="360" w:lineRule="auto"/>
        <w:ind w:firstLine="560" w:firstLineChars="200"/>
        <w:jc w:val="left"/>
        <w:rPr>
          <w:rFonts w:ascii="楷体" w:hAnsi="楷体" w:eastAsia="楷体" w:cs="楷体"/>
          <w:sz w:val="28"/>
          <w:szCs w:val="28"/>
        </w:rPr>
      </w:pPr>
      <w:r>
        <w:rPr>
          <w:rFonts w:hint="eastAsia" w:ascii="楷体" w:hAnsi="楷体" w:eastAsia="楷体" w:cs="楷体"/>
          <w:sz w:val="28"/>
          <w:szCs w:val="28"/>
        </w:rPr>
        <w:t>（二）绩效目标</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1.总目标</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按照省、市、区对街道办事处的要求，保证街道招商引资、税收、县域经济、重点工作、重点项目、城市管理、劳动保障、科教文卫体、安全生产等工作的推进和完成。为街道办事处各项工作正常运转提供有力保障，全心全意为辖区</w:t>
      </w:r>
      <w:r>
        <w:rPr>
          <w:rFonts w:hint="eastAsia" w:ascii="仿宋_GB2312" w:hAnsi="仿宋_GB2312" w:eastAsia="仿宋_GB2312" w:cs="仿宋_GB2312"/>
          <w:sz w:val="28"/>
          <w:szCs w:val="28"/>
          <w:lang w:eastAsia="zh-CN"/>
        </w:rPr>
        <w:t>群众</w:t>
      </w:r>
      <w:r>
        <w:rPr>
          <w:rFonts w:hint="eastAsia" w:ascii="仿宋_GB2312" w:hAnsi="仿宋_GB2312" w:eastAsia="仿宋_GB2312" w:cs="仿宋_GB2312"/>
          <w:sz w:val="28"/>
          <w:szCs w:val="28"/>
        </w:rPr>
        <w:t>服务。</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2.年度目标</w:t>
      </w:r>
    </w:p>
    <w:p>
      <w:pPr>
        <w:numPr>
          <w:ilvl w:val="0"/>
          <w:numId w:val="1"/>
        </w:num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负责完成行政领导交办的各项工作任务，参与政务和事务管理，拟定工作计划和各项规章制度，组织绩效、内控、管理相关培训；</w:t>
      </w:r>
    </w:p>
    <w:p>
      <w:pPr>
        <w:numPr>
          <w:ilvl w:val="0"/>
          <w:numId w:val="1"/>
        </w:num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为街道各项工作顺利开展提供各类后勤保障；</w:t>
      </w:r>
    </w:p>
    <w:p>
      <w:pPr>
        <w:numPr>
          <w:ilvl w:val="0"/>
          <w:numId w:val="1"/>
        </w:num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协助完成街道协税护税、招商引资、固投、限额以上消费品销售、人均可支配收入指标等各项经济工作任务；</w:t>
      </w:r>
    </w:p>
    <w:p>
      <w:pPr>
        <w:numPr>
          <w:ilvl w:val="0"/>
          <w:numId w:val="1"/>
        </w:num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负责办公用品、设备、邮件收发、安全保卫、会务、单位档案、街道机关食堂、车辆管理、政务信息等街道日常行政事务工作；</w:t>
      </w:r>
    </w:p>
    <w:p>
      <w:pPr>
        <w:numPr>
          <w:ilvl w:val="0"/>
          <w:numId w:val="1"/>
        </w:num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组织开展五级治理工作，保质保量完成街道办事处全面行政工作，顺利通过各级党委、政府的各类考核；</w:t>
      </w:r>
    </w:p>
    <w:p>
      <w:pPr>
        <w:numPr>
          <w:ilvl w:val="0"/>
          <w:numId w:val="1"/>
        </w:num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认真贯彻落实区委、区政府、区委政法委的指示精神，突出推进社会矛盾化解、社会管理创新、公正廉洁执法三项重点，努力创建和谐社会，提高辖区安定、和谐的社会环境，配合相关部门开展各类环境保护工作，高标准履行工作职责，确保辖区环境进一步得到改善。</w:t>
      </w:r>
    </w:p>
    <w:p>
      <w:pPr>
        <w:spacing w:line="360" w:lineRule="auto"/>
        <w:ind w:firstLine="560" w:firstLineChars="200"/>
        <w:jc w:val="left"/>
        <w:rPr>
          <w:rFonts w:ascii="黑体" w:hAnsi="黑体" w:eastAsia="黑体" w:cs="黑体"/>
          <w:sz w:val="28"/>
          <w:szCs w:val="28"/>
        </w:rPr>
      </w:pPr>
      <w:r>
        <w:rPr>
          <w:rFonts w:hint="eastAsia" w:ascii="黑体" w:hAnsi="黑体" w:eastAsia="黑体" w:cs="黑体"/>
          <w:sz w:val="28"/>
          <w:szCs w:val="28"/>
        </w:rPr>
        <w:t>二、绩效评价工作情况</w:t>
      </w:r>
    </w:p>
    <w:p>
      <w:pPr>
        <w:spacing w:line="360" w:lineRule="auto"/>
        <w:ind w:firstLine="560" w:firstLineChars="200"/>
        <w:jc w:val="left"/>
        <w:rPr>
          <w:rFonts w:ascii="楷体" w:hAnsi="楷体" w:eastAsia="楷体" w:cs="楷体"/>
          <w:sz w:val="28"/>
          <w:szCs w:val="28"/>
        </w:rPr>
      </w:pPr>
      <w:r>
        <w:rPr>
          <w:rFonts w:hint="eastAsia" w:ascii="楷体" w:hAnsi="楷体" w:eastAsia="楷体" w:cs="楷体"/>
          <w:sz w:val="28"/>
          <w:szCs w:val="28"/>
        </w:rPr>
        <w:t>（一）绩效评价目的</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的有效性，评价财政资金的使用效率和效果，为以后年度编制项目预算、选择项目实施主体等提供参考依据。</w:t>
      </w:r>
    </w:p>
    <w:p>
      <w:pPr>
        <w:spacing w:line="360" w:lineRule="auto"/>
        <w:ind w:firstLine="560" w:firstLineChars="200"/>
        <w:jc w:val="left"/>
        <w:rPr>
          <w:rFonts w:ascii="楷体" w:hAnsi="楷体" w:eastAsia="楷体" w:cs="楷体"/>
          <w:sz w:val="28"/>
          <w:szCs w:val="28"/>
        </w:rPr>
      </w:pPr>
      <w:r>
        <w:rPr>
          <w:rFonts w:hint="eastAsia" w:ascii="楷体" w:hAnsi="楷体" w:eastAsia="楷体" w:cs="楷体"/>
          <w:sz w:val="28"/>
          <w:szCs w:val="28"/>
        </w:rPr>
        <w:t>（二）绩效评价工作方案制定过程</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绩效评价指标体系包括适用于所有评价对象的共性指标和针对部门或项目特点设定的个性指标。即预算编制和执行情况、财务管理状况、社会效益、经济效益等。其中个性指标在项目支出绩效评价共性指标体系框架的基础上，结合年初预算批复的项目支出绩效指标、部门职责以及项目特点，补充设计个性指标，确定项目绩效评价指标体系，同时根据评价情况积累经验，逐步建立适应街道办项目特点的绩效评价指标库。绩效评价指标体系由分级指标、指标权重和评分标准构成。指标体系包含项目决策（20％）、项目管理（20％）、项目绩效（60％）三方面。</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工作方案明确评价对象、评价目的、评价内容、评价方法、指标体系框架、组织形式等内容。评价小组按照设定的绩效评价指标进行现场实地调研和勘察，并对勘察情况进行视图和文字记录，最后整理形成项目绩效评价报告。</w:t>
      </w:r>
    </w:p>
    <w:p>
      <w:pPr>
        <w:spacing w:line="360" w:lineRule="auto"/>
        <w:ind w:firstLine="560" w:firstLineChars="200"/>
        <w:jc w:val="left"/>
        <w:rPr>
          <w:rFonts w:ascii="楷体" w:hAnsi="楷体" w:eastAsia="楷体" w:cs="楷体"/>
          <w:sz w:val="28"/>
          <w:szCs w:val="28"/>
        </w:rPr>
      </w:pPr>
      <w:r>
        <w:rPr>
          <w:rFonts w:hint="eastAsia" w:ascii="楷体" w:hAnsi="楷体" w:eastAsia="楷体" w:cs="楷体"/>
          <w:sz w:val="28"/>
          <w:szCs w:val="28"/>
        </w:rPr>
        <w:t>（三）绩效评价原则、评价方法</w:t>
      </w:r>
    </w:p>
    <w:p>
      <w:pPr>
        <w:topLinePunct/>
        <w:spacing w:line="360" w:lineRule="auto"/>
        <w:ind w:left="559" w:leftChars="266"/>
        <w:rPr>
          <w:rFonts w:ascii="仿宋_GB2312" w:hAnsi="仿宋_GB2312" w:eastAsia="仿宋_GB2312" w:cs="仿宋_GB2312"/>
          <w:sz w:val="28"/>
          <w:szCs w:val="28"/>
        </w:rPr>
      </w:pPr>
      <w:r>
        <w:rPr>
          <w:rFonts w:hint="eastAsia" w:ascii="仿宋_GB2312" w:hAnsi="仿宋_GB2312" w:eastAsia="仿宋_GB2312" w:cs="仿宋_GB2312"/>
          <w:sz w:val="28"/>
          <w:szCs w:val="28"/>
        </w:rPr>
        <w:t>1.绩效评价原则</w:t>
      </w:r>
    </w:p>
    <w:p>
      <w:pPr>
        <w:topLinePunct/>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（1）科学规范原则。绩效评价应当严格执行规定的程序，按照科学可行的要求，采用定量与定性分析相结合的方法。</w:t>
      </w:r>
    </w:p>
    <w:p>
      <w:pPr>
        <w:topLinePunct/>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（2）公正公开原则。绩效评价应当符合真实、客观、公正的要求，依法公开并接受监督。</w:t>
      </w:r>
    </w:p>
    <w:p>
      <w:pPr>
        <w:topLinePunct/>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（3）绩效相关原则。绩效评价应当针对具体支出及其产出绩效进行，评价结果应当清晰反映支出和产出绩效之间的紧密对应关系。</w:t>
      </w:r>
    </w:p>
    <w:p>
      <w:pPr>
        <w:topLinePunct/>
        <w:spacing w:line="360" w:lineRule="auto"/>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sz w:val="28"/>
          <w:szCs w:val="28"/>
        </w:rPr>
        <w:t>2.绩效评价方法</w:t>
      </w:r>
    </w:p>
    <w:p>
      <w:pPr>
        <w:topLinePunct/>
        <w:spacing w:line="360" w:lineRule="auto"/>
        <w:ind w:firstLine="700" w:firstLineChars="25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对于项目决策和项目管理指标，主要采用综合分析法，通过对决策及管理的各环节进行考核，与相关的流程及制度进行对比，考核决策及管理环节内控制度的建立及执行情况，按各因素及各环节分别打分考核。</w:t>
      </w:r>
    </w:p>
    <w:p>
      <w:pPr>
        <w:topLinePunct/>
        <w:spacing w:line="360" w:lineRule="auto"/>
        <w:ind w:firstLine="700" w:firstLineChars="25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对于项目绩效指标，采用比较法、因素分析法及公众评判法。社会效益、满意度等效益指标无法准确量化，采用公众评判法，通过问卷调查的方式进行考核。项目产出指标根据具体情况采用比较法及因素分析法，将产出情况按数量、质量、时效等因素分别分析，制定相应的考核指标，采用历史数据对比或者与计划数据对比的方式进行考核。</w:t>
      </w:r>
    </w:p>
    <w:p>
      <w:pPr>
        <w:topLinePunct/>
        <w:spacing w:line="360" w:lineRule="auto"/>
        <w:ind w:firstLine="700" w:firstLineChars="25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（3）成本效益分析法。是指将一定时期内的支出与效益进行对比分析，以评价绩效目标实现程度。</w:t>
      </w:r>
    </w:p>
    <w:p>
      <w:pPr>
        <w:spacing w:line="360" w:lineRule="auto"/>
        <w:ind w:firstLine="560" w:firstLineChars="200"/>
        <w:jc w:val="left"/>
        <w:rPr>
          <w:rFonts w:ascii="楷体" w:hAnsi="楷体" w:eastAsia="楷体" w:cs="楷体"/>
          <w:sz w:val="28"/>
          <w:szCs w:val="28"/>
        </w:rPr>
      </w:pPr>
      <w:r>
        <w:rPr>
          <w:rFonts w:hint="eastAsia" w:ascii="楷体" w:hAnsi="楷体" w:eastAsia="楷体" w:cs="楷体"/>
          <w:sz w:val="28"/>
          <w:szCs w:val="28"/>
        </w:rPr>
        <w:t>（四）绩效评价实施过程</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1.数据填报和采集</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由项目负责科室进行项目总结，汇总填报项目相关情况，形成项目年度总结报告。绩效自评小组根据科室填报的数据及总结报告内容，初步审阅并追加采集需要的材料。</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2.社会调查</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根据采集的数据，制定绩效评价指标体系，对于采用公众评判法作为考核依据的事项，设计调查问卷进行调研。</w:t>
      </w:r>
    </w:p>
    <w:p>
      <w:pPr>
        <w:topLinePunct/>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3.数据分析和撰写报告</w:t>
      </w:r>
    </w:p>
    <w:p>
      <w:pPr>
        <w:topLinePunct/>
        <w:spacing w:line="360" w:lineRule="auto"/>
        <w:ind w:left="420" w:leftChars="200" w:firstLine="280" w:firstLineChars="1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（1）汇总分析调研数据，编制调研报告，对相应指标进行打分评价。</w:t>
      </w:r>
    </w:p>
    <w:p>
      <w:pPr>
        <w:topLinePunct/>
        <w:spacing w:line="360" w:lineRule="auto"/>
        <w:ind w:firstLine="700" w:firstLineChars="25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（2）根据指标体系逐一进行资料及考核内容的评价工作，形成评价底稿并汇总出评价结果。</w:t>
      </w:r>
    </w:p>
    <w:p>
      <w:pPr>
        <w:topLinePunct/>
        <w:spacing w:line="360" w:lineRule="auto"/>
        <w:ind w:firstLine="700" w:firstLineChars="250"/>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（3）根据评价过程及评价结果，撰写绩效评价报告。</w:t>
      </w:r>
    </w:p>
    <w:p>
      <w:pPr>
        <w:spacing w:line="360" w:lineRule="auto"/>
        <w:ind w:firstLine="560" w:firstLineChars="200"/>
        <w:jc w:val="left"/>
        <w:rPr>
          <w:rFonts w:ascii="楷体" w:hAnsi="楷体" w:eastAsia="楷体" w:cs="楷体"/>
          <w:sz w:val="28"/>
          <w:szCs w:val="28"/>
        </w:rPr>
      </w:pPr>
      <w:r>
        <w:rPr>
          <w:rFonts w:hint="eastAsia" w:ascii="楷体" w:hAnsi="楷体" w:eastAsia="楷体" w:cs="楷体"/>
          <w:sz w:val="28"/>
          <w:szCs w:val="28"/>
        </w:rPr>
        <w:t>（五）本次绩效评价的局限性</w:t>
      </w:r>
    </w:p>
    <w:p>
      <w:pPr>
        <w:topLinePunct/>
        <w:spacing w:line="360" w:lineRule="auto"/>
        <w:ind w:firstLine="700" w:firstLineChars="250"/>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本项目主要的实施内容是为单位的运行和行政管理工作提供各方面的保障，并未直接向社会公众提供产品或服务，在社会满意度调查方面，无法获得有效的反馈数据，故绩效评价的满意度指标取用整体绩效评价的调查结果，作为本项目的满意度指标考核依据。</w:t>
      </w:r>
    </w:p>
    <w:p>
      <w:pPr>
        <w:spacing w:line="360" w:lineRule="auto"/>
        <w:ind w:firstLine="560" w:firstLineChars="200"/>
        <w:jc w:val="left"/>
        <w:rPr>
          <w:rFonts w:ascii="黑体" w:hAnsi="黑体" w:eastAsia="黑体" w:cs="黑体"/>
          <w:sz w:val="28"/>
          <w:szCs w:val="28"/>
        </w:rPr>
      </w:pPr>
      <w:r>
        <w:rPr>
          <w:rFonts w:hint="eastAsia" w:ascii="黑体" w:hAnsi="黑体" w:eastAsia="黑体" w:cs="黑体"/>
          <w:sz w:val="28"/>
          <w:szCs w:val="28"/>
        </w:rPr>
        <w:t>三、评价结论和绩效分析</w:t>
      </w:r>
    </w:p>
    <w:p>
      <w:pPr>
        <w:spacing w:line="360" w:lineRule="auto"/>
        <w:ind w:firstLine="560" w:firstLineChars="200"/>
        <w:jc w:val="left"/>
        <w:rPr>
          <w:rFonts w:ascii="楷体" w:hAnsi="楷体" w:eastAsia="楷体" w:cs="楷体"/>
          <w:sz w:val="28"/>
          <w:szCs w:val="28"/>
        </w:rPr>
      </w:pPr>
      <w:r>
        <w:rPr>
          <w:rFonts w:hint="eastAsia" w:ascii="楷体" w:hAnsi="楷体" w:eastAsia="楷体" w:cs="楷体"/>
          <w:sz w:val="28"/>
          <w:szCs w:val="28"/>
        </w:rPr>
        <w:t>（一）评价结论</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1.评价结果</w:t>
      </w:r>
    </w:p>
    <w:p>
      <w:pPr>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sz w:val="28"/>
          <w:szCs w:val="28"/>
        </w:rPr>
        <w:t>街道运转工作经费项目评价得</w:t>
      </w:r>
      <w:r>
        <w:rPr>
          <w:rFonts w:hint="eastAsia" w:ascii="仿宋_GB2312" w:hAnsi="仿宋_GB2312" w:eastAsia="仿宋_GB2312" w:cs="仿宋_GB2312"/>
          <w:color w:val="000000" w:themeColor="text1"/>
          <w:sz w:val="28"/>
          <w:szCs w:val="28"/>
          <w14:textFill>
            <w14:solidFill>
              <w14:schemeClr w14:val="tx1"/>
            </w14:solidFill>
          </w14:textFill>
        </w:rPr>
        <w:t>分</w:t>
      </w:r>
      <w:r>
        <w:rPr>
          <w:rFonts w:ascii="仿宋_GB2312" w:hAnsi="仿宋_GB2312" w:eastAsia="仿宋_GB2312" w:cs="仿宋_GB2312"/>
          <w:color w:val="000000" w:themeColor="text1"/>
          <w:sz w:val="28"/>
          <w:szCs w:val="28"/>
          <w14:textFill>
            <w14:solidFill>
              <w14:schemeClr w14:val="tx1"/>
            </w14:solidFill>
          </w14:textFill>
        </w:rPr>
        <w:t>97.50</w:t>
      </w:r>
      <w:r>
        <w:rPr>
          <w:rFonts w:hint="eastAsia" w:ascii="仿宋_GB2312" w:hAnsi="仿宋_GB2312" w:eastAsia="仿宋_GB2312" w:cs="仿宋_GB2312"/>
          <w:sz w:val="28"/>
          <w:szCs w:val="28"/>
        </w:rPr>
        <w:t>分，评价结果为优。</w:t>
      </w:r>
      <w:r>
        <w:rPr>
          <w:rFonts w:hint="eastAsia" w:ascii="仿宋_GB2312" w:hAnsi="仿宋_GB2312" w:eastAsia="仿宋_GB2312" w:cs="仿宋_GB2312"/>
          <w:color w:val="000000"/>
          <w:sz w:val="28"/>
          <w:szCs w:val="28"/>
        </w:rPr>
        <w:t>达成了预期的绩效目标，切实做到了用实、用好财政资金。</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2.主要绩效</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在严格控制成本的前提下组织各部门草拟年度或阶段性工作计划、总结；负责单位行政规章制度的修订；负责办公用品、设备、安全保卫、会务、单位档案、街道机关食堂、车辆管理、政务信息等街道日常行政事务工作。协助各科室完成各项工作，必要时给予帮助，确保辖区</w:t>
      </w:r>
      <w:r>
        <w:rPr>
          <w:rFonts w:hint="eastAsia" w:ascii="仿宋_GB2312" w:hAnsi="仿宋_GB2312" w:eastAsia="仿宋_GB2312" w:cs="仿宋_GB2312"/>
          <w:sz w:val="28"/>
          <w:szCs w:val="28"/>
          <w:lang w:eastAsia="zh-CN"/>
        </w:rPr>
        <w:t>群众</w:t>
      </w:r>
      <w:r>
        <w:rPr>
          <w:rFonts w:hint="eastAsia" w:ascii="仿宋_GB2312" w:hAnsi="仿宋_GB2312" w:eastAsia="仿宋_GB2312" w:cs="仿宋_GB2312"/>
          <w:sz w:val="28"/>
          <w:szCs w:val="28"/>
        </w:rPr>
        <w:t>对街道各项服务满意。</w:t>
      </w:r>
    </w:p>
    <w:p>
      <w:pPr>
        <w:spacing w:line="360" w:lineRule="auto"/>
        <w:ind w:firstLine="560" w:firstLineChars="200"/>
        <w:jc w:val="left"/>
        <w:rPr>
          <w:rFonts w:ascii="楷体" w:hAnsi="楷体" w:eastAsia="楷体" w:cs="楷体"/>
          <w:sz w:val="28"/>
          <w:szCs w:val="28"/>
        </w:rPr>
      </w:pPr>
      <w:r>
        <w:rPr>
          <w:rFonts w:hint="eastAsia" w:ascii="楷体" w:hAnsi="楷体" w:eastAsia="楷体" w:cs="楷体"/>
          <w:sz w:val="28"/>
          <w:szCs w:val="28"/>
        </w:rPr>
        <w:t>（二）具体绩效分析</w:t>
      </w:r>
    </w:p>
    <w:p>
      <w:pPr>
        <w:topLinePunct/>
        <w:spacing w:line="360" w:lineRule="auto"/>
        <w:ind w:firstLine="700" w:firstLineChars="25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根据指标评价结果显示，该项目在</w:t>
      </w:r>
      <w:r>
        <w:rPr>
          <w:rFonts w:hint="eastAsia" w:ascii="仿宋_GB2312" w:hAnsi="仿宋_GB2312" w:eastAsia="仿宋_GB2312" w:cs="仿宋_GB2312"/>
          <w:sz w:val="28"/>
          <w:szCs w:val="28"/>
        </w:rPr>
        <w:t>指标细化分解、行政后勤服务、社会效益指标</w:t>
      </w:r>
      <w:r>
        <w:rPr>
          <w:rFonts w:hint="eastAsia" w:ascii="仿宋_GB2312" w:hAnsi="仿宋_GB2312" w:eastAsia="仿宋_GB2312" w:cs="仿宋_GB2312"/>
          <w:color w:val="000000"/>
          <w:sz w:val="28"/>
          <w:szCs w:val="28"/>
        </w:rPr>
        <w:t>方面存在不足，其他指标得分均为满分。</w:t>
      </w:r>
    </w:p>
    <w:p>
      <w:pPr>
        <w:topLinePunct/>
        <w:spacing w:line="360" w:lineRule="auto"/>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A221.指标细化分解情况满分3分，得分2分，</w:t>
      </w:r>
      <w:r>
        <w:rPr>
          <w:rFonts w:hint="eastAsia" w:ascii="仿宋_GB2312" w:hAnsi="仿宋_GB2312" w:eastAsia="仿宋_GB2312" w:cs="仿宋_GB2312"/>
          <w:color w:val="000000"/>
          <w:sz w:val="28"/>
          <w:szCs w:val="28"/>
        </w:rPr>
        <w:t>根</w:t>
      </w:r>
      <w:r>
        <w:rPr>
          <w:rFonts w:hint="eastAsia" w:ascii="仿宋_GB2312" w:hAnsi="仿宋_GB2312" w:eastAsia="仿宋_GB2312" w:cs="仿宋_GB2312"/>
          <w:sz w:val="28"/>
          <w:szCs w:val="28"/>
        </w:rPr>
        <w:t>据绩效目标申报表、立项申请、批复文件分析结果，2022年绩效指标细化分解部分内容不够清晰，得分2分。</w:t>
      </w:r>
    </w:p>
    <w:p>
      <w:pPr>
        <w:topLinePunct/>
        <w:spacing w:line="360" w:lineRule="auto"/>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C11.行政后勤服务满分5分，得分4.</w:t>
      </w:r>
      <w:r>
        <w:rPr>
          <w:rFonts w:ascii="仿宋_GB2312" w:hAnsi="仿宋_GB2312" w:eastAsia="仿宋_GB2312" w:cs="仿宋_GB2312"/>
          <w:sz w:val="28"/>
          <w:szCs w:val="28"/>
        </w:rPr>
        <w:t>5</w:t>
      </w:r>
      <w:r>
        <w:rPr>
          <w:rFonts w:hint="eastAsia" w:ascii="仿宋_GB2312" w:hAnsi="仿宋_GB2312" w:eastAsia="仿宋_GB2312" w:cs="仿宋_GB2312"/>
          <w:sz w:val="28"/>
          <w:szCs w:val="28"/>
        </w:rPr>
        <w:t>分。根据单位年度工作总结及问卷调查，单位职工询问机关食堂、后勤保障等整体服务水平评价有33.33%的职工认为服务水平一般。故酌情打分4.</w:t>
      </w:r>
      <w:r>
        <w:rPr>
          <w:rFonts w:ascii="仿宋_GB2312" w:hAnsi="仿宋_GB2312" w:eastAsia="仿宋_GB2312" w:cs="仿宋_GB2312"/>
          <w:sz w:val="28"/>
          <w:szCs w:val="28"/>
        </w:rPr>
        <w:t>5</w:t>
      </w:r>
      <w:r>
        <w:rPr>
          <w:rFonts w:hint="eastAsia" w:ascii="仿宋_GB2312" w:hAnsi="仿宋_GB2312" w:eastAsia="仿宋_GB2312" w:cs="仿宋_GB2312"/>
          <w:sz w:val="28"/>
          <w:szCs w:val="28"/>
        </w:rPr>
        <w:t>分。</w:t>
      </w:r>
    </w:p>
    <w:p>
      <w:pPr>
        <w:topLinePunct/>
        <w:spacing w:line="360" w:lineRule="auto"/>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rPr>
        <w:t>C21.社会效益指标满分10分，得9分。根据单位年度工作总结和问卷调查，部分外界环境因素无法完全消除。根据工作完成情况，酌情打分9分。</w:t>
      </w:r>
    </w:p>
    <w:p>
      <w:pPr>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其他指标均</w:t>
      </w:r>
      <w:r>
        <w:rPr>
          <w:rFonts w:hint="eastAsia" w:ascii="仿宋_GB2312" w:hAnsi="仿宋_GB2312" w:eastAsia="仿宋_GB2312" w:cs="仿宋_GB2312"/>
          <w:color w:val="000000"/>
          <w:sz w:val="28"/>
          <w:szCs w:val="28"/>
          <w:lang w:eastAsia="zh-CN"/>
        </w:rPr>
        <w:t>得</w:t>
      </w:r>
      <w:bookmarkStart w:id="2" w:name="_GoBack"/>
      <w:bookmarkEnd w:id="2"/>
      <w:r>
        <w:rPr>
          <w:rFonts w:hint="eastAsia" w:ascii="仿宋_GB2312" w:hAnsi="仿宋_GB2312" w:eastAsia="仿宋_GB2312" w:cs="仿宋_GB2312"/>
          <w:color w:val="000000"/>
          <w:sz w:val="28"/>
          <w:szCs w:val="28"/>
        </w:rPr>
        <w:t>满分，具体打分情况详见附件1</w:t>
      </w:r>
    </w:p>
    <w:p>
      <w:pPr>
        <w:spacing w:line="360" w:lineRule="auto"/>
        <w:ind w:firstLine="560" w:firstLineChars="200"/>
        <w:jc w:val="left"/>
        <w:rPr>
          <w:rFonts w:ascii="黑体" w:hAnsi="黑体" w:eastAsia="黑体" w:cs="黑体"/>
          <w:sz w:val="28"/>
          <w:szCs w:val="28"/>
        </w:rPr>
      </w:pPr>
      <w:r>
        <w:rPr>
          <w:rFonts w:hint="eastAsia" w:ascii="黑体" w:hAnsi="黑体" w:eastAsia="黑体" w:cs="黑体"/>
          <w:sz w:val="28"/>
          <w:szCs w:val="28"/>
        </w:rPr>
        <w:t>四、成本效益分析</w:t>
      </w:r>
    </w:p>
    <w:p>
      <w:pPr>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年度项目资金合计支出444.99万元，资金来源为财政拨款。本项目上年度支出363.60万元，本年度比上年度支出增加81.39万元，增长22.39%，资金的使用均按照文件相关规定执行，经费的列支均履行了相关审批手续，均属于本项目的列支范围。</w:t>
      </w:r>
    </w:p>
    <w:p>
      <w:pPr>
        <w:spacing w:line="360" w:lineRule="auto"/>
        <w:ind w:firstLine="560" w:firstLineChars="200"/>
        <w:jc w:val="left"/>
        <w:rPr>
          <w:rFonts w:ascii="仿宋_GB2312" w:hAnsi="仿宋_GB2312" w:eastAsia="仿宋_GB2312" w:cs="仿宋_GB2312"/>
          <w:sz w:val="28"/>
          <w:szCs w:val="28"/>
          <w:highlight w:val="lightGray"/>
        </w:rPr>
      </w:pPr>
      <w:r>
        <w:rPr>
          <w:rFonts w:hint="eastAsia" w:ascii="仿宋_GB2312" w:hAnsi="仿宋_GB2312" w:eastAsia="仿宋_GB2312" w:cs="仿宋_GB2312"/>
          <w:sz w:val="28"/>
          <w:szCs w:val="28"/>
        </w:rPr>
        <w:t>经费的支出均按照街道办事处的内部审批流程执行，由使用科室根据项目预算情况申请支出，履行完单位的审批流程后，由财政所负责款项的支付与核算，经费的管理与核算严格按照经费的开支范围执行，确保专款专用。</w:t>
      </w:r>
    </w:p>
    <w:p>
      <w:pPr>
        <w:spacing w:line="360" w:lineRule="auto"/>
        <w:ind w:firstLine="560" w:firstLineChars="200"/>
        <w:jc w:val="left"/>
        <w:rPr>
          <w:rFonts w:ascii="黑体" w:hAnsi="黑体" w:eastAsia="黑体" w:cs="黑体"/>
          <w:sz w:val="28"/>
          <w:szCs w:val="28"/>
        </w:rPr>
      </w:pPr>
      <w:r>
        <w:rPr>
          <w:rFonts w:hint="eastAsia" w:ascii="黑体" w:hAnsi="黑体" w:eastAsia="黑体" w:cs="黑体"/>
          <w:sz w:val="28"/>
          <w:szCs w:val="28"/>
        </w:rPr>
        <w:t>五、主要经验及做法、存在的问题和建议</w:t>
      </w:r>
    </w:p>
    <w:p>
      <w:pPr>
        <w:spacing w:line="360" w:lineRule="auto"/>
        <w:ind w:firstLine="560" w:firstLineChars="200"/>
        <w:jc w:val="left"/>
        <w:rPr>
          <w:rFonts w:ascii="楷体" w:hAnsi="楷体" w:eastAsia="楷体" w:cs="楷体"/>
          <w:sz w:val="28"/>
          <w:szCs w:val="28"/>
        </w:rPr>
      </w:pPr>
      <w:r>
        <w:rPr>
          <w:rFonts w:hint="eastAsia" w:ascii="楷体" w:hAnsi="楷体" w:eastAsia="楷体" w:cs="楷体"/>
          <w:sz w:val="28"/>
          <w:szCs w:val="28"/>
        </w:rPr>
        <w:t>（一）主要经验及做法</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项目主要为街道办事处的运转提供管理、维护等支持。通过有计划、有预算地使用项目经费，能够在控制成本的前提下，确保街道办事处整体职能的高效运转。同时，通过运用灵活机动的协调管理方式，在街道办事处的正常运转及应急事件的处置中发挥积极的作用。</w:t>
      </w:r>
    </w:p>
    <w:p>
      <w:pPr>
        <w:spacing w:line="360" w:lineRule="auto"/>
        <w:ind w:firstLine="560" w:firstLineChars="200"/>
        <w:jc w:val="left"/>
        <w:rPr>
          <w:rFonts w:ascii="楷体" w:hAnsi="楷体" w:eastAsia="楷体" w:cs="楷体"/>
          <w:sz w:val="28"/>
          <w:szCs w:val="28"/>
        </w:rPr>
      </w:pPr>
      <w:r>
        <w:rPr>
          <w:rFonts w:hint="eastAsia" w:ascii="楷体" w:hAnsi="楷体" w:eastAsia="楷体" w:cs="楷体"/>
          <w:sz w:val="28"/>
          <w:szCs w:val="28"/>
        </w:rPr>
        <w:t>（二）存在的问题</w:t>
      </w:r>
    </w:p>
    <w:p>
      <w:pPr>
        <w:pStyle w:val="11"/>
        <w:spacing w:line="360" w:lineRule="auto"/>
        <w:ind w:firstLine="56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项目实施后可有效提高单位内部各个部门、科室的相互配合，随着项目协调部门、科室的增多，单位内部控制制度的不足开始显露，为保障单位内部控制制度的完善，需定期进行整体内部控制风险评估工作，并根据评估结果进行相应的内控制度修改。</w:t>
      </w:r>
    </w:p>
    <w:p>
      <w:pPr>
        <w:spacing w:line="360" w:lineRule="auto"/>
        <w:ind w:firstLine="560" w:firstLineChars="200"/>
        <w:jc w:val="left"/>
        <w:rPr>
          <w:rFonts w:ascii="楷体" w:hAnsi="楷体" w:eastAsia="楷体" w:cs="楷体"/>
          <w:sz w:val="28"/>
          <w:szCs w:val="28"/>
        </w:rPr>
      </w:pPr>
      <w:r>
        <w:rPr>
          <w:rFonts w:hint="eastAsia" w:ascii="楷体" w:hAnsi="楷体" w:eastAsia="楷体" w:cs="楷体"/>
          <w:sz w:val="28"/>
          <w:szCs w:val="28"/>
        </w:rPr>
        <w:t>（三）建议和改进措施</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color w:val="000000"/>
          <w:sz w:val="28"/>
          <w:szCs w:val="28"/>
        </w:rPr>
        <w:t>按照《行政事业单位内部控制规范（试行）》（财会〔2012〕21号）的规定，持续动态地完善内部控制。</w:t>
      </w:r>
    </w:p>
    <w:p>
      <w:pPr>
        <w:spacing w:line="360" w:lineRule="auto"/>
        <w:ind w:firstLine="560" w:firstLineChars="200"/>
        <w:jc w:val="left"/>
        <w:rPr>
          <w:rFonts w:ascii="黑体" w:hAnsi="黑体" w:eastAsia="黑体" w:cs="黑体"/>
          <w:sz w:val="28"/>
          <w:szCs w:val="28"/>
        </w:rPr>
      </w:pPr>
      <w:r>
        <w:rPr>
          <w:rFonts w:hint="eastAsia" w:ascii="黑体" w:hAnsi="黑体" w:eastAsia="黑体" w:cs="黑体"/>
          <w:sz w:val="28"/>
          <w:szCs w:val="28"/>
        </w:rPr>
        <w:t>六、</w:t>
      </w:r>
      <w:bookmarkStart w:id="0" w:name="_Hlk44931933"/>
      <w:r>
        <w:rPr>
          <w:rFonts w:hint="eastAsia" w:ascii="黑体" w:hAnsi="黑体" w:eastAsia="黑体" w:cs="黑体"/>
          <w:sz w:val="28"/>
          <w:szCs w:val="28"/>
        </w:rPr>
        <w:t>绩效自评结果应用</w:t>
      </w:r>
      <w:bookmarkEnd w:id="0"/>
    </w:p>
    <w:p>
      <w:pPr>
        <w:spacing w:line="360" w:lineRule="auto"/>
        <w:ind w:firstLine="560" w:firstLineChars="200"/>
        <w:jc w:val="left"/>
        <w:rPr>
          <w:rFonts w:ascii="仿宋_GB2312" w:hAnsi="仿宋_GB2312" w:eastAsia="仿宋_GB2312" w:cs="仿宋_GB2312"/>
          <w:sz w:val="28"/>
          <w:szCs w:val="28"/>
        </w:rPr>
      </w:pPr>
      <w:bookmarkStart w:id="1" w:name="_Hlk44931956"/>
      <w:r>
        <w:rPr>
          <w:rFonts w:hint="eastAsia" w:ascii="仿宋_GB2312" w:hAnsi="仿宋_GB2312" w:eastAsia="仿宋_GB2312" w:cs="仿宋_GB2312"/>
          <w:color w:val="000000"/>
          <w:sz w:val="28"/>
          <w:szCs w:val="28"/>
          <w:lang w:val="zh-CN"/>
        </w:rPr>
        <w:t>我单位通过开展绩效自评工作，加强财政资金支出管理、增强资金绩效理念、强化资金管理水平、提高资金使用效益，将绩效自评结果运用到下年度预算编制工作中，与预算绩效目标编制挂钩，对绩效自评中存在的问题在下年工作中及时跟进，对能整改的及时整改</w:t>
      </w:r>
      <w:bookmarkEnd w:id="1"/>
      <w:r>
        <w:rPr>
          <w:rFonts w:hint="eastAsia" w:ascii="仿宋_GB2312" w:hAnsi="仿宋_GB2312" w:eastAsia="仿宋_GB2312" w:cs="仿宋_GB2312"/>
          <w:color w:val="000000"/>
          <w:sz w:val="28"/>
          <w:szCs w:val="28"/>
          <w:lang w:val="zh-CN"/>
        </w:rPr>
        <w:t>。</w:t>
      </w:r>
    </w:p>
    <w:p>
      <w:pPr>
        <w:spacing w:line="360" w:lineRule="auto"/>
        <w:ind w:firstLine="560" w:firstLineChars="200"/>
        <w:jc w:val="center"/>
        <w:rPr>
          <w:rFonts w:ascii="仿宋_GB2312" w:hAnsi="仿宋_GB2312" w:eastAsia="仿宋_GB2312" w:cs="仿宋_GB2312"/>
          <w:sz w:val="28"/>
          <w:szCs w:val="28"/>
        </w:rPr>
      </w:pPr>
    </w:p>
    <w:p>
      <w:pPr>
        <w:spacing w:line="360" w:lineRule="auto"/>
        <w:ind w:firstLine="560" w:firstLineChars="200"/>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绩效评价报告正文后附以下佐证材料</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1.绩效评价指标体系；</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2.基础数据表；</w:t>
      </w:r>
    </w:p>
    <w:p>
      <w:pPr>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3.调查问卷分析报告；</w:t>
      </w:r>
    </w:p>
    <w:p>
      <w:pPr>
        <w:spacing w:line="360" w:lineRule="auto"/>
        <w:ind w:firstLine="560" w:firstLineChars="200"/>
        <w:jc w:val="left"/>
        <w:rPr>
          <w:rFonts w:ascii="仿宋_GB2312" w:hAnsi="仿宋_GB2312" w:eastAsia="仿宋_GB2312" w:cs="仿宋_GB2312"/>
        </w:rPr>
      </w:pPr>
      <w:r>
        <w:rPr>
          <w:rFonts w:hint="eastAsia" w:ascii="仿宋_GB2312" w:hAnsi="仿宋_GB2312" w:eastAsia="仿宋_GB2312" w:cs="仿宋_GB2312"/>
          <w:sz w:val="28"/>
          <w:szCs w:val="28"/>
        </w:rPr>
        <w:t>4.绩效目标申报表。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707B32"/>
    <w:multiLevelType w:val="singleLevel"/>
    <w:tmpl w:val="40707B3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kMjA3NzllNzBiZDkxZDliNWQ4OGM3YWJmMmFiNjEifQ=="/>
  </w:docVars>
  <w:rsids>
    <w:rsidRoot w:val="00632F27"/>
    <w:rsid w:val="00011A69"/>
    <w:rsid w:val="0002724C"/>
    <w:rsid w:val="000851B4"/>
    <w:rsid w:val="0008741F"/>
    <w:rsid w:val="00180888"/>
    <w:rsid w:val="001B2186"/>
    <w:rsid w:val="001E4461"/>
    <w:rsid w:val="00214905"/>
    <w:rsid w:val="002656E7"/>
    <w:rsid w:val="002851B0"/>
    <w:rsid w:val="00285C6C"/>
    <w:rsid w:val="003529EF"/>
    <w:rsid w:val="003D1178"/>
    <w:rsid w:val="003E0A89"/>
    <w:rsid w:val="00441D3D"/>
    <w:rsid w:val="00445DA7"/>
    <w:rsid w:val="0048669C"/>
    <w:rsid w:val="00530BA6"/>
    <w:rsid w:val="00586350"/>
    <w:rsid w:val="00591583"/>
    <w:rsid w:val="005B3734"/>
    <w:rsid w:val="005C2AAC"/>
    <w:rsid w:val="00622387"/>
    <w:rsid w:val="00632F27"/>
    <w:rsid w:val="006D15E3"/>
    <w:rsid w:val="007E4ECE"/>
    <w:rsid w:val="00882FB5"/>
    <w:rsid w:val="008B2E2E"/>
    <w:rsid w:val="008B58B4"/>
    <w:rsid w:val="008C5A02"/>
    <w:rsid w:val="008C74A5"/>
    <w:rsid w:val="00987DCE"/>
    <w:rsid w:val="00996E52"/>
    <w:rsid w:val="00996F2B"/>
    <w:rsid w:val="009C3B21"/>
    <w:rsid w:val="00A7796F"/>
    <w:rsid w:val="00A80930"/>
    <w:rsid w:val="00AB553F"/>
    <w:rsid w:val="00AC2A7A"/>
    <w:rsid w:val="00BE1176"/>
    <w:rsid w:val="00C008EE"/>
    <w:rsid w:val="00C7449A"/>
    <w:rsid w:val="00D32F7D"/>
    <w:rsid w:val="00D73851"/>
    <w:rsid w:val="00DB6C84"/>
    <w:rsid w:val="00E60A47"/>
    <w:rsid w:val="00EF738A"/>
    <w:rsid w:val="00F13301"/>
    <w:rsid w:val="00F31BF3"/>
    <w:rsid w:val="00FE4726"/>
    <w:rsid w:val="00FF3E59"/>
    <w:rsid w:val="05705B02"/>
    <w:rsid w:val="05DC2D4D"/>
    <w:rsid w:val="073147AA"/>
    <w:rsid w:val="09F85BBD"/>
    <w:rsid w:val="0CBB6CD3"/>
    <w:rsid w:val="0D37359E"/>
    <w:rsid w:val="0E5D3333"/>
    <w:rsid w:val="12D60DDB"/>
    <w:rsid w:val="131248F0"/>
    <w:rsid w:val="13205394"/>
    <w:rsid w:val="14D17E11"/>
    <w:rsid w:val="155B423E"/>
    <w:rsid w:val="18B6022A"/>
    <w:rsid w:val="1A705630"/>
    <w:rsid w:val="1B4F079C"/>
    <w:rsid w:val="2546255A"/>
    <w:rsid w:val="2573052D"/>
    <w:rsid w:val="25D626F3"/>
    <w:rsid w:val="2BEA7823"/>
    <w:rsid w:val="3225716F"/>
    <w:rsid w:val="3A671B67"/>
    <w:rsid w:val="3D667A4C"/>
    <w:rsid w:val="3DCC4A87"/>
    <w:rsid w:val="40B91990"/>
    <w:rsid w:val="4577685F"/>
    <w:rsid w:val="47B41661"/>
    <w:rsid w:val="483F2D3E"/>
    <w:rsid w:val="4B8D5A51"/>
    <w:rsid w:val="5D4B265D"/>
    <w:rsid w:val="5EEA75F5"/>
    <w:rsid w:val="5F265A53"/>
    <w:rsid w:val="60B32668"/>
    <w:rsid w:val="61FA6DEE"/>
    <w:rsid w:val="63D12AA7"/>
    <w:rsid w:val="64477CA8"/>
    <w:rsid w:val="654745D3"/>
    <w:rsid w:val="664C3AE7"/>
    <w:rsid w:val="67E31CE3"/>
    <w:rsid w:val="69CA129E"/>
    <w:rsid w:val="6A9B22AA"/>
    <w:rsid w:val="6D7D6631"/>
    <w:rsid w:val="6EBB1277"/>
    <w:rsid w:val="70522A1B"/>
    <w:rsid w:val="70D114B0"/>
    <w:rsid w:val="71827237"/>
    <w:rsid w:val="7897213F"/>
    <w:rsid w:val="7D2168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unhideWhenUsed/>
    <w:qFormat/>
    <w:uiPriority w:val="99"/>
    <w:pPr>
      <w:tabs>
        <w:tab w:val="center" w:pos="4153"/>
        <w:tab w:val="right" w:pos="8306"/>
      </w:tabs>
      <w:snapToGrid w:val="0"/>
      <w:jc w:val="left"/>
    </w:pPr>
    <w:rPr>
      <w:kern w:val="0"/>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character" w:styleId="8">
    <w:name w:val="annotation reference"/>
    <w:basedOn w:val="7"/>
    <w:qFormat/>
    <w:uiPriority w:val="0"/>
    <w:rPr>
      <w:sz w:val="21"/>
      <w:szCs w:val="21"/>
    </w:rPr>
  </w:style>
  <w:style w:type="paragraph" w:customStyle="1" w:styleId="9">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 w:type="paragraph" w:customStyle="1" w:styleId="10">
    <w:name w:val="TOC 标题1"/>
    <w:basedOn w:val="2"/>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styleId="11">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740</Words>
  <Characters>4218</Characters>
  <Lines>35</Lines>
  <Paragraphs>9</Paragraphs>
  <TotalTime>5</TotalTime>
  <ScaleCrop>false</ScaleCrop>
  <LinksUpToDate>false</LinksUpToDate>
  <CharactersWithSpaces>4949</CharactersWithSpaces>
  <Application>WPS Office_11.8.6.11020_F1E327BC-269C-435d-A152-05C5408002CA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2020-03-26T12:33:00Z</dcterms:created>
  <dc:creator>Administrator</dc:creator>
  <cp:lastModifiedBy>Administrator</cp:lastModifiedBy>
  <dcterms:modified xsi:type="dcterms:W3CDTF">2023-09-27T10:01:45Z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2052-11.8.6.11020</vt:lpwstr>
  </property>
  <property fmtid="{D5CDD505-2E9C-101B-9397-08002B2CF9AE}" pid="3" name="ICV">
    <vt:lpwstr>9901710D21B943FB8319B992FFC708CD</vt:lpwstr>
  </property>
  <property fmtid="{D5CDD505-2E9C-101B-9397-08002B2CF9AE}" pid="4" name="commondata">
    <vt:lpwstr>eyJoZGlkIjoiMGY1NzYwMTJiZDlkMmQxZmY5MWZhM2VlYzA0Y2I3YzIifQ==</vt:lpwstr>
  </property>
</Properties>
</file>