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方正小标宋_GBK" w:eastAsia="方正小标宋_GBK"/>
          <w:sz w:val="32"/>
          <w:szCs w:val="32"/>
        </w:rPr>
      </w:pPr>
      <w:r>
        <w:rPr>
          <w:rFonts w:hint="eastAsia" w:ascii="方正小标宋_GBK" w:eastAsia="方正小标宋_GBK"/>
          <w:sz w:val="32"/>
          <w:szCs w:val="32"/>
        </w:rPr>
        <w:t>附件1：盘龙区商务和投资促进局202</w:t>
      </w:r>
      <w:r>
        <w:rPr>
          <w:rFonts w:hint="eastAsia" w:ascii="方正小标宋_GBK" w:eastAsia="方正小标宋_GBK"/>
          <w:sz w:val="32"/>
          <w:szCs w:val="32"/>
          <w:lang w:val="en-US" w:eastAsia="zh-CN"/>
        </w:rPr>
        <w:t>2</w:t>
      </w:r>
      <w:r>
        <w:rPr>
          <w:rFonts w:hint="eastAsia" w:ascii="方正小标宋_GBK" w:eastAsia="方正小标宋_GBK"/>
          <w:sz w:val="32"/>
          <w:szCs w:val="32"/>
        </w:rPr>
        <w:t>年整体支出</w:t>
      </w:r>
    </w:p>
    <w:p>
      <w:pPr>
        <w:widowControl/>
        <w:jc w:val="center"/>
        <w:rPr>
          <w:rFonts w:ascii="方正小标宋_GBK" w:eastAsia="方正小标宋_GBK"/>
          <w:sz w:val="32"/>
          <w:szCs w:val="32"/>
        </w:rPr>
      </w:pPr>
      <w:r>
        <w:rPr>
          <w:rFonts w:hint="eastAsia" w:ascii="方正小标宋_GBK" w:eastAsia="方正小标宋_GBK"/>
          <w:sz w:val="32"/>
          <w:szCs w:val="32"/>
        </w:rPr>
        <w:t>绩效评价共性指标体系框架</w:t>
      </w:r>
    </w:p>
    <w:tbl>
      <w:tblPr>
        <w:tblStyle w:val="4"/>
        <w:tblW w:w="10065" w:type="dxa"/>
        <w:tblInd w:w="-459" w:type="dxa"/>
        <w:tblLayout w:type="fixed"/>
        <w:tblCellMar>
          <w:top w:w="0" w:type="dxa"/>
          <w:left w:w="108" w:type="dxa"/>
          <w:bottom w:w="0" w:type="dxa"/>
          <w:right w:w="108" w:type="dxa"/>
        </w:tblCellMar>
      </w:tblPr>
      <w:tblGrid>
        <w:gridCol w:w="579"/>
        <w:gridCol w:w="1091"/>
        <w:gridCol w:w="1449"/>
        <w:gridCol w:w="689"/>
        <w:gridCol w:w="2050"/>
        <w:gridCol w:w="2846"/>
        <w:gridCol w:w="1361"/>
      </w:tblGrid>
      <w:tr>
        <w:tblPrEx>
          <w:tblLayout w:type="fixed"/>
          <w:tblCellMar>
            <w:top w:w="0" w:type="dxa"/>
            <w:left w:w="108" w:type="dxa"/>
            <w:bottom w:w="0" w:type="dxa"/>
            <w:right w:w="108" w:type="dxa"/>
          </w:tblCellMar>
        </w:tblPrEx>
        <w:trPr>
          <w:trHeight w:val="270" w:hRule="atLeast"/>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一级指标</w:t>
            </w:r>
          </w:p>
        </w:tc>
        <w:tc>
          <w:tcPr>
            <w:tcW w:w="109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144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68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05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28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指标评分细则</w:t>
            </w:r>
          </w:p>
        </w:tc>
        <w:tc>
          <w:tcPr>
            <w:tcW w:w="136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Layout w:type="fixed"/>
          <w:tblCellMar>
            <w:top w:w="0" w:type="dxa"/>
            <w:left w:w="108" w:type="dxa"/>
            <w:bottom w:w="0" w:type="dxa"/>
            <w:right w:w="108" w:type="dxa"/>
          </w:tblCellMar>
        </w:tblPrEx>
        <w:trPr>
          <w:trHeight w:val="1575" w:hRule="atLeast"/>
        </w:trPr>
        <w:tc>
          <w:tcPr>
            <w:tcW w:w="579"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A部门决策（35分）</w:t>
            </w:r>
          </w:p>
        </w:tc>
        <w:tc>
          <w:tcPr>
            <w:tcW w:w="1091" w:type="dxa"/>
            <w:vMerge w:val="restart"/>
            <w:tcBorders>
              <w:top w:val="nil"/>
              <w:left w:val="single" w:color="auto" w:sz="4" w:space="0"/>
              <w:bottom w:val="single" w:color="000000" w:sz="4" w:space="0"/>
              <w:right w:val="single" w:color="auto" w:sz="4" w:space="0"/>
            </w:tcBorders>
            <w:shd w:val="clear" w:color="auto" w:fill="auto"/>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A1部门目标（12分）</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A11部门中长期规划目标的明确性与合理性（2分）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部门（单位）中长期规划目标的设定情况；中长期规划目标应设定明确，应与政府中长期规划目标相适应，且应与部门职能相适应。</w:t>
            </w:r>
          </w:p>
        </w:tc>
        <w:tc>
          <w:tcPr>
            <w:tcW w:w="2846" w:type="dxa"/>
            <w:tcBorders>
              <w:top w:val="nil"/>
              <w:left w:val="nil"/>
              <w:bottom w:val="single" w:color="auto" w:sz="4" w:space="0"/>
              <w:right w:val="single" w:color="auto" w:sz="4" w:space="0"/>
            </w:tcBorders>
            <w:shd w:val="clear" w:color="auto" w:fill="auto"/>
          </w:tcPr>
          <w:p>
            <w:pPr>
              <w:pStyle w:val="6"/>
              <w:widowControl/>
              <w:numPr>
                <w:ilvl w:val="0"/>
                <w:numId w:val="1"/>
              </w:numPr>
              <w:ind w:firstLineChars="0"/>
              <w:rPr>
                <w:rFonts w:ascii="宋体" w:hAnsi="宋体" w:cs="宋体"/>
                <w:color w:val="000000"/>
                <w:kern w:val="0"/>
                <w:sz w:val="18"/>
                <w:szCs w:val="18"/>
              </w:rPr>
            </w:pPr>
            <w:r>
              <w:rPr>
                <w:rFonts w:hint="eastAsia" w:ascii="宋体" w:hAnsi="宋体" w:cs="宋体"/>
                <w:color w:val="000000"/>
                <w:kern w:val="0"/>
                <w:sz w:val="18"/>
                <w:szCs w:val="18"/>
              </w:rPr>
              <w:t>能够适应《盘龙区XXXXX事业发展“十</w:t>
            </w:r>
            <w:r>
              <w:rPr>
                <w:rFonts w:hint="eastAsia" w:ascii="宋体" w:hAnsi="宋体" w:cs="宋体"/>
                <w:color w:val="000000"/>
                <w:kern w:val="0"/>
                <w:sz w:val="18"/>
                <w:szCs w:val="18"/>
                <w:lang w:eastAsia="zh-CN"/>
              </w:rPr>
              <w:t>四</w:t>
            </w:r>
            <w:r>
              <w:rPr>
                <w:rFonts w:hint="eastAsia" w:ascii="宋体" w:hAnsi="宋体" w:cs="宋体"/>
                <w:color w:val="000000"/>
                <w:kern w:val="0"/>
                <w:sz w:val="18"/>
                <w:szCs w:val="18"/>
              </w:rPr>
              <w:t>五”规划》，得1分；②能够与部门职能相适应，得1分。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部门“三定”方案。</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A12年度工作目标的明确性与合理性（2分）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部门年度工作目标的设定是否明确合理</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①部门年度工作目标明确设定，得1分；②年度工作目标与部门中长期规划目标一致，得1分。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年度工作目标与部门“三定”方案。</w:t>
            </w:r>
          </w:p>
        </w:tc>
      </w:tr>
      <w:tr>
        <w:tblPrEx>
          <w:tblLayout w:type="fixed"/>
          <w:tblCellMar>
            <w:top w:w="0" w:type="dxa"/>
            <w:left w:w="108" w:type="dxa"/>
            <w:bottom w:w="0" w:type="dxa"/>
            <w:right w:w="108" w:type="dxa"/>
          </w:tblCellMar>
        </w:tblPrEx>
        <w:trPr>
          <w:trHeight w:val="123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A13年度工作计划与年度工作目标的一致性（2分）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部门年度工作计划是否与部门年度工作目标相一致。</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将部门详细工作计划与年度工作目标对应匹配，视匹配情况酌情得0-2分。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年度工作计划与年度工作目标文件</w:t>
            </w:r>
          </w:p>
        </w:tc>
      </w:tr>
      <w:tr>
        <w:tblPrEx>
          <w:tblLayout w:type="fixed"/>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A14绩效目标合理性（3分）</w:t>
            </w:r>
          </w:p>
        </w:tc>
        <w:tc>
          <w:tcPr>
            <w:tcW w:w="68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　3</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用以反映和考核部门整体绩效目标与部门职能、年度工作目标的一致性。</w:t>
            </w:r>
          </w:p>
        </w:tc>
        <w:tc>
          <w:tcPr>
            <w:tcW w:w="2846" w:type="dxa"/>
            <w:tcBorders>
              <w:top w:val="nil"/>
              <w:left w:val="nil"/>
              <w:bottom w:val="single" w:color="auto" w:sz="4" w:space="0"/>
              <w:right w:val="single" w:color="auto" w:sz="4" w:space="0"/>
            </w:tcBorders>
            <w:shd w:val="clear" w:color="auto" w:fill="auto"/>
          </w:tcPr>
          <w:p>
            <w:pPr>
              <w:pStyle w:val="6"/>
              <w:widowControl/>
              <w:numPr>
                <w:ilvl w:val="0"/>
                <w:numId w:val="2"/>
              </w:numPr>
              <w:ind w:firstLineChars="0"/>
              <w:rPr>
                <w:rFonts w:ascii="宋体" w:hAnsi="宋体" w:cs="宋体"/>
                <w:color w:val="000000"/>
                <w:kern w:val="0"/>
                <w:sz w:val="18"/>
                <w:szCs w:val="18"/>
              </w:rPr>
            </w:pPr>
            <w:r>
              <w:rPr>
                <w:rFonts w:hint="eastAsia" w:ascii="宋体" w:hAnsi="宋体" w:cs="宋体"/>
                <w:color w:val="000000"/>
                <w:kern w:val="0"/>
                <w:sz w:val="18"/>
                <w:szCs w:val="18"/>
              </w:rPr>
              <w:t>符合部门“三定”方案确定的职责计1.5分；②与部门年度工作目标、任务相一致计1.5分。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部门“三定”方案、年度重点工作任务与工作计划</w:t>
            </w:r>
          </w:p>
        </w:tc>
      </w:tr>
      <w:tr>
        <w:tblPrEx>
          <w:tblLayout w:type="fixed"/>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A15绩效指标明确性（3分）</w:t>
            </w:r>
          </w:p>
        </w:tc>
        <w:tc>
          <w:tcPr>
            <w:tcW w:w="68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　3</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整体绩效目标所设定的绩效指标是否依据部门工作目标和工作任务进行细化、量化，绩效指标是否可衡量。</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①将部门整体的绩效目标细化分解为具体的工作任务计1分；②通过清晰、可衡量的指标值予以体现计0.5分。③与部门年度的任务数或计划数相对应计0.5分；④与本年度部门预算资金相匹配计1分。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部门年度重点工作任务与工作计划。</w:t>
            </w:r>
          </w:p>
        </w:tc>
      </w:tr>
      <w:tr>
        <w:tblPrEx>
          <w:tblLayout w:type="fixed"/>
          <w:tblCellMar>
            <w:top w:w="0" w:type="dxa"/>
            <w:left w:w="108" w:type="dxa"/>
            <w:bottom w:w="0" w:type="dxa"/>
            <w:right w:w="108" w:type="dxa"/>
          </w:tblCellMar>
        </w:tblPrEx>
        <w:trPr>
          <w:trHeight w:val="108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A2部门职能（10分）</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A21部门职能的明确性与科学性（1分）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考察部门职能界定是否明确科学，是否有相关文件。</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①职能明确、设定依据充分，得1分；②有“三定”文件，但职能描述不明确，得0.5分;③没有职能设定的文件依据且职能不清，得0分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部门职能描述、“三定”文件</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A22年度工作目标与部门职能的适应性（4分）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部门所设定的具体目标是否与部门职能相适应。</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将部门详细工作目标与部门职能对应匹配，视匹配情况酌情得0-4分。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部门年度工作目标、部门职能</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A23年度具体工作与部门职能的匹配性（4分）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部门年度各类具体工作是否与部门职能相匹配。</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将部门年度具体工作与部门职能对应匹配，视匹配情况酌情得0-4分。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部门年度各项具体工作，部门职能</w:t>
            </w:r>
          </w:p>
        </w:tc>
      </w:tr>
      <w:tr>
        <w:tblPrEx>
          <w:tblLayout w:type="fixed"/>
          <w:tblCellMar>
            <w:top w:w="0" w:type="dxa"/>
            <w:left w:w="108" w:type="dxa"/>
            <w:bottom w:w="0" w:type="dxa"/>
            <w:right w:w="108" w:type="dxa"/>
          </w:tblCellMar>
        </w:tblPrEx>
        <w:trPr>
          <w:trHeight w:val="11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single" w:color="auto" w:sz="4" w:space="0"/>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A24部门内设科室职责的明确性（1分）</w:t>
            </w:r>
          </w:p>
        </w:tc>
        <w:tc>
          <w:tcPr>
            <w:tcW w:w="689" w:type="dxa"/>
            <w:tcBorders>
              <w:top w:val="single" w:color="auto" w:sz="4" w:space="0"/>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single" w:color="auto" w:sz="4" w:space="0"/>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部门内设科室及下属单位具体职责是否明确</w:t>
            </w:r>
          </w:p>
        </w:tc>
        <w:tc>
          <w:tcPr>
            <w:tcW w:w="2846" w:type="dxa"/>
            <w:tcBorders>
              <w:top w:val="single" w:color="auto" w:sz="4" w:space="0"/>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①有职责文件制度规定部门各科室具体职责，得0.5分；②具体职责明确，得0.5分。</w:t>
            </w:r>
          </w:p>
        </w:tc>
        <w:tc>
          <w:tcPr>
            <w:tcW w:w="1361" w:type="dxa"/>
            <w:tcBorders>
              <w:top w:val="single" w:color="auto" w:sz="4" w:space="0"/>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内设科室职责文件</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A3资源配置（13分）</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A31基本支出预算合理性（5分）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用以反映部门年度基本支出预算是否根据人员经费、公用经费标准进行合理编制。</w:t>
            </w:r>
          </w:p>
        </w:tc>
        <w:tc>
          <w:tcPr>
            <w:tcW w:w="2846" w:type="dxa"/>
            <w:tcBorders>
              <w:top w:val="nil"/>
              <w:left w:val="nil"/>
              <w:bottom w:val="single" w:color="auto" w:sz="4" w:space="0"/>
              <w:right w:val="single" w:color="auto" w:sz="4" w:space="0"/>
            </w:tcBorders>
            <w:shd w:val="clear" w:color="auto" w:fill="auto"/>
          </w:tcPr>
          <w:p>
            <w:pPr>
              <w:pStyle w:val="6"/>
              <w:widowControl/>
              <w:numPr>
                <w:ilvl w:val="0"/>
                <w:numId w:val="3"/>
              </w:numPr>
              <w:ind w:firstLineChars="0"/>
              <w:rPr>
                <w:rFonts w:ascii="宋体" w:hAnsi="宋体" w:cs="宋体"/>
                <w:color w:val="000000"/>
                <w:kern w:val="0"/>
                <w:sz w:val="18"/>
                <w:szCs w:val="18"/>
              </w:rPr>
            </w:pPr>
            <w:r>
              <w:rPr>
                <w:rFonts w:hint="eastAsia" w:ascii="宋体" w:hAnsi="宋体" w:cs="宋体"/>
                <w:color w:val="000000"/>
                <w:kern w:val="0"/>
                <w:sz w:val="18"/>
                <w:szCs w:val="18"/>
              </w:rPr>
              <w:t>实核定人员基数，得2分；②根据基本预算标准进行编制，得3分。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部门基本支出预算标准、基本支出预算</w:t>
            </w:r>
          </w:p>
        </w:tc>
      </w:tr>
      <w:tr>
        <w:tblPrEx>
          <w:tblLayout w:type="fixed"/>
          <w:tblCellMar>
            <w:top w:w="0" w:type="dxa"/>
            <w:left w:w="108" w:type="dxa"/>
            <w:bottom w:w="0" w:type="dxa"/>
            <w:right w:w="108" w:type="dxa"/>
          </w:tblCellMar>
        </w:tblPrEx>
        <w:trPr>
          <w:trHeight w:val="135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A32项目支出预算合理性（4分）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用以反映部门年度项目支出预算程序、预算依据、适用范围的合理性。</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①预算程序合理，得1分；②预算依据充分，得2分；③符合资金使用范围，得1分。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部门项目支出预算编制详细资料，访谈、文件梳理等、其他资料</w:t>
            </w:r>
          </w:p>
        </w:tc>
      </w:tr>
      <w:tr>
        <w:tblPrEx>
          <w:tblLayout w:type="fixed"/>
          <w:tblCellMar>
            <w:top w:w="0" w:type="dxa"/>
            <w:left w:w="108" w:type="dxa"/>
            <w:bottom w:w="0" w:type="dxa"/>
            <w:right w:w="108" w:type="dxa"/>
          </w:tblCellMar>
        </w:tblPrEx>
        <w:trPr>
          <w:trHeight w:val="67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A33人力资源投入合理性（2分）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用以反映部门核定人员的编制与部门工作内容的合理性</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通过问卷及访谈调研,分析人员的工作量和工作时长，视匹配情况得0-2分。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人员编制文件、调研</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A34办公资源投入合理性（2分）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用以反映部门现有办公资源能否满足部门日常工作需求。</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①办公资源经费保障充足，得1分；②办公资源配置合理，得1分。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部门办公资源配置情况、调研等资料</w:t>
            </w:r>
          </w:p>
        </w:tc>
      </w:tr>
      <w:tr>
        <w:tblPrEx>
          <w:tblLayout w:type="fixed"/>
          <w:tblCellMar>
            <w:top w:w="0" w:type="dxa"/>
            <w:left w:w="108" w:type="dxa"/>
            <w:bottom w:w="0" w:type="dxa"/>
            <w:right w:w="108" w:type="dxa"/>
          </w:tblCellMar>
        </w:tblPrEx>
        <w:trPr>
          <w:trHeight w:val="1635" w:hRule="atLeast"/>
        </w:trPr>
        <w:tc>
          <w:tcPr>
            <w:tcW w:w="579"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B部门管理（20分）</w:t>
            </w:r>
          </w:p>
        </w:tc>
        <w:tc>
          <w:tcPr>
            <w:tcW w:w="109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B1预算管理（7分）</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B11基本支出预算执行率（1分）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部门基本支出本年度决算数与预算数的比率，用以反映和考核部门（单位）基本支出预算执行程度。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预算执行率=部门基本支出决算/部门基本支出预算×100%。决算数：部门本年度基本支出实际支出资金数。预算数：财政部门批复的本年度部门基本支出预算数以及当年批复的调整数。预算完成率≥95%得满分，未达到的每低于1%扣0.1分，扣完为止。</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基本支出预算批复，预算调整批复、预算编制等其他资料</w:t>
            </w:r>
          </w:p>
        </w:tc>
      </w:tr>
      <w:tr>
        <w:tblPrEx>
          <w:tblLayout w:type="fixed"/>
          <w:tblCellMar>
            <w:top w:w="0" w:type="dxa"/>
            <w:left w:w="108" w:type="dxa"/>
            <w:bottom w:w="0" w:type="dxa"/>
            <w:right w:w="108" w:type="dxa"/>
          </w:tblCellMar>
        </w:tblPrEx>
        <w:trPr>
          <w:trHeight w:val="18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B12项目支出预算执行率（4分）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3</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部门项目支出本年度决算数与预算数的比率，用以反映和考核部门项目支出预算执行程度。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预算执行率=部门项目支出决算/部门项目支出预算×100%。决算数：部门（单位）本年度项目支出实际支出资金数。预算数：财政部门批复的本年度部门（单位）项目支出预算数以及当年批复的调整数。预算完成率≥95%得满分，每低于1%扣0.2分，扣完为止。</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项目支出预算批复，预算调整批复、预算编制等其他资料</w:t>
            </w:r>
          </w:p>
        </w:tc>
      </w:tr>
      <w:tr>
        <w:tblPrEx>
          <w:tblLayout w:type="fixed"/>
          <w:tblCellMar>
            <w:top w:w="0" w:type="dxa"/>
            <w:left w:w="108" w:type="dxa"/>
            <w:bottom w:w="0" w:type="dxa"/>
            <w:right w:w="108" w:type="dxa"/>
          </w:tblCellMar>
        </w:tblPrEx>
        <w:trPr>
          <w:trHeight w:val="18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B13“三公经费”控制率（1分）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部门本年度“三公”经费预算数与上年度“三公”经费预算数的变动比率，用以反映和考核部门（单位）对控制行政成本的努力程度。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三公”经费控制率=（本年度“三公”经费总额/上年度“三公”经费总额）×100%。“三公”经费：年度预算安排的因公出国（境）费、公务用车购置及运行费和公务接待费。三公经费控制率≤100%得满分，≥120%得0分，区间内按权重进行扣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三公经费使用情况</w:t>
            </w:r>
          </w:p>
        </w:tc>
      </w:tr>
      <w:tr>
        <w:tblPrEx>
          <w:tblLayout w:type="fixed"/>
          <w:tblCellMar>
            <w:top w:w="0" w:type="dxa"/>
            <w:left w:w="108" w:type="dxa"/>
            <w:bottom w:w="0" w:type="dxa"/>
            <w:right w:w="108" w:type="dxa"/>
          </w:tblCellMar>
        </w:tblPrEx>
        <w:trPr>
          <w:trHeight w:val="85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B14预算调整情况（1分）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用以反映预算单位是否根据年中预算实际执行情况及时合规进行预算调整。</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①根据年中预算执行情况及时申请预算调整，得0.5分；②按规定程序进行预算调整，得0.5分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预算调整相关资料</w:t>
            </w:r>
          </w:p>
        </w:tc>
      </w:tr>
      <w:tr>
        <w:tblPrEx>
          <w:tblLayout w:type="fixed"/>
          <w:tblCellMar>
            <w:top w:w="0" w:type="dxa"/>
            <w:left w:w="108" w:type="dxa"/>
            <w:bottom w:w="0" w:type="dxa"/>
            <w:right w:w="108" w:type="dxa"/>
          </w:tblCellMar>
        </w:tblPrEx>
        <w:trPr>
          <w:trHeight w:val="168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B2财务管理（6分）</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B21财务管理制度健全性及执行情况（1分）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部门为加强预算管理、规范财务行为而制定的财务管理制度是否健全完整。用以反映和考核部门预算管理制度对完成主要职责或促进事业发展的保障情况。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①是否已制定预算资金管理办法、内部财务管理制度、会计核算制度等管理制度，0.25分；②相关管理制度是否合法、合规、完整，0.25分；③相关管理制度是否得到有效执行，0.5分。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财务管理相关制度及执行情况调研</w:t>
            </w:r>
          </w:p>
        </w:tc>
      </w:tr>
      <w:tr>
        <w:tblPrEx>
          <w:tblLayout w:type="fixed"/>
          <w:tblCellMar>
            <w:top w:w="0" w:type="dxa"/>
            <w:left w:w="108" w:type="dxa"/>
            <w:bottom w:w="0" w:type="dxa"/>
            <w:right w:w="108" w:type="dxa"/>
          </w:tblCellMar>
        </w:tblPrEx>
        <w:trPr>
          <w:trHeight w:val="220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B22资金使用合规性（4分）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部门使用预算资金是否符合相关财务管理制度的规定，用以反映和考核部门预算资金的规范运行情况。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符合国家财经法规和财务管理制度规定以及有关专项资金管理办法的规定,1分；②资金的拨付有完整的审批程序和手续，1分；③项目的重大开支经过专题论证，1分；④符合部门预算批复的用途，1分；⑤是否存在截留、挤占、挪用、虚列支出等情况，一旦存在该指标不得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资金支出相关凭证、流程梳理等</w:t>
            </w:r>
          </w:p>
        </w:tc>
      </w:tr>
      <w:tr>
        <w:tblPrEx>
          <w:tblLayout w:type="fixed"/>
          <w:tblCellMar>
            <w:top w:w="0" w:type="dxa"/>
            <w:left w:w="108" w:type="dxa"/>
            <w:bottom w:w="0" w:type="dxa"/>
            <w:right w:w="108" w:type="dxa"/>
          </w:tblCellMar>
        </w:tblPrEx>
        <w:trPr>
          <w:trHeight w:val="11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B23财务监控的有效性（1分）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用以反映部门财务监控监督工作的有效性，包括监控、监督措施的制定及执行等方面。</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①制定明确的财务监控监督措施，得0.5分；②监控、监督措施执行有效，得0.5分；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财务监控监督相关办法及条款，实际执行情况资料</w:t>
            </w:r>
          </w:p>
        </w:tc>
      </w:tr>
      <w:tr>
        <w:tblPrEx>
          <w:tblLayout w:type="fixed"/>
          <w:tblCellMar>
            <w:top w:w="0" w:type="dxa"/>
            <w:left w:w="108" w:type="dxa"/>
            <w:bottom w:w="0" w:type="dxa"/>
            <w:right w:w="108" w:type="dxa"/>
          </w:tblCellMar>
        </w:tblPrEx>
        <w:trPr>
          <w:trHeight w:val="157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B3人力资源管理（2分）</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B31在职人员控制率（2分）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部门本年度实际在职人员数与编制数的比率，用以反映和考核部门对人员成本的控制程度。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在职人员控制率=（在职人员数/编制数）×100%。在职人员数：部门（单位）实际在职人数，以财政部门确定的部门决算编制口径为准。编制数：机构编制部门核定批复的部门人员编制数。在职人员控制率≤100%得满分，有超出不得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部门编制数、在职人数、年内变化情况</w:t>
            </w:r>
          </w:p>
        </w:tc>
      </w:tr>
      <w:tr>
        <w:tblPrEx>
          <w:tblLayout w:type="fixed"/>
          <w:tblCellMar>
            <w:top w:w="0" w:type="dxa"/>
            <w:left w:w="108" w:type="dxa"/>
            <w:bottom w:w="0" w:type="dxa"/>
            <w:right w:w="108" w:type="dxa"/>
          </w:tblCellMar>
        </w:tblPrEx>
        <w:trPr>
          <w:trHeight w:val="166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B4资产管理（2分）</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B41资产管理制度健全性及执行情况（1分）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部门为加强资产管理、规范资产使用而制定的资产管理制度是否健全完整，用以反映和考核部门资产管理制度对完成主要职责或促进事业发展的保障情况。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①是否已制定或具有固定资产管理办法、资产使用办法等管理制度，得0.25分；②相关管理制度是否合法、合规、完整，得0.25分；③相关管理制度是否得到有效执行，得0.5分。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资产管理相关办法</w:t>
            </w:r>
          </w:p>
        </w:tc>
      </w:tr>
      <w:tr>
        <w:tblPrEx>
          <w:tblLayout w:type="fixed"/>
          <w:tblCellMar>
            <w:top w:w="0" w:type="dxa"/>
            <w:left w:w="108" w:type="dxa"/>
            <w:bottom w:w="0" w:type="dxa"/>
            <w:right w:w="108" w:type="dxa"/>
          </w:tblCellMar>
        </w:tblPrEx>
        <w:trPr>
          <w:trHeight w:val="126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B42固定资产在用率（1分）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部门实际在用固定资产总额与所有固定资产总额的比率，用以反映和考核部门固定资产使用效率及程度。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固定资产在用率=（实际在用固定资产总额/所有固定资产总额）×100%。固定资产在用率达到95%以上得满分.每降低1%扣权重分（1分）的5%，扣完为止。</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固定资产卡片、固定资产使用信息等</w:t>
            </w:r>
          </w:p>
        </w:tc>
      </w:tr>
      <w:tr>
        <w:tblPrEx>
          <w:tblLayout w:type="fixed"/>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B5业务管理（3分）</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B51业务管理制度健全性及执行情况（1分）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部门为加强业务管理、规范业务执行而制定的管理制度是否健全完整，用以反映和考核部门业务管理制度对完成主要职责或促进事业发展的保障情况。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①已制定或具有业务管理、项目管理等管理制度，得0.25分；②相关管理制度合法、合规、完整，得0.25分；③相关管理制度得到有效执行，得0.5分。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业务管理相关办法及执行情况资料</w:t>
            </w:r>
          </w:p>
        </w:tc>
      </w:tr>
      <w:tr>
        <w:tblPrEx>
          <w:tblLayout w:type="fixed"/>
          <w:tblCellMar>
            <w:top w:w="0" w:type="dxa"/>
            <w:left w:w="108" w:type="dxa"/>
            <w:bottom w:w="0" w:type="dxa"/>
            <w:right w:w="108" w:type="dxa"/>
          </w:tblCellMar>
        </w:tblPrEx>
        <w:trPr>
          <w:trHeight w:val="79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B52政府采购规范性（1分）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考察政府采购项目的采购程序、采购方式的规范性</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①政府采购方式、程序都规范，得满分；②采购方式、程序中每有一点不规范，扣0.5分，扣完为止。</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政府采购相关资料</w:t>
            </w:r>
          </w:p>
        </w:tc>
      </w:tr>
      <w:tr>
        <w:tblPrEx>
          <w:tblLayout w:type="fixed"/>
          <w:tblCellMar>
            <w:top w:w="0" w:type="dxa"/>
            <w:left w:w="108" w:type="dxa"/>
            <w:bottom w:w="0" w:type="dxa"/>
            <w:right w:w="108" w:type="dxa"/>
          </w:tblCellMar>
        </w:tblPrEx>
        <w:trPr>
          <w:trHeight w:val="79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B53监督考核情况（1分）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考察部门是否对各所属单位或项目实施主体进行工作监督和定期考核。</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有定期指导记录、考核结果，得1分，缺少项视情况酌情进行扣分。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监督考核记录等</w:t>
            </w:r>
          </w:p>
        </w:tc>
      </w:tr>
      <w:tr>
        <w:tblPrEx>
          <w:tblLayout w:type="fixed"/>
          <w:tblCellMar>
            <w:top w:w="0" w:type="dxa"/>
            <w:left w:w="108" w:type="dxa"/>
            <w:bottom w:w="0" w:type="dxa"/>
            <w:right w:w="108" w:type="dxa"/>
          </w:tblCellMar>
        </w:tblPrEx>
        <w:trPr>
          <w:trHeight w:val="1215" w:hRule="atLeast"/>
        </w:trPr>
        <w:tc>
          <w:tcPr>
            <w:tcW w:w="579"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C部门绩效（45分）</w:t>
            </w:r>
          </w:p>
        </w:tc>
        <w:tc>
          <w:tcPr>
            <w:tcW w:w="109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C1</w:t>
            </w:r>
            <w:r>
              <w:rPr>
                <w:rFonts w:hint="eastAsia" w:ascii="宋体" w:hAnsi="宋体" w:cs="宋体"/>
                <w:color w:val="000000"/>
                <w:kern w:val="0"/>
                <w:sz w:val="18"/>
                <w:szCs w:val="18"/>
                <w:lang w:eastAsia="zh-CN"/>
              </w:rPr>
              <w:t>数量指标（</w:t>
            </w:r>
            <w:r>
              <w:rPr>
                <w:rFonts w:hint="eastAsia" w:ascii="宋体" w:hAnsi="宋体" w:cs="宋体"/>
                <w:color w:val="000000"/>
                <w:kern w:val="0"/>
                <w:sz w:val="18"/>
                <w:szCs w:val="18"/>
                <w:lang w:val="en-US" w:eastAsia="zh-CN"/>
              </w:rPr>
              <w:t>15分</w:t>
            </w:r>
            <w:r>
              <w:rPr>
                <w:rFonts w:hint="eastAsia" w:ascii="宋体" w:hAnsi="宋体" w:cs="宋体"/>
                <w:color w:val="000000"/>
                <w:kern w:val="0"/>
                <w:sz w:val="18"/>
                <w:szCs w:val="18"/>
                <w:lang w:eastAsia="zh-CN"/>
              </w:rPr>
              <w:t>）</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C11经费保障人数（</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考察经费保障人数完成情况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经费保障人数比例*标准分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lang w:eastAsia="zh-CN"/>
              </w:rPr>
              <w:t>绩效自评报告</w:t>
            </w:r>
            <w:r>
              <w:rPr>
                <w:rFonts w:hint="eastAsia" w:ascii="宋体" w:hAnsi="宋体" w:cs="宋体"/>
                <w:color w:val="000000"/>
                <w:kern w:val="0"/>
                <w:sz w:val="18"/>
                <w:szCs w:val="18"/>
              </w:rPr>
              <w:t>经费保障人数</w:t>
            </w:r>
            <w:r>
              <w:rPr>
                <w:rFonts w:hint="eastAsia" w:ascii="宋体" w:hAnsi="宋体" w:cs="宋体"/>
                <w:color w:val="000000"/>
                <w:kern w:val="0"/>
                <w:sz w:val="18"/>
                <w:szCs w:val="18"/>
                <w:lang w:eastAsia="zh-CN"/>
              </w:rPr>
              <w:t>情况</w:t>
            </w:r>
          </w:p>
        </w:tc>
      </w:tr>
      <w:tr>
        <w:tblPrEx>
          <w:tblLayout w:type="fixed"/>
          <w:tblCellMar>
            <w:top w:w="0" w:type="dxa"/>
            <w:left w:w="108" w:type="dxa"/>
            <w:bottom w:w="0" w:type="dxa"/>
            <w:right w:w="108" w:type="dxa"/>
          </w:tblCellMar>
        </w:tblPrEx>
        <w:trPr>
          <w:trHeight w:val="81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C12职能工作完成率（</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考察职能工作完成率</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202</w:t>
            </w: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年实际完成值/指标值*100%*标准分</w:t>
            </w:r>
          </w:p>
        </w:tc>
        <w:tc>
          <w:tcPr>
            <w:tcW w:w="1361" w:type="dxa"/>
            <w:tcBorders>
              <w:top w:val="nil"/>
              <w:left w:val="nil"/>
              <w:bottom w:val="single" w:color="auto" w:sz="4" w:space="0"/>
              <w:right w:val="single" w:color="auto" w:sz="4" w:space="0"/>
            </w:tcBorders>
            <w:shd w:val="clear" w:color="auto" w:fill="auto"/>
          </w:tcPr>
          <w:p>
            <w:pPr>
              <w:widowControl/>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单位</w:t>
            </w:r>
            <w:r>
              <w:rPr>
                <w:rFonts w:hint="eastAsia" w:ascii="宋体" w:hAnsi="宋体" w:cs="宋体"/>
                <w:color w:val="000000"/>
                <w:kern w:val="0"/>
                <w:sz w:val="18"/>
                <w:szCs w:val="18"/>
                <w:lang w:val="en-US" w:eastAsia="zh-CN"/>
              </w:rPr>
              <w:t>2022年工作总结</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spacing w:line="560" w:lineRule="exact"/>
              <w:jc w:val="left"/>
              <w:rPr>
                <w:rFonts w:ascii="宋体" w:hAnsi="宋体" w:cs="宋体"/>
                <w:color w:val="000000"/>
                <w:kern w:val="0"/>
                <w:sz w:val="18"/>
                <w:szCs w:val="18"/>
              </w:rPr>
            </w:pPr>
            <w:r>
              <w:rPr>
                <w:rFonts w:hint="eastAsia" w:ascii="宋体" w:hAnsi="宋体" w:cs="宋体"/>
                <w:color w:val="000000"/>
                <w:kern w:val="0"/>
                <w:sz w:val="18"/>
                <w:szCs w:val="18"/>
              </w:rPr>
              <w:t>C13重点工作完成率（</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考察重点工作完成率</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202</w:t>
            </w: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年实际完成值/指标值*100%*标准分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lang w:eastAsia="zh-CN"/>
              </w:rPr>
              <w:t>单位</w:t>
            </w:r>
            <w:r>
              <w:rPr>
                <w:rFonts w:hint="eastAsia" w:ascii="宋体" w:hAnsi="宋体" w:cs="宋体"/>
                <w:color w:val="000000"/>
                <w:kern w:val="0"/>
                <w:sz w:val="18"/>
                <w:szCs w:val="18"/>
                <w:lang w:val="en-US" w:eastAsia="zh-CN"/>
              </w:rPr>
              <w:t>2022年工作总结</w:t>
            </w:r>
          </w:p>
        </w:tc>
      </w:tr>
      <w:tr>
        <w:tblPrEx>
          <w:tblLayout w:type="fixed"/>
          <w:tblCellMar>
            <w:top w:w="0" w:type="dxa"/>
            <w:left w:w="108" w:type="dxa"/>
            <w:bottom w:w="0" w:type="dxa"/>
            <w:right w:w="108" w:type="dxa"/>
          </w:tblCellMar>
        </w:tblPrEx>
        <w:trPr>
          <w:trHeight w:val="145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C2</w:t>
            </w:r>
            <w:r>
              <w:rPr>
                <w:rFonts w:hint="eastAsia" w:ascii="宋体" w:hAnsi="宋体" w:cs="宋体"/>
                <w:color w:val="000000"/>
                <w:kern w:val="0"/>
                <w:sz w:val="18"/>
                <w:szCs w:val="18"/>
                <w:lang w:eastAsia="zh-CN"/>
              </w:rPr>
              <w:t>质量指标（</w:t>
            </w:r>
            <w:r>
              <w:rPr>
                <w:rFonts w:hint="eastAsia" w:ascii="宋体" w:hAnsi="宋体" w:cs="宋体"/>
                <w:color w:val="000000"/>
                <w:kern w:val="0"/>
                <w:sz w:val="18"/>
                <w:szCs w:val="18"/>
                <w:lang w:val="en-US" w:eastAsia="zh-CN"/>
              </w:rPr>
              <w:t>5分</w:t>
            </w:r>
            <w:r>
              <w:rPr>
                <w:rFonts w:hint="eastAsia" w:ascii="宋体" w:hAnsi="宋体" w:cs="宋体"/>
                <w:color w:val="000000"/>
                <w:kern w:val="0"/>
                <w:sz w:val="18"/>
                <w:szCs w:val="18"/>
                <w:lang w:eastAsia="zh-CN"/>
              </w:rPr>
              <w:t>）</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C21各项工作达标率（</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考察各项工作达标率</w:t>
            </w:r>
          </w:p>
        </w:tc>
        <w:tc>
          <w:tcPr>
            <w:tcW w:w="2846" w:type="dxa"/>
            <w:tcBorders>
              <w:top w:val="nil"/>
              <w:left w:val="nil"/>
              <w:bottom w:val="single" w:color="auto" w:sz="4" w:space="0"/>
              <w:right w:val="single" w:color="auto" w:sz="4" w:space="0"/>
            </w:tcBorders>
            <w:shd w:val="clear" w:color="auto" w:fill="auto"/>
          </w:tcPr>
          <w:p>
            <w:pPr>
              <w:pStyle w:val="6"/>
              <w:widowControl/>
              <w:numPr>
                <w:ilvl w:val="0"/>
                <w:numId w:val="0"/>
              </w:numPr>
              <w:ind w:leftChars="0"/>
              <w:rPr>
                <w:rFonts w:ascii="宋体" w:hAnsi="宋体" w:cs="宋体"/>
                <w:color w:val="000000"/>
                <w:kern w:val="0"/>
                <w:sz w:val="18"/>
                <w:szCs w:val="18"/>
              </w:rPr>
            </w:pPr>
            <w:r>
              <w:rPr>
                <w:rFonts w:hint="eastAsia" w:ascii="宋体" w:hAnsi="宋体" w:cs="宋体"/>
                <w:color w:val="000000"/>
                <w:kern w:val="0"/>
                <w:sz w:val="18"/>
                <w:szCs w:val="18"/>
              </w:rPr>
              <w:t>202</w:t>
            </w: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年上级反馈情况评分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lang w:eastAsia="zh-CN"/>
              </w:rPr>
              <w:t>单位</w:t>
            </w:r>
            <w:r>
              <w:rPr>
                <w:rFonts w:hint="eastAsia" w:ascii="宋体" w:hAnsi="宋体" w:cs="宋体"/>
                <w:color w:val="000000"/>
                <w:kern w:val="0"/>
                <w:sz w:val="18"/>
                <w:szCs w:val="18"/>
                <w:lang w:val="en-US" w:eastAsia="zh-CN"/>
              </w:rPr>
              <w:t>2022年工作总结</w:t>
            </w:r>
          </w:p>
        </w:tc>
      </w:tr>
      <w:tr>
        <w:tblPrEx>
          <w:tblLayout w:type="fixed"/>
          <w:tblCellMar>
            <w:top w:w="0" w:type="dxa"/>
            <w:left w:w="108" w:type="dxa"/>
            <w:bottom w:w="0" w:type="dxa"/>
            <w:right w:w="108" w:type="dxa"/>
          </w:tblCellMar>
        </w:tblPrEx>
        <w:trPr>
          <w:trHeight w:val="76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val="en-US" w:eastAsia="zh-CN"/>
              </w:rPr>
              <w:t>C3</w:t>
            </w:r>
            <w:r>
              <w:rPr>
                <w:rFonts w:hint="eastAsia" w:ascii="宋体" w:hAnsi="宋体" w:cs="宋体"/>
                <w:color w:val="000000"/>
                <w:kern w:val="0"/>
                <w:sz w:val="18"/>
                <w:szCs w:val="18"/>
                <w:lang w:eastAsia="zh-CN"/>
              </w:rPr>
              <w:t>时效指标（</w:t>
            </w:r>
            <w:r>
              <w:rPr>
                <w:rFonts w:hint="eastAsia" w:ascii="宋体" w:hAnsi="宋体" w:cs="宋体"/>
                <w:color w:val="000000"/>
                <w:kern w:val="0"/>
                <w:sz w:val="18"/>
                <w:szCs w:val="18"/>
                <w:lang w:val="en-US" w:eastAsia="zh-CN"/>
              </w:rPr>
              <w:t>5分</w:t>
            </w:r>
            <w:r>
              <w:rPr>
                <w:rFonts w:hint="eastAsia" w:ascii="宋体" w:hAnsi="宋体" w:cs="宋体"/>
                <w:color w:val="000000"/>
                <w:kern w:val="0"/>
                <w:sz w:val="18"/>
                <w:szCs w:val="18"/>
                <w:lang w:eastAsia="zh-CN"/>
              </w:rPr>
              <w:t>）</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w:t>
            </w:r>
            <w:r>
              <w:rPr>
                <w:rFonts w:hint="eastAsia" w:ascii="宋体" w:hAnsi="宋体" w:cs="宋体"/>
                <w:color w:val="000000"/>
                <w:kern w:val="0"/>
                <w:sz w:val="18"/>
                <w:szCs w:val="18"/>
                <w:lang w:val="en-US" w:eastAsia="zh-CN"/>
              </w:rPr>
              <w:t>31</w:t>
            </w:r>
            <w:r>
              <w:rPr>
                <w:rFonts w:hint="eastAsia" w:ascii="宋体" w:hAnsi="宋体" w:cs="宋体"/>
                <w:color w:val="000000"/>
                <w:kern w:val="0"/>
                <w:sz w:val="18"/>
                <w:szCs w:val="18"/>
              </w:rPr>
              <w:t>各项工作完成及时率（</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考察各项工作完成及时情况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202</w:t>
            </w: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年及时完成工作数量/工作任务数量*100%*标准分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lang w:eastAsia="zh-CN"/>
              </w:rPr>
              <w:t>单位</w:t>
            </w:r>
            <w:r>
              <w:rPr>
                <w:rFonts w:hint="eastAsia" w:ascii="宋体" w:hAnsi="宋体" w:cs="宋体"/>
                <w:color w:val="000000"/>
                <w:kern w:val="0"/>
                <w:sz w:val="18"/>
                <w:szCs w:val="18"/>
                <w:lang w:val="en-US" w:eastAsia="zh-CN"/>
              </w:rPr>
              <w:t>2022年工作总结</w:t>
            </w:r>
          </w:p>
        </w:tc>
      </w:tr>
      <w:tr>
        <w:tblPrEx>
          <w:tblLayout w:type="fixed"/>
          <w:tblCellMar>
            <w:top w:w="0" w:type="dxa"/>
            <w:left w:w="108" w:type="dxa"/>
            <w:bottom w:w="0" w:type="dxa"/>
            <w:right w:w="108" w:type="dxa"/>
          </w:tblCellMar>
        </w:tblPrEx>
        <w:trPr>
          <w:trHeight w:val="67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val="en-US" w:eastAsia="zh-CN"/>
              </w:rPr>
              <w:t>C4</w:t>
            </w:r>
            <w:r>
              <w:rPr>
                <w:rFonts w:hint="eastAsia" w:ascii="宋体" w:hAnsi="宋体" w:cs="宋体"/>
                <w:color w:val="000000"/>
                <w:kern w:val="0"/>
                <w:sz w:val="18"/>
                <w:szCs w:val="18"/>
                <w:lang w:eastAsia="zh-CN"/>
              </w:rPr>
              <w:t>成本指标（</w:t>
            </w:r>
            <w:r>
              <w:rPr>
                <w:rFonts w:hint="eastAsia" w:ascii="宋体" w:hAnsi="宋体" w:cs="宋体"/>
                <w:color w:val="000000"/>
                <w:kern w:val="0"/>
                <w:sz w:val="18"/>
                <w:szCs w:val="18"/>
                <w:lang w:val="en-US" w:eastAsia="zh-CN"/>
              </w:rPr>
              <w:t>5分</w:t>
            </w:r>
            <w:r>
              <w:rPr>
                <w:rFonts w:hint="eastAsia" w:ascii="宋体" w:hAnsi="宋体" w:cs="宋体"/>
                <w:color w:val="000000"/>
                <w:kern w:val="0"/>
                <w:sz w:val="18"/>
                <w:szCs w:val="18"/>
                <w:lang w:eastAsia="zh-CN"/>
              </w:rPr>
              <w:t>）</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w:t>
            </w:r>
            <w:r>
              <w:rPr>
                <w:rFonts w:hint="eastAsia" w:ascii="宋体" w:hAnsi="宋体" w:cs="宋体"/>
                <w:color w:val="000000"/>
                <w:kern w:val="0"/>
                <w:sz w:val="18"/>
                <w:szCs w:val="18"/>
                <w:lang w:val="en-US" w:eastAsia="zh-CN"/>
              </w:rPr>
              <w:t>41</w:t>
            </w:r>
            <w:r>
              <w:rPr>
                <w:rFonts w:hint="eastAsia" w:ascii="宋体" w:hAnsi="宋体" w:cs="宋体"/>
                <w:color w:val="000000"/>
                <w:kern w:val="0"/>
                <w:sz w:val="18"/>
                <w:szCs w:val="18"/>
              </w:rPr>
              <w:t>预算完成率（</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考察预算完成情况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预算执行进度*标准分10分</w:t>
            </w:r>
            <w:r>
              <w:rPr>
                <w:rFonts w:hint="eastAsia" w:ascii="宋体" w:hAnsi="宋体" w:cs="宋体"/>
                <w:color w:val="000000"/>
                <w:kern w:val="0"/>
                <w:sz w:val="18"/>
                <w:szCs w:val="18"/>
                <w:lang w:eastAsia="zh-CN"/>
              </w:rPr>
              <w:t>，完成得满分，未完成酌情扣分</w:t>
            </w:r>
          </w:p>
        </w:tc>
        <w:tc>
          <w:tcPr>
            <w:tcW w:w="1361" w:type="dxa"/>
            <w:tcBorders>
              <w:top w:val="nil"/>
              <w:left w:val="nil"/>
              <w:bottom w:val="single" w:color="auto" w:sz="4" w:space="0"/>
              <w:right w:val="single" w:color="auto" w:sz="4" w:space="0"/>
            </w:tcBorders>
            <w:shd w:val="clear" w:color="auto" w:fill="auto"/>
          </w:tcPr>
          <w:p>
            <w:pPr>
              <w:widowControl/>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2022年收入支出决算表</w:t>
            </w:r>
          </w:p>
        </w:tc>
      </w:tr>
      <w:tr>
        <w:tblPrEx>
          <w:tblLayout w:type="fixed"/>
          <w:tblCellMar>
            <w:top w:w="0" w:type="dxa"/>
            <w:left w:w="108" w:type="dxa"/>
            <w:bottom w:w="0" w:type="dxa"/>
            <w:right w:w="108" w:type="dxa"/>
          </w:tblCellMar>
        </w:tblPrEx>
        <w:trPr>
          <w:trHeight w:val="145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val="en-US" w:eastAsia="zh-CN"/>
              </w:rPr>
              <w:t>C5</w:t>
            </w:r>
            <w:r>
              <w:rPr>
                <w:rFonts w:hint="eastAsia" w:ascii="宋体" w:hAnsi="宋体" w:cs="宋体"/>
                <w:color w:val="000000"/>
                <w:kern w:val="0"/>
                <w:sz w:val="18"/>
                <w:szCs w:val="18"/>
                <w:lang w:eastAsia="zh-CN"/>
              </w:rPr>
              <w:t>社会效益指标（</w:t>
            </w:r>
            <w:r>
              <w:rPr>
                <w:rFonts w:hint="eastAsia" w:ascii="宋体" w:hAnsi="宋体" w:cs="宋体"/>
                <w:color w:val="000000"/>
                <w:kern w:val="0"/>
                <w:sz w:val="18"/>
                <w:szCs w:val="18"/>
                <w:lang w:val="en-US" w:eastAsia="zh-CN"/>
              </w:rPr>
              <w:t>5分</w:t>
            </w:r>
            <w:r>
              <w:rPr>
                <w:rFonts w:hint="eastAsia" w:ascii="宋体" w:hAnsi="宋体" w:cs="宋体"/>
                <w:color w:val="000000"/>
                <w:kern w:val="0"/>
                <w:sz w:val="18"/>
                <w:szCs w:val="18"/>
                <w:lang w:eastAsia="zh-CN"/>
              </w:rPr>
              <w:t>）</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w:t>
            </w:r>
            <w:r>
              <w:rPr>
                <w:rFonts w:hint="eastAsia" w:ascii="宋体" w:hAnsi="宋体" w:cs="宋体"/>
                <w:color w:val="000000"/>
                <w:kern w:val="0"/>
                <w:sz w:val="18"/>
                <w:szCs w:val="18"/>
                <w:lang w:val="en-US" w:eastAsia="zh-CN"/>
              </w:rPr>
              <w:t>51</w:t>
            </w:r>
            <w:r>
              <w:rPr>
                <w:rFonts w:hint="eastAsia" w:ascii="宋体" w:hAnsi="宋体" w:cs="宋体"/>
                <w:color w:val="000000"/>
                <w:kern w:val="0"/>
                <w:sz w:val="18"/>
                <w:szCs w:val="18"/>
              </w:rPr>
              <w:t>区域经济发展（5分）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考察有所贡献</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lang w:eastAsia="zh-CN"/>
              </w:rPr>
              <w:t>单位开展工作对辖区经济发展的贡献，</w:t>
            </w:r>
            <w:r>
              <w:rPr>
                <w:rFonts w:hint="eastAsia" w:ascii="宋体" w:hAnsi="宋体" w:cs="宋体"/>
                <w:color w:val="000000"/>
                <w:kern w:val="0"/>
                <w:sz w:val="18"/>
                <w:szCs w:val="18"/>
              </w:rPr>
              <w:t>酌情得0-5分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lang w:eastAsia="zh-CN"/>
              </w:rPr>
              <w:t>单位</w:t>
            </w:r>
            <w:r>
              <w:rPr>
                <w:rFonts w:hint="eastAsia" w:ascii="宋体" w:hAnsi="宋体" w:cs="宋体"/>
                <w:color w:val="000000"/>
                <w:kern w:val="0"/>
                <w:sz w:val="18"/>
                <w:szCs w:val="18"/>
                <w:lang w:val="en-US" w:eastAsia="zh-CN"/>
              </w:rPr>
              <w:t>2022年工作总结</w:t>
            </w:r>
          </w:p>
        </w:tc>
      </w:tr>
      <w:tr>
        <w:tblPrEx>
          <w:tblLayout w:type="fixed"/>
          <w:tblCellMar>
            <w:top w:w="0" w:type="dxa"/>
            <w:left w:w="108" w:type="dxa"/>
            <w:bottom w:w="0" w:type="dxa"/>
            <w:right w:w="108" w:type="dxa"/>
          </w:tblCellMar>
        </w:tblPrEx>
        <w:trPr>
          <w:trHeight w:val="102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val="en-US" w:eastAsia="zh-CN"/>
              </w:rPr>
              <w:t>C6</w:t>
            </w:r>
            <w:r>
              <w:rPr>
                <w:rFonts w:hint="eastAsia" w:ascii="宋体" w:hAnsi="宋体" w:cs="宋体"/>
                <w:color w:val="000000"/>
                <w:kern w:val="0"/>
                <w:sz w:val="18"/>
                <w:szCs w:val="18"/>
                <w:lang w:eastAsia="zh-CN"/>
              </w:rPr>
              <w:t>服务对象满意度指标完成情况（</w:t>
            </w:r>
            <w:r>
              <w:rPr>
                <w:rFonts w:hint="eastAsia" w:ascii="宋体" w:hAnsi="宋体" w:cs="宋体"/>
                <w:color w:val="000000"/>
                <w:kern w:val="0"/>
                <w:sz w:val="18"/>
                <w:szCs w:val="18"/>
                <w:lang w:val="en-US" w:eastAsia="zh-CN"/>
              </w:rPr>
              <w:t>4分</w:t>
            </w:r>
            <w:r>
              <w:rPr>
                <w:rFonts w:hint="eastAsia" w:ascii="宋体" w:hAnsi="宋体" w:cs="宋体"/>
                <w:color w:val="000000"/>
                <w:kern w:val="0"/>
                <w:sz w:val="18"/>
                <w:szCs w:val="18"/>
                <w:lang w:eastAsia="zh-CN"/>
              </w:rPr>
              <w:t>）</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w:t>
            </w:r>
            <w:r>
              <w:rPr>
                <w:rFonts w:hint="eastAsia" w:ascii="宋体" w:hAnsi="宋体" w:cs="宋体"/>
                <w:color w:val="000000"/>
                <w:kern w:val="0"/>
                <w:sz w:val="18"/>
                <w:szCs w:val="18"/>
                <w:lang w:val="en-US" w:eastAsia="zh-CN"/>
              </w:rPr>
              <w:t>61</w:t>
            </w:r>
            <w:r>
              <w:rPr>
                <w:rFonts w:hint="eastAsia" w:ascii="宋体" w:hAnsi="宋体" w:cs="宋体"/>
                <w:color w:val="000000"/>
                <w:kern w:val="0"/>
                <w:sz w:val="18"/>
                <w:szCs w:val="18"/>
              </w:rPr>
              <w:t>受益企业满意度（4分）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考察受益企业满意度</w:t>
            </w:r>
            <w:r>
              <w:rPr>
                <w:rFonts w:hint="eastAsia" w:ascii="宋体" w:hAnsi="宋体" w:cs="宋体"/>
                <w:color w:val="000000"/>
                <w:kern w:val="0"/>
                <w:sz w:val="18"/>
                <w:szCs w:val="18"/>
                <w:lang w:eastAsia="zh-CN"/>
              </w:rPr>
              <w:t>是否大于等于</w:t>
            </w:r>
            <w:r>
              <w:rPr>
                <w:rFonts w:hint="eastAsia" w:ascii="宋体" w:hAnsi="宋体" w:cs="宋体"/>
                <w:color w:val="000000"/>
                <w:kern w:val="0"/>
                <w:sz w:val="18"/>
                <w:szCs w:val="18"/>
                <w:lang w:val="en-US" w:eastAsia="zh-CN"/>
              </w:rPr>
              <w:t>98%</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根据企业反馈情况*标准分酌情得0-4分</w:t>
            </w:r>
            <w:bookmarkStart w:id="0" w:name="_GoBack"/>
            <w:bookmarkEnd w:id="0"/>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lang w:eastAsia="zh-CN"/>
              </w:rPr>
              <w:t>单位</w:t>
            </w:r>
            <w:r>
              <w:rPr>
                <w:rFonts w:hint="eastAsia" w:ascii="宋体" w:hAnsi="宋体" w:cs="宋体"/>
                <w:color w:val="000000"/>
                <w:kern w:val="0"/>
                <w:sz w:val="18"/>
                <w:szCs w:val="18"/>
                <w:lang w:val="en-US" w:eastAsia="zh-CN"/>
              </w:rPr>
              <w:t>2022年工作总结</w:t>
            </w:r>
          </w:p>
        </w:tc>
      </w:tr>
      <w:tr>
        <w:tblPrEx>
          <w:tblLayout w:type="fixed"/>
          <w:tblCellMar>
            <w:top w:w="0" w:type="dxa"/>
            <w:left w:w="108" w:type="dxa"/>
            <w:bottom w:w="0" w:type="dxa"/>
            <w:right w:w="108" w:type="dxa"/>
          </w:tblCellMar>
        </w:tblPrEx>
        <w:trPr>
          <w:trHeight w:val="73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w:t>
            </w:r>
            <w:r>
              <w:rPr>
                <w:rFonts w:hint="eastAsia" w:ascii="宋体" w:hAnsi="宋体" w:cs="宋体"/>
                <w:color w:val="000000"/>
                <w:kern w:val="0"/>
                <w:sz w:val="18"/>
                <w:szCs w:val="18"/>
                <w:lang w:val="en-US" w:eastAsia="zh-CN"/>
              </w:rPr>
              <w:t>7</w:t>
            </w:r>
            <w:r>
              <w:rPr>
                <w:rFonts w:hint="eastAsia" w:ascii="宋体" w:hAnsi="宋体" w:cs="宋体"/>
                <w:color w:val="000000"/>
                <w:kern w:val="0"/>
                <w:sz w:val="18"/>
                <w:szCs w:val="18"/>
              </w:rPr>
              <w:t>部门可持续发展（6分）</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w:t>
            </w:r>
            <w:r>
              <w:rPr>
                <w:rFonts w:hint="eastAsia" w:ascii="宋体" w:hAnsi="宋体" w:cs="宋体"/>
                <w:color w:val="000000"/>
                <w:kern w:val="0"/>
                <w:sz w:val="18"/>
                <w:szCs w:val="18"/>
                <w:lang w:val="en-US" w:eastAsia="zh-CN"/>
              </w:rPr>
              <w:t>71</w:t>
            </w:r>
            <w:r>
              <w:rPr>
                <w:rFonts w:hint="eastAsia" w:ascii="宋体" w:hAnsi="宋体" w:cs="宋体"/>
                <w:color w:val="000000"/>
                <w:kern w:val="0"/>
                <w:sz w:val="18"/>
                <w:szCs w:val="18"/>
              </w:rPr>
              <w:t>队伍建设情况（2分）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考察部门管理人员是否定期接受培训，熟悉政策、提高业务能力。</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部门全体人员每年至少接受一次业务或政策等培训，酌情得0-2分。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培训记录、培训效果调研</w:t>
            </w:r>
          </w:p>
        </w:tc>
      </w:tr>
      <w:tr>
        <w:tblPrEx>
          <w:tblLayout w:type="fixed"/>
          <w:tblCellMar>
            <w:top w:w="0" w:type="dxa"/>
            <w:left w:w="108" w:type="dxa"/>
            <w:bottom w:w="0" w:type="dxa"/>
            <w:right w:w="108" w:type="dxa"/>
          </w:tblCellMar>
        </w:tblPrEx>
        <w:trPr>
          <w:trHeight w:val="168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w:t>
            </w:r>
            <w:r>
              <w:rPr>
                <w:rFonts w:hint="eastAsia" w:ascii="宋体" w:hAnsi="宋体" w:cs="宋体"/>
                <w:color w:val="000000"/>
                <w:kern w:val="0"/>
                <w:sz w:val="18"/>
                <w:szCs w:val="18"/>
                <w:lang w:val="en-US" w:eastAsia="zh-CN"/>
              </w:rPr>
              <w:t>72</w:t>
            </w:r>
            <w:r>
              <w:rPr>
                <w:rFonts w:hint="eastAsia" w:ascii="宋体" w:hAnsi="宋体" w:cs="宋体"/>
                <w:color w:val="000000"/>
                <w:kern w:val="0"/>
                <w:sz w:val="18"/>
                <w:szCs w:val="18"/>
              </w:rPr>
              <w:t>信息共享、公开情况（2分）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部门是否按照政府信息公开有关规定公开相关预决算信息、绩效信息及其他信息，是否信息共享，用以反映和考核部门信息公开透明及信息共享情况。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①按规定内容公开预决算信息、绩效信息及其他信息，得0.5分；②按规定时限公开预决算信息、绩效信息及其他信息，得0.5分。③各处室、下属单位等信息共享，得1分。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信息公开、信息共享情况</w:t>
            </w:r>
          </w:p>
        </w:tc>
      </w:tr>
      <w:tr>
        <w:tblPrEx>
          <w:tblLayout w:type="fixed"/>
          <w:tblCellMar>
            <w:top w:w="0" w:type="dxa"/>
            <w:left w:w="108" w:type="dxa"/>
            <w:bottom w:w="0" w:type="dxa"/>
            <w:right w:w="108" w:type="dxa"/>
          </w:tblCellMar>
        </w:tblPrEx>
        <w:trPr>
          <w:trHeight w:val="166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109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w:t>
            </w:r>
            <w:r>
              <w:rPr>
                <w:rFonts w:hint="eastAsia" w:ascii="宋体" w:hAnsi="宋体" w:cs="宋体"/>
                <w:color w:val="000000"/>
                <w:kern w:val="0"/>
                <w:sz w:val="18"/>
                <w:szCs w:val="18"/>
                <w:lang w:val="en-US" w:eastAsia="zh-CN"/>
              </w:rPr>
              <w:t>73</w:t>
            </w:r>
            <w:r>
              <w:rPr>
                <w:rFonts w:hint="eastAsia" w:ascii="宋体" w:hAnsi="宋体" w:cs="宋体"/>
                <w:color w:val="000000"/>
                <w:kern w:val="0"/>
                <w:sz w:val="18"/>
                <w:szCs w:val="18"/>
              </w:rPr>
              <w:t>长效管理创新情况（2分）</w:t>
            </w:r>
          </w:p>
        </w:tc>
        <w:tc>
          <w:tcPr>
            <w:tcW w:w="689" w:type="dxa"/>
            <w:tcBorders>
              <w:top w:val="nil"/>
              <w:left w:val="nil"/>
              <w:bottom w:val="single" w:color="auto" w:sz="4" w:space="0"/>
              <w:right w:val="single" w:color="auto" w:sz="4" w:space="0"/>
            </w:tcBorders>
            <w:shd w:val="clear" w:color="auto" w:fill="auto"/>
            <w:vAlign w:val="center"/>
          </w:tcPr>
          <w:p>
            <w:pPr>
              <w:widowControl/>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考察部门是否在鼓励处室改进管理、提高效率方面建立了新举措，比如人员绩效考核机制、信息化建设、数据库管理等，是部门工作长期可持续发展的保障。</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管理创新机制和措施明确，且有相应工作及产出。酌情得0-2分。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管理创新情况</w:t>
            </w:r>
          </w:p>
        </w:tc>
      </w:tr>
      <w:tr>
        <w:tblPrEx>
          <w:tblLayout w:type="fixed"/>
          <w:tblCellMar>
            <w:top w:w="0" w:type="dxa"/>
            <w:left w:w="108" w:type="dxa"/>
            <w:bottom w:w="0" w:type="dxa"/>
            <w:right w:w="108" w:type="dxa"/>
          </w:tblCellMar>
        </w:tblPrEx>
        <w:trPr>
          <w:trHeight w:val="270" w:hRule="atLeast"/>
        </w:trPr>
        <w:tc>
          <w:tcPr>
            <w:tcW w:w="579" w:type="dxa"/>
            <w:tcBorders>
              <w:top w:val="nil"/>
              <w:left w:val="single" w:color="auto" w:sz="4" w:space="0"/>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1091"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449"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b/>
                <w:bCs/>
                <w:color w:val="000000"/>
                <w:kern w:val="0"/>
                <w:sz w:val="18"/>
                <w:szCs w:val="18"/>
              </w:rPr>
            </w:pPr>
            <w:r>
              <w:rPr>
                <w:rFonts w:hint="eastAsia" w:ascii="宋体" w:hAnsi="宋体" w:cs="宋体"/>
                <w:b/>
                <w:bCs/>
                <w:color w:val="000000"/>
                <w:kern w:val="0"/>
                <w:sz w:val="15"/>
                <w:szCs w:val="15"/>
                <w:lang w:val="en-US" w:eastAsia="zh-CN"/>
              </w:rPr>
              <w:t>96分</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Pr>
        <w:jc w:val="left"/>
        <w:rPr>
          <w:rFonts w:ascii="方正小标宋_GBK" w:eastAsia="方正小标宋_GBK"/>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1A7278"/>
    <w:multiLevelType w:val="multilevel"/>
    <w:tmpl w:val="561A7278"/>
    <w:lvl w:ilvl="0" w:tentative="0">
      <w:start w:val="1"/>
      <w:numFmt w:val="decimalEnclosedCircle"/>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
    <w:nsid w:val="58E17E9B"/>
    <w:multiLevelType w:val="multilevel"/>
    <w:tmpl w:val="58E17E9B"/>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CC23891"/>
    <w:multiLevelType w:val="multilevel"/>
    <w:tmpl w:val="5CC23891"/>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B32"/>
    <w:rsid w:val="000B233D"/>
    <w:rsid w:val="00141300"/>
    <w:rsid w:val="00192312"/>
    <w:rsid w:val="001A48BC"/>
    <w:rsid w:val="001E094A"/>
    <w:rsid w:val="00243C2C"/>
    <w:rsid w:val="002802EB"/>
    <w:rsid w:val="00306048"/>
    <w:rsid w:val="00364EC8"/>
    <w:rsid w:val="00486E0B"/>
    <w:rsid w:val="0059596D"/>
    <w:rsid w:val="005C406E"/>
    <w:rsid w:val="005F0EC1"/>
    <w:rsid w:val="00634E8A"/>
    <w:rsid w:val="006706E5"/>
    <w:rsid w:val="00696BC8"/>
    <w:rsid w:val="006B1AEC"/>
    <w:rsid w:val="00724972"/>
    <w:rsid w:val="0074067F"/>
    <w:rsid w:val="007F00E4"/>
    <w:rsid w:val="008335B9"/>
    <w:rsid w:val="00994B04"/>
    <w:rsid w:val="009B64AD"/>
    <w:rsid w:val="00A01697"/>
    <w:rsid w:val="00A12D30"/>
    <w:rsid w:val="00A31BE5"/>
    <w:rsid w:val="00A44493"/>
    <w:rsid w:val="00B35DAA"/>
    <w:rsid w:val="00C30DE3"/>
    <w:rsid w:val="00C33AAA"/>
    <w:rsid w:val="00CB32D8"/>
    <w:rsid w:val="00DB70E5"/>
    <w:rsid w:val="00DC4F93"/>
    <w:rsid w:val="00DC786F"/>
    <w:rsid w:val="00DD0B6C"/>
    <w:rsid w:val="00DF6546"/>
    <w:rsid w:val="00E40265"/>
    <w:rsid w:val="00ED3838"/>
    <w:rsid w:val="00EF231C"/>
    <w:rsid w:val="00EF55CD"/>
    <w:rsid w:val="00F20B32"/>
    <w:rsid w:val="02361171"/>
    <w:rsid w:val="14DB3793"/>
    <w:rsid w:val="1CF44418"/>
    <w:rsid w:val="1E3937B3"/>
    <w:rsid w:val="27A71157"/>
    <w:rsid w:val="3CD63A32"/>
    <w:rsid w:val="3D1516FD"/>
    <w:rsid w:val="46FF7CD5"/>
    <w:rsid w:val="470F2D69"/>
    <w:rsid w:val="5AB17F43"/>
    <w:rsid w:val="5CFF6FBA"/>
    <w:rsid w:val="61F6522B"/>
    <w:rsid w:val="63C34469"/>
    <w:rsid w:val="648670ED"/>
    <w:rsid w:val="679F3663"/>
    <w:rsid w:val="6FCF1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List Paragraph"/>
    <w:basedOn w:val="1"/>
    <w:qFormat/>
    <w:uiPriority w:val="34"/>
    <w:pPr>
      <w:ind w:firstLine="420" w:firstLineChars="200"/>
    </w:pPr>
  </w:style>
  <w:style w:type="character" w:customStyle="1" w:styleId="7">
    <w:name w:val="页眉 Char"/>
    <w:basedOn w:val="5"/>
    <w:link w:val="3"/>
    <w:semiHidden/>
    <w:qFormat/>
    <w:uiPriority w:val="99"/>
    <w:rPr>
      <w:rFonts w:ascii="Calibri" w:hAnsi="Calibri" w:eastAsia="宋体" w:cs="Times New Roman"/>
      <w:sz w:val="18"/>
      <w:szCs w:val="18"/>
    </w:rPr>
  </w:style>
  <w:style w:type="character" w:customStyle="1" w:styleId="8">
    <w:name w:val="页脚 Char"/>
    <w:basedOn w:val="5"/>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865</Words>
  <Characters>4934</Characters>
  <Lines>41</Lines>
  <Paragraphs>11</Paragraphs>
  <TotalTime>43</TotalTime>
  <ScaleCrop>false</ScaleCrop>
  <LinksUpToDate>false</LinksUpToDate>
  <CharactersWithSpaces>5788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2019-05-17T01:54:00Z</dcterms:created>
  <dc:creator>PC</dc:creator>
  <cp:lastModifiedBy>Administrator</cp:lastModifiedBy>
  <dcterms:modified xsi:type="dcterms:W3CDTF">2023-04-25T06:44:24Z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A64C32A053BE450E88006C0810C798E6</vt:lpwstr>
  </property>
</Properties>
</file>