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方正小标宋_GBK" w:eastAsia="方正小标宋_GBK"/>
          <w:sz w:val="28"/>
          <w:szCs w:val="28"/>
        </w:rPr>
      </w:pPr>
    </w:p>
    <w:p>
      <w:pPr>
        <w:spacing w:before="120" w:after="120" w:line="480" w:lineRule="auto"/>
        <w:jc w:val="center"/>
        <w:rPr>
          <w:rFonts w:ascii="Times New Roman" w:hAnsi="Times New Roman" w:eastAsia="黑体"/>
          <w:b/>
          <w:bCs/>
          <w:sz w:val="52"/>
          <w:szCs w:val="52"/>
        </w:rPr>
      </w:pPr>
    </w:p>
    <w:p>
      <w:pPr>
        <w:jc w:val="center"/>
        <w:rPr>
          <w:rFonts w:hint="eastAsia" w:ascii="黑体" w:hAnsi="黑体" w:eastAsia="黑体" w:cs="黑体"/>
          <w:bCs/>
          <w:sz w:val="52"/>
          <w:szCs w:val="52"/>
          <w:lang w:eastAsia="zh-CN"/>
        </w:rPr>
      </w:pPr>
      <w:r>
        <w:rPr>
          <w:rFonts w:hint="eastAsia" w:ascii="黑体" w:hAnsi="黑体" w:eastAsia="黑体" w:cs="黑体"/>
          <w:bCs/>
          <w:sz w:val="52"/>
          <w:szCs w:val="52"/>
        </w:rPr>
        <w:t>盘龙区</w:t>
      </w:r>
      <w:r>
        <w:rPr>
          <w:rFonts w:hint="eastAsia" w:ascii="黑体" w:hAnsi="黑体" w:eastAsia="黑体" w:cs="黑体"/>
          <w:bCs/>
          <w:sz w:val="52"/>
          <w:szCs w:val="52"/>
          <w:lang w:eastAsia="zh-CN"/>
        </w:rPr>
        <w:t>机关事务管理服务中心</w:t>
      </w:r>
    </w:p>
    <w:p>
      <w:pPr>
        <w:jc w:val="center"/>
        <w:rPr>
          <w:rFonts w:ascii="黑体" w:hAnsi="黑体" w:eastAsia="黑体"/>
          <w:bCs/>
          <w:sz w:val="52"/>
          <w:szCs w:val="52"/>
        </w:rPr>
      </w:pPr>
      <w:r>
        <w:rPr>
          <w:rFonts w:hint="default" w:ascii="Times New Roman" w:hAnsi="Times New Roman" w:eastAsia="黑体" w:cs="Times New Roman"/>
          <w:bCs/>
          <w:sz w:val="52"/>
          <w:szCs w:val="52"/>
        </w:rPr>
        <w:t>20</w:t>
      </w:r>
      <w:r>
        <w:rPr>
          <w:rFonts w:hint="default" w:ascii="Times New Roman" w:hAnsi="Times New Roman" w:eastAsia="黑体" w:cs="Times New Roman"/>
          <w:bCs/>
          <w:sz w:val="52"/>
          <w:szCs w:val="52"/>
          <w:lang w:val="en-US" w:eastAsia="zh-CN"/>
        </w:rPr>
        <w:t>22</w:t>
      </w:r>
      <w:r>
        <w:rPr>
          <w:rFonts w:hint="eastAsia" w:ascii="黑体" w:hAnsi="黑体" w:eastAsia="黑体"/>
          <w:bCs/>
          <w:sz w:val="52"/>
          <w:szCs w:val="52"/>
        </w:rPr>
        <w:t>年</w:t>
      </w:r>
      <w:r>
        <w:rPr>
          <w:rFonts w:hint="eastAsia" w:ascii="黑体" w:hAnsi="黑体" w:eastAsia="黑体" w:cs="黑体"/>
          <w:bCs/>
          <w:sz w:val="52"/>
          <w:szCs w:val="52"/>
        </w:rPr>
        <w:t>部门整体支出绩效自评报告</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211455</wp:posOffset>
                </wp:positionV>
                <wp:extent cx="3457575"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3.5pt;margin-top:16.65pt;height:0pt;width:272.25pt;z-index:251659264;mso-width-relative:page;mso-height-relative:page;" filled="f" stroked="t" coordsize="21600,21600" o:gfxdata="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BjJ5pdcAAAAJAQAADwAAAAAAAAABACAAAAAiAAAAZHJzL2Rvd25yZXYu&#10;eG1sUEsBAhQAFAAAAAgAh07iQOoKYOv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hint="eastAsia" w:ascii="Times New Roman" w:hAnsi="Times New Roman" w:eastAsia="黑体" w:cs="黑体"/>
          <w:b/>
          <w:bCs/>
          <w:sz w:val="28"/>
          <w:szCs w:val="28"/>
          <w:lang w:eastAsia="zh-CN"/>
        </w:rPr>
        <w:t>盘龙区机关事务管理服务中心</w:t>
      </w:r>
      <w:r>
        <w:rPr>
          <w:rFonts w:hint="eastAsia" w:ascii="Times New Roman" w:hAnsi="Times New Roman" w:eastAsia="黑体" w:cs="黑体"/>
          <w:b/>
          <w:bCs/>
          <w:sz w:val="28"/>
          <w:szCs w:val="28"/>
        </w:rPr>
        <w:t>部门整体支出</w:t>
      </w:r>
    </w:p>
    <w:p>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1695450</wp:posOffset>
                </wp:positionH>
                <wp:positionV relativeFrom="paragraph">
                  <wp:posOffset>217805</wp:posOffset>
                </wp:positionV>
                <wp:extent cx="3457575"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3.5pt;margin-top:17.15pt;height:0pt;width:272.25pt;z-index:251660288;mso-width-relative:page;mso-height-relative:page;" filled="f" stroked="t" coordsize="21600,21600" o:gfxdata="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Er9D3DYAAAACQEAAA8AAAAAAAAAAQAgAAAAIgAAAGRycy9kb3ducmV2&#10;LnhtbFBLAQIUABQAAAAIAIdO4kCOHcNw/AEAAOwDAAAOAAAAAAAAAAEAIAAAACc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w:t>
      </w:r>
      <w:r>
        <w:rPr>
          <w:rFonts w:hint="eastAsia" w:ascii="Times New Roman" w:hAnsi="Times New Roman" w:eastAsia="黑体" w:cs="黑体"/>
          <w:b/>
          <w:bCs/>
          <w:sz w:val="28"/>
          <w:szCs w:val="28"/>
          <w:lang w:eastAsia="zh-CN"/>
        </w:rPr>
        <w:t>昆明市盘龙区机关事务管理服务中心</w:t>
      </w:r>
    </w:p>
    <w:p>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1695450</wp:posOffset>
                </wp:positionH>
                <wp:positionV relativeFrom="paragraph">
                  <wp:posOffset>253365</wp:posOffset>
                </wp:positionV>
                <wp:extent cx="3457575"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3.5pt;margin-top:19.95pt;height:0pt;width:272.25pt;z-index:251661312;mso-width-relative:page;mso-height-relative:page;" filled="f" stroked="t" coordsize="21600,21600" o:gfxdata="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CBJ+CNcAAAAJAQAADwAAAAAAAAABACAAAAAiAAAAZHJzL2Rvd25yZXYu&#10;eG1sUEsBAhQAFAAAAAgAh07iQGMiVwf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评价机构：</w:t>
      </w:r>
      <w:r>
        <w:rPr>
          <w:rFonts w:hint="eastAsia" w:ascii="Times New Roman" w:hAnsi="Times New Roman" w:eastAsia="黑体" w:cs="黑体"/>
          <w:b/>
          <w:bCs/>
          <w:sz w:val="28"/>
          <w:szCs w:val="28"/>
          <w:lang w:eastAsia="zh-CN"/>
        </w:rPr>
        <w:t>昆明市盘龙区机关事务管理服务中心</w:t>
      </w:r>
    </w:p>
    <w:p>
      <w:pPr>
        <w:adjustRightInd w:val="0"/>
        <w:snapToGrid w:val="0"/>
        <w:spacing w:line="360" w:lineRule="auto"/>
        <w:ind w:left="1260" w:leftChars="600"/>
        <w:rPr>
          <w:rFonts w:ascii="Times New Roman" w:hAnsi="Times New Roman" w:eastAsia="黑体"/>
          <w:b/>
          <w:bCs/>
          <w:sz w:val="28"/>
          <w:szCs w:val="28"/>
        </w:rPr>
      </w:pP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cs="黑体"/>
          <w:b/>
          <w:bCs/>
          <w:sz w:val="28"/>
          <w:szCs w:val="28"/>
        </w:rPr>
        <w:t>年</w:t>
      </w:r>
      <w:r>
        <w:rPr>
          <w:rFonts w:hint="eastAsia" w:ascii="Times New Roman" w:hAnsi="Times New Roman" w:eastAsia="黑体" w:cs="黑体"/>
          <w:b/>
          <w:bCs/>
          <w:sz w:val="28"/>
          <w:szCs w:val="28"/>
          <w:lang w:val="en-US" w:eastAsia="zh-CN"/>
        </w:rPr>
        <w:t>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sectPr>
          <w:headerReference r:id="rId3" w:type="default"/>
          <w:footerReference r:id="rId4" w:type="default"/>
          <w:pgSz w:w="11906" w:h="16838"/>
          <w:pgMar w:top="1440" w:right="1800" w:bottom="1440" w:left="1800" w:header="851" w:footer="992" w:gutter="0"/>
          <w:cols w:space="720" w:num="1"/>
          <w:titlePg/>
          <w:docGrid w:type="lines" w:linePitch="312" w:charSpace="0"/>
        </w:sectPr>
      </w:pPr>
    </w:p>
    <w:p>
      <w:pPr>
        <w:pStyle w:val="7"/>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5"/>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9"/>
        <w:gridCol w:w="1339"/>
        <w:gridCol w:w="1152"/>
        <w:gridCol w:w="2843"/>
        <w:gridCol w:w="12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9"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339"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152"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2843"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249"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9"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339"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杨艳</w:t>
            </w:r>
          </w:p>
        </w:tc>
        <w:tc>
          <w:tcPr>
            <w:tcW w:w="1152"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副主任</w:t>
            </w:r>
          </w:p>
        </w:tc>
        <w:tc>
          <w:tcPr>
            <w:tcW w:w="2843" w:type="dxa"/>
            <w:noWrap w:val="0"/>
            <w:vAlign w:val="top"/>
          </w:tcPr>
          <w:p>
            <w:pPr>
              <w:pStyle w:val="7"/>
              <w:widowControl w:val="0"/>
              <w:tabs>
                <w:tab w:val="left" w:pos="231"/>
              </w:tabs>
              <w:spacing w:after="0" w:line="360" w:lineRule="auto"/>
              <w:jc w:val="left"/>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ab/>
            </w:r>
            <w:r>
              <w:rPr>
                <w:rFonts w:hint="eastAsia" w:ascii="Times New Roman" w:hAnsi="Times New Roman" w:eastAsia="黑体" w:cs="黑体"/>
                <w:kern w:val="2"/>
                <w:sz w:val="21"/>
                <w:szCs w:val="21"/>
                <w:lang w:val="zh-TW" w:eastAsia="zh-CN"/>
              </w:rPr>
              <w:t>区机关事务管理服务中心</w:t>
            </w:r>
          </w:p>
        </w:tc>
        <w:tc>
          <w:tcPr>
            <w:tcW w:w="1249" w:type="dxa"/>
            <w:noWrap w:val="0"/>
            <w:vAlign w:val="top"/>
          </w:tcPr>
          <w:p>
            <w:pPr>
              <w:pStyle w:val="7"/>
              <w:widowControl w:val="0"/>
              <w:spacing w:after="0" w:line="24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9" w:type="dxa"/>
            <w:noWrap w:val="0"/>
            <w:vAlign w:val="center"/>
          </w:tcPr>
          <w:p>
            <w:pPr>
              <w:pStyle w:val="7"/>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339"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闫鑫</w:t>
            </w:r>
          </w:p>
        </w:tc>
        <w:tc>
          <w:tcPr>
            <w:tcW w:w="1152"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副主任</w:t>
            </w:r>
          </w:p>
        </w:tc>
        <w:tc>
          <w:tcPr>
            <w:tcW w:w="2843"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1"/>
                <w:szCs w:val="21"/>
                <w:lang w:val="zh-TW" w:eastAsia="zh-CN"/>
              </w:rPr>
              <w:t>区机关事务管理服务中心</w:t>
            </w:r>
          </w:p>
        </w:tc>
        <w:tc>
          <w:tcPr>
            <w:tcW w:w="1249" w:type="dxa"/>
            <w:noWrap w:val="0"/>
            <w:vAlign w:val="top"/>
          </w:tcPr>
          <w:p>
            <w:pPr>
              <w:pStyle w:val="7"/>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9" w:type="dxa"/>
            <w:noWrap w:val="0"/>
            <w:vAlign w:val="center"/>
          </w:tcPr>
          <w:p>
            <w:pPr>
              <w:pStyle w:val="7"/>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339"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和娟</w:t>
            </w:r>
          </w:p>
        </w:tc>
        <w:tc>
          <w:tcPr>
            <w:tcW w:w="1152"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主任</w:t>
            </w:r>
          </w:p>
        </w:tc>
        <w:tc>
          <w:tcPr>
            <w:tcW w:w="2843"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办公室</w:t>
            </w:r>
          </w:p>
        </w:tc>
        <w:tc>
          <w:tcPr>
            <w:tcW w:w="1249" w:type="dxa"/>
            <w:noWrap w:val="0"/>
            <w:vAlign w:val="top"/>
          </w:tcPr>
          <w:p>
            <w:pPr>
              <w:pStyle w:val="7"/>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9" w:type="dxa"/>
            <w:noWrap w:val="0"/>
            <w:vAlign w:val="center"/>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成员</w:t>
            </w:r>
          </w:p>
        </w:tc>
        <w:tc>
          <w:tcPr>
            <w:tcW w:w="1339"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兰剑</w:t>
            </w:r>
          </w:p>
        </w:tc>
        <w:tc>
          <w:tcPr>
            <w:tcW w:w="1152"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科长</w:t>
            </w:r>
          </w:p>
        </w:tc>
        <w:tc>
          <w:tcPr>
            <w:tcW w:w="2843"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房产基建科</w:t>
            </w:r>
          </w:p>
        </w:tc>
        <w:tc>
          <w:tcPr>
            <w:tcW w:w="1249" w:type="dxa"/>
            <w:noWrap w:val="0"/>
            <w:vAlign w:val="top"/>
          </w:tcPr>
          <w:p>
            <w:pPr>
              <w:pStyle w:val="7"/>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9" w:type="dxa"/>
            <w:noWrap w:val="0"/>
            <w:vAlign w:val="center"/>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成员</w:t>
            </w:r>
          </w:p>
        </w:tc>
        <w:tc>
          <w:tcPr>
            <w:tcW w:w="1339"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杜云新</w:t>
            </w:r>
          </w:p>
        </w:tc>
        <w:tc>
          <w:tcPr>
            <w:tcW w:w="1152"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科长</w:t>
            </w:r>
          </w:p>
        </w:tc>
        <w:tc>
          <w:tcPr>
            <w:tcW w:w="2843"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保卫科</w:t>
            </w:r>
          </w:p>
        </w:tc>
        <w:tc>
          <w:tcPr>
            <w:tcW w:w="1249" w:type="dxa"/>
            <w:noWrap w:val="0"/>
            <w:vAlign w:val="top"/>
          </w:tcPr>
          <w:p>
            <w:pPr>
              <w:pStyle w:val="7"/>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9" w:type="dxa"/>
            <w:noWrap w:val="0"/>
            <w:vAlign w:val="center"/>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成员</w:t>
            </w:r>
          </w:p>
        </w:tc>
        <w:tc>
          <w:tcPr>
            <w:tcW w:w="1339"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刘荣地</w:t>
            </w:r>
          </w:p>
        </w:tc>
        <w:tc>
          <w:tcPr>
            <w:tcW w:w="1152"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主任</w:t>
            </w:r>
          </w:p>
        </w:tc>
        <w:tc>
          <w:tcPr>
            <w:tcW w:w="2843"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会议服务中心</w:t>
            </w:r>
          </w:p>
        </w:tc>
        <w:tc>
          <w:tcPr>
            <w:tcW w:w="1249" w:type="dxa"/>
            <w:noWrap w:val="0"/>
            <w:vAlign w:val="top"/>
          </w:tcPr>
          <w:p>
            <w:pPr>
              <w:pStyle w:val="7"/>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noWrap w:val="0"/>
            <w:vAlign w:val="top"/>
          </w:tcPr>
          <w:p>
            <w:pPr>
              <w:pStyle w:val="7"/>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7"/>
              <w:widowControl w:val="0"/>
              <w:spacing w:after="0" w:line="360" w:lineRule="auto"/>
              <w:jc w:val="both"/>
              <w:rPr>
                <w:rFonts w:ascii="Times New Roman" w:hAnsi="Times New Roman" w:eastAsia="黑体" w:cs="黑体"/>
                <w:kern w:val="2"/>
                <w:sz w:val="24"/>
                <w:szCs w:val="24"/>
                <w:lang w:val="zh-TW"/>
              </w:rPr>
            </w:pPr>
          </w:p>
          <w:p>
            <w:pPr>
              <w:pStyle w:val="7"/>
              <w:widowControl w:val="0"/>
              <w:spacing w:after="0" w:line="360" w:lineRule="auto"/>
              <w:jc w:val="both"/>
              <w:rPr>
                <w:rFonts w:ascii="Times New Roman" w:hAnsi="Times New Roman" w:eastAsia="黑体" w:cs="黑体"/>
                <w:kern w:val="2"/>
                <w:sz w:val="24"/>
                <w:szCs w:val="24"/>
                <w:lang w:val="zh-TW"/>
              </w:rPr>
            </w:pPr>
          </w:p>
          <w:p>
            <w:pPr>
              <w:pStyle w:val="7"/>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noWrap w:val="0"/>
            <w:vAlign w:val="top"/>
          </w:tcPr>
          <w:p>
            <w:pPr>
              <w:pStyle w:val="7"/>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7"/>
              <w:widowControl w:val="0"/>
              <w:spacing w:after="0" w:line="360" w:lineRule="auto"/>
              <w:jc w:val="both"/>
              <w:rPr>
                <w:rFonts w:ascii="Times New Roman" w:hAnsi="Times New Roman" w:eastAsia="黑体" w:cs="黑体"/>
                <w:kern w:val="2"/>
                <w:sz w:val="24"/>
                <w:szCs w:val="24"/>
                <w:lang w:val="zh-TW"/>
              </w:rPr>
            </w:pPr>
          </w:p>
          <w:p>
            <w:pPr>
              <w:pStyle w:val="7"/>
              <w:widowControl w:val="0"/>
              <w:spacing w:after="0" w:line="360" w:lineRule="auto"/>
              <w:jc w:val="both"/>
              <w:rPr>
                <w:rFonts w:ascii="Times New Roman" w:hAnsi="Times New Roman" w:eastAsia="黑体" w:cs="黑体"/>
                <w:kern w:val="2"/>
                <w:sz w:val="24"/>
                <w:szCs w:val="24"/>
                <w:lang w:val="zh-TW"/>
              </w:rPr>
            </w:pPr>
          </w:p>
          <w:p>
            <w:pPr>
              <w:pStyle w:val="7"/>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7"/>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7"/>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720" w:num="1"/>
          <w:docGrid w:type="lines" w:linePitch="312" w:charSpace="0"/>
        </w:sectPr>
      </w:pPr>
    </w:p>
    <w:p>
      <w:pPr>
        <w:pStyle w:val="8"/>
        <w:jc w:val="center"/>
        <w:rPr>
          <w:rFonts w:ascii="方正小标宋_GBK" w:hAnsi="Times New Roman" w:eastAsia="方正小标宋_GBK" w:cs="Times New Roman"/>
          <w:b w:val="0"/>
          <w:color w:val="auto"/>
        </w:rPr>
      </w:pPr>
      <w:r>
        <w:rPr>
          <w:rFonts w:hint="eastAsia" w:ascii="方正小标宋_GBK" w:hAnsi="Times New Roman" w:eastAsia="方正小标宋_GBK" w:cs="宋体"/>
          <w:b w:val="0"/>
          <w:color w:val="auto"/>
          <w:lang w:val="zh-CN"/>
        </w:rPr>
        <w:t>目录</w:t>
      </w:r>
    </w:p>
    <w:p>
      <w:pPr>
        <w:spacing w:line="400" w:lineRule="exact"/>
        <w:ind w:firstLine="420" w:firstLineChars="200"/>
        <w:jc w:val="left"/>
        <w:rPr>
          <w:rFonts w:ascii="黑体" w:hAnsi="黑体" w:eastAsia="黑体"/>
          <w:szCs w:val="32"/>
        </w:rPr>
      </w:pPr>
      <w:r>
        <w:rPr>
          <w:rFonts w:hint="eastAsia" w:ascii="黑体" w:hAnsi="黑体" w:eastAsia="黑体"/>
          <w:szCs w:val="32"/>
        </w:rPr>
        <w:t>一、摘要</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二、部门概况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（一）部门机构设置、编制</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（二）部门职能</w:t>
      </w:r>
    </w:p>
    <w:p>
      <w:pPr>
        <w:spacing w:line="400" w:lineRule="exact"/>
        <w:ind w:firstLine="420" w:firstLineChars="200"/>
        <w:jc w:val="left"/>
        <w:rPr>
          <w:rFonts w:ascii="黑体" w:hAnsi="黑体" w:eastAsia="黑体"/>
          <w:szCs w:val="32"/>
        </w:rPr>
      </w:pPr>
      <w:r>
        <w:rPr>
          <w:rFonts w:hint="eastAsia" w:ascii="黑体" w:hAnsi="黑体" w:eastAsia="黑体"/>
          <w:szCs w:val="32"/>
        </w:rPr>
        <w:t>（三）部门工作完成情况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 xml:space="preserve">（四）部门管理制度 </w:t>
      </w:r>
    </w:p>
    <w:p>
      <w:pPr>
        <w:spacing w:line="400" w:lineRule="exact"/>
        <w:ind w:firstLine="420" w:firstLineChars="200"/>
        <w:jc w:val="left"/>
        <w:rPr>
          <w:rFonts w:ascii="黑体" w:hAnsi="黑体" w:eastAsia="黑体"/>
          <w:szCs w:val="32"/>
        </w:rPr>
      </w:pPr>
      <w:r>
        <w:rPr>
          <w:rFonts w:hint="eastAsia" w:ascii="黑体" w:hAnsi="黑体" w:eastAsia="黑体"/>
          <w:szCs w:val="32"/>
        </w:rPr>
        <w:t>（五）部门资金来源及使用情况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 xml:space="preserve">（六）政府采购情况 </w:t>
      </w:r>
    </w:p>
    <w:p>
      <w:pPr>
        <w:spacing w:line="400" w:lineRule="exact"/>
        <w:ind w:firstLine="420" w:firstLineChars="200"/>
        <w:jc w:val="left"/>
        <w:rPr>
          <w:rFonts w:ascii="黑体" w:hAnsi="黑体" w:eastAsia="黑体"/>
          <w:szCs w:val="32"/>
        </w:rPr>
      </w:pPr>
      <w:r>
        <w:rPr>
          <w:rFonts w:hint="eastAsia" w:ascii="黑体" w:hAnsi="黑体" w:eastAsia="黑体"/>
          <w:szCs w:val="32"/>
        </w:rPr>
        <w:t>（七）固定资产情况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三、绩效目标</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四、评价思路和过程</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（一）评价思路</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（二）评价目的</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（三）评价依据</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（四）评价对象及评价时段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五、评价结论和绩效分析</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（二）具体绩效分析</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六、主要经验做法</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七、存在的问题</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八、改进措施及建议</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p>
    <w:p>
      <w:pPr>
        <w:spacing w:line="400" w:lineRule="exact"/>
        <w:ind w:firstLine="420" w:firstLineChars="200"/>
        <w:jc w:val="left"/>
        <w:rPr>
          <w:rFonts w:ascii="黑体" w:hAnsi="黑体" w:eastAsia="黑体"/>
          <w:szCs w:val="32"/>
        </w:rPr>
      </w:pPr>
    </w:p>
    <w:p>
      <w:pPr>
        <w:spacing w:line="520" w:lineRule="exact"/>
        <w:jc w:val="both"/>
        <w:rPr>
          <w:rFonts w:hint="eastAsia" w:ascii="方正小标宋_GBK" w:eastAsia="方正小标宋_GBK"/>
          <w:sz w:val="28"/>
          <w:szCs w:val="28"/>
        </w:rPr>
      </w:pPr>
    </w:p>
    <w:p>
      <w:pPr>
        <w:spacing w:line="520" w:lineRule="exact"/>
        <w:ind w:firstLine="560" w:firstLineChars="200"/>
        <w:jc w:val="center"/>
        <w:rPr>
          <w:rFonts w:hint="eastAsia" w:ascii="方正小标宋_GBK" w:eastAsia="方正小标宋_GBK"/>
          <w:sz w:val="28"/>
          <w:szCs w:val="28"/>
        </w:rPr>
      </w:pPr>
    </w:p>
    <w:p>
      <w:pPr>
        <w:spacing w:line="520" w:lineRule="exact"/>
        <w:ind w:firstLine="560" w:firstLineChars="200"/>
        <w:jc w:val="center"/>
        <w:rPr>
          <w:rFonts w:hint="eastAsia" w:ascii="方正小标宋_GBK" w:eastAsia="方正小标宋_GBK"/>
          <w:sz w:val="28"/>
          <w:szCs w:val="28"/>
        </w:rPr>
      </w:pPr>
    </w:p>
    <w:p>
      <w:pPr>
        <w:spacing w:line="520" w:lineRule="exact"/>
        <w:ind w:firstLine="560" w:firstLineChars="200"/>
        <w:jc w:val="center"/>
        <w:rPr>
          <w:rFonts w:hint="eastAsia" w:ascii="方正小标宋_GBK" w:eastAsia="方正小标宋_GBK"/>
          <w:sz w:val="28"/>
          <w:szCs w:val="28"/>
        </w:rPr>
        <w:sectPr>
          <w:pgSz w:w="11906" w:h="16838"/>
          <w:pgMar w:top="2041" w:right="1531" w:bottom="1928" w:left="1531" w:header="851" w:footer="992" w:gutter="0"/>
          <w:cols w:space="425" w:num="1"/>
          <w:docGrid w:type="lines" w:linePitch="312" w:charSpace="0"/>
        </w:sectPr>
      </w:pPr>
    </w:p>
    <w:p>
      <w:pPr>
        <w:rPr>
          <w:rFonts w:hint="eastAsia"/>
        </w:rPr>
      </w:pPr>
      <w:bookmarkStart w:id="0" w:name="_GoBack"/>
      <w:bookmarkEnd w:id="0"/>
    </w:p>
    <w:p>
      <w:pPr>
        <w:pageBreakBefore w:val="0"/>
        <w:kinsoku/>
        <w:wordWrap/>
        <w:overflowPunct/>
        <w:autoSpaceDE/>
        <w:autoSpaceDN/>
        <w:bidi w:val="0"/>
        <w:snapToGrid/>
        <w:spacing w:line="560" w:lineRule="exact"/>
        <w:ind w:firstLine="880" w:firstLineChars="200"/>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盘龙区</w:t>
      </w:r>
      <w:r>
        <w:rPr>
          <w:rFonts w:hint="eastAsia" w:ascii="方正小标宋简体" w:hAnsi="方正小标宋简体" w:eastAsia="方正小标宋简体" w:cs="方正小标宋简体"/>
          <w:sz w:val="44"/>
          <w:szCs w:val="44"/>
          <w:lang w:eastAsia="zh-CN"/>
        </w:rPr>
        <w:t>机关事务管理服务中心</w:t>
      </w:r>
    </w:p>
    <w:p>
      <w:pPr>
        <w:pageBreakBefore w:val="0"/>
        <w:kinsoku/>
        <w:wordWrap/>
        <w:overflowPunct/>
        <w:autoSpaceDE/>
        <w:autoSpaceDN/>
        <w:bidi w:val="0"/>
        <w:snapToGrid/>
        <w:spacing w:line="560" w:lineRule="exact"/>
        <w:ind w:firstLine="880" w:firstLineChars="200"/>
        <w:jc w:val="center"/>
        <w:rPr>
          <w:rFonts w:hint="default" w:ascii="Times New Roman" w:hAnsi="Times New Roman" w:eastAsia="方正小标宋简体" w:cs="Times New Roman"/>
          <w:sz w:val="32"/>
          <w:szCs w:val="32"/>
        </w:rPr>
      </w:pPr>
      <w:r>
        <w:rPr>
          <w:rFonts w:hint="eastAsia" w:ascii="方正小标宋简体" w:hAnsi="方正小标宋简体" w:eastAsia="方正小标宋简体" w:cs="方正小标宋简体"/>
          <w:sz w:val="44"/>
          <w:szCs w:val="44"/>
        </w:rPr>
        <w:t>2</w:t>
      </w:r>
      <w:r>
        <w:rPr>
          <w:rFonts w:hint="eastAsia" w:ascii="方正小标宋简体" w:hAnsi="方正小标宋简体" w:eastAsia="方正小标宋简体" w:cs="方正小标宋简体"/>
          <w:sz w:val="44"/>
          <w:szCs w:val="44"/>
          <w:lang w:val="en-US" w:eastAsia="zh-CN"/>
        </w:rPr>
        <w:t>022</w:t>
      </w:r>
      <w:r>
        <w:rPr>
          <w:rFonts w:hint="eastAsia" w:ascii="方正小标宋简体" w:hAnsi="方正小标宋简体" w:eastAsia="方正小标宋简体" w:cs="方正小标宋简体"/>
          <w:sz w:val="44"/>
          <w:szCs w:val="44"/>
        </w:rPr>
        <w:t>年部门整体支出绩效自评报告</w:t>
      </w:r>
    </w:p>
    <w:p>
      <w:pPr>
        <w:pageBreakBefore w:val="0"/>
        <w:kinsoku/>
        <w:wordWrap/>
        <w:overflowPunct/>
        <w:autoSpaceDE/>
        <w:autoSpaceDN/>
        <w:bidi w:val="0"/>
        <w:snapToGrid/>
        <w:spacing w:line="560" w:lineRule="exact"/>
        <w:ind w:firstLine="640" w:firstLineChars="200"/>
        <w:jc w:val="center"/>
        <w:rPr>
          <w:rFonts w:hint="default" w:ascii="Times New Roman" w:hAnsi="Times New Roman" w:eastAsia="仿宋_GB2312" w:cs="Times New Roman"/>
          <w:sz w:val="32"/>
          <w:szCs w:val="32"/>
        </w:rPr>
      </w:pPr>
    </w:p>
    <w:p>
      <w:pPr>
        <w:pageBreakBefore w:val="0"/>
        <w:kinsoku/>
        <w:wordWrap/>
        <w:overflowPunct/>
        <w:autoSpaceDE/>
        <w:autoSpaceDN/>
        <w:bidi w:val="0"/>
        <w:snapToGrid/>
        <w:spacing w:line="560" w:lineRule="exact"/>
        <w:ind w:firstLine="640" w:firstLineChars="200"/>
        <w:jc w:val="center"/>
        <w:rPr>
          <w:rFonts w:hint="default" w:ascii="Times New Roman" w:hAnsi="Times New Roman" w:eastAsia="方正小标宋_GBK" w:cs="Times New Roman"/>
          <w:sz w:val="32"/>
          <w:szCs w:val="32"/>
        </w:rPr>
      </w:pPr>
      <w:r>
        <w:rPr>
          <w:rFonts w:hint="default" w:ascii="Times New Roman" w:hAnsi="Times New Roman" w:eastAsia="方正小标宋_GBK" w:cs="Times New Roman"/>
          <w:sz w:val="32"/>
          <w:szCs w:val="32"/>
        </w:rPr>
        <w:t>摘要</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一、部门概况</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（一）</w:t>
      </w:r>
      <w:r>
        <w:rPr>
          <w:rFonts w:hint="default" w:ascii="Times New Roman" w:hAnsi="Times New Roman" w:eastAsia="楷体_GB2312" w:cs="Times New Roman"/>
          <w:sz w:val="32"/>
          <w:szCs w:val="32"/>
        </w:rPr>
        <w:t>主要职能职责</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盘龙区机关事务管理服务中心是区政府办主管的财政全额拨款事业单位。工作职责主要是根据党和国家的有关方针和政策，</w:t>
      </w:r>
      <w:r>
        <w:rPr>
          <w:rFonts w:hint="default" w:ascii="Times New Roman" w:hAnsi="Times New Roman" w:eastAsia="仿宋_GB2312" w:cs="Times New Roman"/>
          <w:sz w:val="32"/>
          <w:szCs w:val="32"/>
        </w:rPr>
        <w:t>结合区</w:t>
      </w:r>
      <w:r>
        <w:rPr>
          <w:rFonts w:hint="eastAsia" w:ascii="Times New Roman" w:hAnsi="Times New Roman" w:eastAsia="仿宋_GB2312" w:cs="Times New Roman"/>
          <w:sz w:val="32"/>
          <w:szCs w:val="32"/>
          <w:lang w:eastAsia="zh-CN"/>
        </w:rPr>
        <w:t>级</w:t>
      </w:r>
      <w:r>
        <w:rPr>
          <w:rFonts w:hint="default" w:ascii="Times New Roman" w:hAnsi="Times New Roman" w:eastAsia="仿宋_GB2312" w:cs="Times New Roman"/>
          <w:sz w:val="32"/>
          <w:szCs w:val="32"/>
        </w:rPr>
        <w:t>机关的具体情况，研究制定区机关事务工作的具体办法和规章制度并组织实施；对区机关后勤管理工作进行业务指导；对机关办公用房和各住宅区的公共设施进行维修；以及承办区</w:t>
      </w:r>
      <w:r>
        <w:rPr>
          <w:rFonts w:hint="eastAsia" w:ascii="Times New Roman" w:hAnsi="Times New Roman" w:eastAsia="仿宋_GB2312" w:cs="Times New Roman"/>
          <w:sz w:val="32"/>
          <w:szCs w:val="32"/>
          <w:lang w:eastAsia="zh-CN"/>
        </w:rPr>
        <w:t>级</w:t>
      </w:r>
      <w:r>
        <w:rPr>
          <w:rFonts w:hint="default" w:ascii="Times New Roman" w:hAnsi="Times New Roman" w:eastAsia="仿宋_GB2312" w:cs="Times New Roman"/>
          <w:sz w:val="32"/>
          <w:szCs w:val="32"/>
        </w:rPr>
        <w:t>机关的文件交换和报刊征订、收发等区政府交办的其他工作。对区</w:t>
      </w:r>
      <w:r>
        <w:rPr>
          <w:rFonts w:hint="default" w:ascii="Times New Roman" w:hAnsi="Times New Roman" w:eastAsia="仿宋_GB2312" w:cs="Times New Roman"/>
          <w:sz w:val="32"/>
          <w:szCs w:val="32"/>
          <w:lang w:eastAsia="zh-CN"/>
        </w:rPr>
        <w:t>级</w:t>
      </w:r>
      <w:r>
        <w:rPr>
          <w:rFonts w:hint="default" w:ascii="Times New Roman" w:hAnsi="Times New Roman" w:eastAsia="仿宋_GB2312" w:cs="Times New Roman"/>
          <w:sz w:val="32"/>
          <w:szCs w:val="32"/>
        </w:rPr>
        <w:t>机关组织实施基本建设项目，区</w:t>
      </w:r>
      <w:r>
        <w:rPr>
          <w:rFonts w:hint="default" w:ascii="Times New Roman" w:hAnsi="Times New Roman" w:eastAsia="仿宋_GB2312" w:cs="Times New Roman"/>
          <w:sz w:val="32"/>
          <w:szCs w:val="32"/>
          <w:lang w:eastAsia="zh-CN"/>
        </w:rPr>
        <w:t>级</w:t>
      </w:r>
      <w:r>
        <w:rPr>
          <w:rFonts w:hint="default" w:ascii="Times New Roman" w:hAnsi="Times New Roman" w:eastAsia="仿宋_GB2312" w:cs="Times New Roman"/>
          <w:sz w:val="32"/>
          <w:szCs w:val="32"/>
        </w:rPr>
        <w:t>机关房屋维修管理，区级机关安全保卫、消防、绿化、卫生管理、创卫工作、机关文件交换、公共机</w:t>
      </w:r>
      <w:r>
        <w:rPr>
          <w:rFonts w:hint="eastAsia" w:ascii="Times New Roman" w:hAnsi="Times New Roman" w:eastAsia="仿宋_GB2312" w:cs="Times New Roman"/>
          <w:sz w:val="32"/>
          <w:szCs w:val="32"/>
          <w:lang w:eastAsia="zh-CN"/>
        </w:rPr>
        <w:t>构</w:t>
      </w:r>
      <w:r>
        <w:rPr>
          <w:rFonts w:hint="default" w:ascii="Times New Roman" w:hAnsi="Times New Roman" w:eastAsia="仿宋_GB2312" w:cs="Times New Roman"/>
          <w:sz w:val="32"/>
          <w:szCs w:val="32"/>
        </w:rPr>
        <w:t>节能减排、公务用车管理、会议服务、机关食堂等后勤工作。为区</w:t>
      </w:r>
      <w:r>
        <w:rPr>
          <w:rFonts w:hint="default" w:ascii="Times New Roman" w:hAnsi="Times New Roman" w:eastAsia="仿宋_GB2312" w:cs="Times New Roman"/>
          <w:sz w:val="32"/>
          <w:szCs w:val="32"/>
          <w:lang w:eastAsia="zh-CN"/>
        </w:rPr>
        <w:t>级</w:t>
      </w:r>
      <w:r>
        <w:rPr>
          <w:rFonts w:hint="default" w:ascii="Times New Roman" w:hAnsi="Times New Roman" w:eastAsia="仿宋_GB2312" w:cs="Times New Roman"/>
          <w:sz w:val="32"/>
          <w:szCs w:val="32"/>
        </w:rPr>
        <w:t>机关干部职工的工作、生活提供优良的服务。承办区委、区政府和上级业务部门交办的其他事项</w:t>
      </w:r>
      <w:r>
        <w:rPr>
          <w:rFonts w:hint="default" w:ascii="Times New Roman" w:hAnsi="Times New Roman" w:eastAsia="仿宋_GB2312" w:cs="Times New Roman"/>
          <w:sz w:val="32"/>
          <w:szCs w:val="32"/>
          <w:lang w:eastAsia="zh-CN"/>
        </w:rPr>
        <w:t>。</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（二）</w:t>
      </w:r>
      <w:r>
        <w:rPr>
          <w:rFonts w:hint="default" w:ascii="Times New Roman" w:hAnsi="Times New Roman" w:eastAsia="楷体_GB2312" w:cs="Times New Roman"/>
          <w:sz w:val="32"/>
          <w:szCs w:val="32"/>
        </w:rPr>
        <w:t>年度重点工作</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安保服务工作、房屋管理工作、政府采购工作、公共机构节能工作、公务用车管理工作、机关食堂工作、机关爱卫工作等。</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（三）</w:t>
      </w:r>
      <w:r>
        <w:rPr>
          <w:rFonts w:hint="default" w:ascii="Times New Roman" w:hAnsi="Times New Roman" w:eastAsia="楷体_GB2312" w:cs="Times New Roman"/>
          <w:sz w:val="32"/>
          <w:szCs w:val="32"/>
        </w:rPr>
        <w:t>预算收支总额、预算执行情况</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盘</w:t>
      </w:r>
      <w:r>
        <w:rPr>
          <w:rFonts w:hint="default" w:ascii="Times New Roman" w:hAnsi="Times New Roman" w:eastAsia="仿宋_GB2312" w:cs="Times New Roman"/>
          <w:color w:val="000000"/>
          <w:sz w:val="32"/>
          <w:szCs w:val="32"/>
        </w:rPr>
        <w:t>龙</w:t>
      </w:r>
      <w:r>
        <w:rPr>
          <w:rFonts w:hint="default" w:ascii="Times New Roman" w:hAnsi="Times New Roman" w:eastAsia="仿宋_GB2312" w:cs="Times New Roman"/>
          <w:sz w:val="32"/>
          <w:szCs w:val="32"/>
        </w:rPr>
        <w:t>区机关事务管理服务中心202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年度区级财政预算批复</w:t>
      </w:r>
      <w:r>
        <w:rPr>
          <w:rFonts w:hint="default" w:ascii="Times New Roman" w:hAnsi="Times New Roman" w:eastAsia="仿宋_GB2312" w:cs="Times New Roman"/>
          <w:sz w:val="32"/>
          <w:szCs w:val="32"/>
          <w:lang w:val="en-US" w:eastAsia="zh-CN"/>
        </w:rPr>
        <w:t>2782.67</w:t>
      </w:r>
      <w:r>
        <w:rPr>
          <w:rFonts w:hint="default" w:ascii="Times New Roman" w:hAnsi="Times New Roman" w:eastAsia="仿宋_GB2312" w:cs="Times New Roman"/>
          <w:sz w:val="32"/>
          <w:szCs w:val="32"/>
        </w:rPr>
        <w:t>万元,202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年度决算为</w:t>
      </w:r>
      <w:r>
        <w:rPr>
          <w:rFonts w:hint="default" w:ascii="Times New Roman" w:hAnsi="Times New Roman" w:eastAsia="仿宋_GB2312" w:cs="Times New Roman"/>
          <w:sz w:val="32"/>
          <w:szCs w:val="32"/>
          <w:lang w:val="en-US" w:eastAsia="zh-CN"/>
        </w:rPr>
        <w:t>2386.53</w:t>
      </w:r>
      <w:r>
        <w:rPr>
          <w:rFonts w:hint="default" w:ascii="Times New Roman" w:hAnsi="Times New Roman" w:eastAsia="仿宋_GB2312" w:cs="Times New Roman"/>
          <w:sz w:val="32"/>
          <w:szCs w:val="32"/>
        </w:rPr>
        <w:t>万元，其中：基本支出</w:t>
      </w:r>
      <w:r>
        <w:rPr>
          <w:rFonts w:hint="default" w:ascii="Times New Roman" w:hAnsi="Times New Roman" w:eastAsia="仿宋_GB2312" w:cs="Times New Roman"/>
          <w:sz w:val="32"/>
          <w:szCs w:val="32"/>
          <w:lang w:val="en-US" w:eastAsia="zh-CN"/>
        </w:rPr>
        <w:t>455.36</w:t>
      </w:r>
      <w:r>
        <w:rPr>
          <w:rFonts w:hint="default" w:ascii="Times New Roman" w:hAnsi="Times New Roman" w:eastAsia="仿宋_GB2312" w:cs="Times New Roman"/>
          <w:sz w:val="32"/>
          <w:szCs w:val="32"/>
        </w:rPr>
        <w:t>万元；项目支出</w:t>
      </w:r>
      <w:r>
        <w:rPr>
          <w:rFonts w:hint="default" w:ascii="Times New Roman" w:hAnsi="Times New Roman" w:eastAsia="仿宋_GB2312" w:cs="Times New Roman"/>
          <w:sz w:val="32"/>
          <w:szCs w:val="32"/>
          <w:lang w:val="en-US" w:eastAsia="zh-CN"/>
        </w:rPr>
        <w:t>1931.17</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预算执行率为</w:t>
      </w:r>
      <w:r>
        <w:rPr>
          <w:rFonts w:hint="default" w:ascii="Times New Roman" w:hAnsi="Times New Roman" w:eastAsia="仿宋_GB2312" w:cs="Times New Roman"/>
          <w:sz w:val="32"/>
          <w:szCs w:val="32"/>
          <w:lang w:val="en-US" w:eastAsia="zh-CN"/>
        </w:rPr>
        <w:t>85.76</w:t>
      </w:r>
      <w:r>
        <w:rPr>
          <w:rFonts w:hint="default" w:ascii="Times New Roman" w:hAnsi="Times New Roman" w:eastAsia="仿宋_GB2312" w:cs="Times New Roman"/>
          <w:sz w:val="32"/>
          <w:szCs w:val="32"/>
        </w:rPr>
        <w:t>%。</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二、评价结论及绩效分析</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（一）评价结果</w:t>
      </w:r>
    </w:p>
    <w:p>
      <w:pPr>
        <w:pageBreakBefore w:val="0"/>
        <w:kinsoku/>
        <w:wordWrap/>
        <w:overflowPunct/>
        <w:autoSpaceDE/>
        <w:autoSpaceDN/>
        <w:bidi w:val="0"/>
        <w:snapToGrid/>
        <w:spacing w:line="560" w:lineRule="exact"/>
        <w:ind w:firstLine="640" w:firstLineChars="200"/>
        <w:jc w:val="left"/>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区机关事务管理服务中心本次部门整体支出绩效自评得分</w:t>
      </w:r>
      <w:r>
        <w:rPr>
          <w:rFonts w:hint="default"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分，评价等级为优</w:t>
      </w:r>
      <w:r>
        <w:rPr>
          <w:rFonts w:hint="eastAsia" w:ascii="Times New Roman" w:hAnsi="Times New Roman" w:eastAsia="仿宋_GB2312" w:cs="Times New Roman"/>
          <w:sz w:val="32"/>
          <w:szCs w:val="32"/>
          <w:lang w:eastAsia="zh-CN"/>
        </w:rPr>
        <w:t>。</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楷体" w:cs="Times New Roman"/>
          <w:sz w:val="32"/>
          <w:szCs w:val="32"/>
          <w:lang w:eastAsia="zh-CN"/>
        </w:rPr>
      </w:pPr>
      <w:r>
        <w:rPr>
          <w:rFonts w:hint="default" w:ascii="Times New Roman" w:hAnsi="Times New Roman" w:eastAsia="楷体" w:cs="Times New Roman"/>
          <w:sz w:val="32"/>
          <w:szCs w:val="32"/>
          <w:lang w:eastAsia="zh-CN"/>
        </w:rPr>
        <w:t>（二）绩效分析</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盘龙区机关事务管理服务中心202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年度按照《部门（单位）整体支出绩效目标申报表（202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年度）》中设定年度主要工作内容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按照工作职责、年度工作任务开展全年的工作，做好机关后勤保障工作。202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年实现年度目标，预算配置合理，管理规范，履职</w:t>
      </w:r>
      <w:r>
        <w:rPr>
          <w:rFonts w:hint="default" w:ascii="Times New Roman" w:hAnsi="Times New Roman" w:eastAsia="仿宋_GB2312" w:cs="Times New Roman"/>
          <w:sz w:val="32"/>
          <w:szCs w:val="32"/>
          <w:lang w:eastAsia="zh-CN"/>
        </w:rPr>
        <w:t>情况</w:t>
      </w:r>
      <w:r>
        <w:rPr>
          <w:rFonts w:hint="default" w:ascii="Times New Roman" w:hAnsi="Times New Roman" w:eastAsia="仿宋_GB2312" w:cs="Times New Roman"/>
          <w:sz w:val="32"/>
          <w:szCs w:val="32"/>
        </w:rPr>
        <w:t>良好</w:t>
      </w:r>
      <w:r>
        <w:rPr>
          <w:rFonts w:hint="default" w:ascii="Times New Roman" w:hAnsi="Times New Roman" w:eastAsia="仿宋_GB2312" w:cs="Times New Roman"/>
          <w:sz w:val="32"/>
          <w:szCs w:val="32"/>
          <w:lang w:eastAsia="zh-CN"/>
        </w:rPr>
        <w:t>。</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三、经验、问题和建议</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楷体" w:cs="Times New Roman"/>
          <w:sz w:val="32"/>
          <w:szCs w:val="32"/>
        </w:rPr>
      </w:pPr>
      <w:r>
        <w:rPr>
          <w:rFonts w:hint="default" w:ascii="Times New Roman" w:hAnsi="Times New Roman" w:eastAsia="楷体_GB2312" w:cs="Times New Roman"/>
          <w:sz w:val="32"/>
          <w:szCs w:val="32"/>
          <w:lang w:eastAsia="zh-CN"/>
        </w:rPr>
        <w:t>（一）</w:t>
      </w:r>
      <w:r>
        <w:rPr>
          <w:rFonts w:hint="default" w:ascii="Times New Roman" w:hAnsi="Times New Roman" w:eastAsia="楷体_GB2312" w:cs="Times New Roman"/>
          <w:sz w:val="32"/>
          <w:szCs w:val="32"/>
        </w:rPr>
        <w:t>经验</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机关事务管理服务中心根据</w:t>
      </w:r>
      <w:r>
        <w:rPr>
          <w:rFonts w:hint="default" w:ascii="Times New Roman" w:hAnsi="Times New Roman" w:eastAsia="仿宋_GB2312" w:cs="Times New Roman"/>
          <w:color w:val="000000" w:themeColor="text1"/>
          <w:sz w:val="32"/>
          <w:szCs w:val="32"/>
          <w14:textFill>
            <w14:solidFill>
              <w14:schemeClr w14:val="tx1"/>
            </w14:solidFill>
          </w14:textFill>
        </w:rPr>
        <w:t>《昆明市盘龙区财政局关于开展202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年度区级预算支出绩效自评工作的通知》（盘财绩〔202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14</w:t>
      </w:r>
      <w:r>
        <w:rPr>
          <w:rFonts w:hint="default" w:ascii="Times New Roman" w:hAnsi="Times New Roman" w:eastAsia="仿宋_GB2312" w:cs="Times New Roman"/>
          <w:color w:val="000000" w:themeColor="text1"/>
          <w:sz w:val="32"/>
          <w:szCs w:val="32"/>
          <w14:textFill>
            <w14:solidFill>
              <w14:schemeClr w14:val="tx1"/>
            </w14:solidFill>
          </w14:textFill>
        </w:rPr>
        <w:t>号）</w:t>
      </w:r>
      <w:r>
        <w:rPr>
          <w:rFonts w:hint="default" w:ascii="Times New Roman" w:hAnsi="Times New Roman" w:eastAsia="仿宋_GB2312" w:cs="Times New Roman"/>
          <w:color w:val="000000" w:themeColor="text1"/>
          <w:kern w:val="0"/>
          <w:sz w:val="32"/>
          <w:szCs w:val="32"/>
          <w14:textFill>
            <w14:solidFill>
              <w14:schemeClr w14:val="tx1"/>
            </w14:solidFill>
          </w14:textFill>
        </w:rPr>
        <w:t>精神</w:t>
      </w:r>
      <w:r>
        <w:rPr>
          <w:rFonts w:hint="default" w:ascii="Times New Roman" w:hAnsi="Times New Roman" w:eastAsia="仿宋_GB2312" w:cs="Times New Roman"/>
          <w:color w:val="333333"/>
          <w:kern w:val="0"/>
          <w:sz w:val="32"/>
          <w:szCs w:val="32"/>
        </w:rPr>
        <w:t>，通过前期调研，充分了解评价项目有关情况；通过查看资金使用情况，核实202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年区机关事务管理服务中心的各项支出的合法性、合规性；通过分析目标完成情况，查找存在的问题及总结好的经验方法，较好</w:t>
      </w:r>
      <w:r>
        <w:rPr>
          <w:rFonts w:hint="default" w:ascii="Times New Roman" w:hAnsi="Times New Roman" w:eastAsia="仿宋_GB2312" w:cs="Times New Roman"/>
          <w:color w:val="333333"/>
          <w:kern w:val="0"/>
          <w:sz w:val="32"/>
          <w:szCs w:val="32"/>
          <w:lang w:eastAsia="zh-CN"/>
        </w:rPr>
        <w:t>地</w:t>
      </w:r>
      <w:r>
        <w:rPr>
          <w:rFonts w:hint="default" w:ascii="Times New Roman" w:hAnsi="Times New Roman" w:eastAsia="仿宋_GB2312" w:cs="Times New Roman"/>
          <w:color w:val="333333"/>
          <w:kern w:val="0"/>
          <w:sz w:val="32"/>
          <w:szCs w:val="32"/>
        </w:rPr>
        <w:t>完成了自评工作</w:t>
      </w:r>
      <w:r>
        <w:rPr>
          <w:rFonts w:hint="default" w:ascii="Times New Roman" w:hAnsi="Times New Roman" w:eastAsia="仿宋_GB2312" w:cs="Times New Roman"/>
          <w:color w:val="333333"/>
          <w:kern w:val="0"/>
          <w:sz w:val="32"/>
          <w:szCs w:val="32"/>
          <w:lang w:eastAsia="zh-CN"/>
        </w:rPr>
        <w:t>。</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楷体" w:cs="Times New Roman"/>
          <w:sz w:val="32"/>
          <w:szCs w:val="32"/>
        </w:rPr>
      </w:pPr>
      <w:r>
        <w:rPr>
          <w:rFonts w:hint="default" w:ascii="Times New Roman" w:hAnsi="Times New Roman" w:eastAsia="楷体" w:cs="Times New Roman"/>
          <w:sz w:val="32"/>
          <w:szCs w:val="32"/>
          <w:lang w:eastAsia="zh-CN"/>
        </w:rPr>
        <w:t>（二）</w:t>
      </w:r>
      <w:r>
        <w:rPr>
          <w:rFonts w:hint="default" w:ascii="Times New Roman" w:hAnsi="Times New Roman" w:eastAsia="楷体" w:cs="Times New Roman"/>
          <w:sz w:val="32"/>
          <w:szCs w:val="32"/>
        </w:rPr>
        <w:t>存在的问题</w:t>
      </w:r>
    </w:p>
    <w:p>
      <w:pPr>
        <w:pageBreakBefore w:val="0"/>
        <w:widowControl/>
        <w:shd w:val="clear" w:color="auto" w:fill="FFFFFF"/>
        <w:kinsoku/>
        <w:wordWrap/>
        <w:overflowPunct/>
        <w:autoSpaceDE/>
        <w:autoSpaceDN/>
        <w:bidi w:val="0"/>
        <w:snapToGrid/>
        <w:spacing w:line="560" w:lineRule="exact"/>
        <w:ind w:firstLine="640" w:firstLineChars="200"/>
        <w:jc w:val="left"/>
        <w:rPr>
          <w:rFonts w:hint="default" w:ascii="Times New Roman" w:hAnsi="Times New Roman" w:cs="Times New Roman"/>
          <w:sz w:val="32"/>
          <w:szCs w:val="32"/>
          <w:lang w:eastAsia="zh-CN"/>
        </w:rPr>
      </w:pPr>
      <w:r>
        <w:rPr>
          <w:rFonts w:hint="default" w:ascii="Times New Roman" w:hAnsi="Times New Roman" w:eastAsia="仿宋_GB2312" w:cs="Times New Roman"/>
          <w:color w:val="333333"/>
          <w:kern w:val="0"/>
          <w:sz w:val="32"/>
          <w:szCs w:val="32"/>
          <w:lang w:val="en-US" w:eastAsia="zh-CN"/>
        </w:rPr>
        <w:t>1.</w:t>
      </w:r>
      <w:r>
        <w:rPr>
          <w:rFonts w:hint="default" w:ascii="Times New Roman" w:hAnsi="Times New Roman" w:eastAsia="仿宋_GB2312" w:cs="Times New Roman"/>
          <w:color w:val="333333"/>
          <w:kern w:val="0"/>
          <w:sz w:val="32"/>
          <w:szCs w:val="32"/>
        </w:rPr>
        <w:t>绩效申报、跟踪、评价工作专业水平有待提高</w:t>
      </w:r>
      <w:r>
        <w:rPr>
          <w:rFonts w:hint="default" w:ascii="Times New Roman" w:hAnsi="Times New Roman" w:eastAsia="仿宋_GB2312" w:cs="Times New Roman"/>
          <w:color w:val="333333"/>
          <w:kern w:val="0"/>
          <w:sz w:val="32"/>
          <w:szCs w:val="32"/>
          <w:lang w:eastAsia="zh-CN"/>
        </w:rPr>
        <w:t>。</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仿宋_GB2312" w:cs="Times New Roman"/>
          <w:color w:val="333333"/>
          <w:kern w:val="0"/>
          <w:sz w:val="32"/>
          <w:szCs w:val="32"/>
          <w:lang w:eastAsia="zh-CN"/>
        </w:rPr>
      </w:pP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需加强学习，提高综合文字能力</w:t>
      </w:r>
      <w:r>
        <w:rPr>
          <w:rFonts w:hint="default" w:ascii="Times New Roman" w:hAnsi="Times New Roman" w:eastAsia="仿宋_GB2312" w:cs="Times New Roman"/>
          <w:color w:val="333333"/>
          <w:kern w:val="0"/>
          <w:sz w:val="32"/>
          <w:szCs w:val="32"/>
          <w:lang w:eastAsia="zh-CN"/>
        </w:rPr>
        <w:t>。</w:t>
      </w:r>
    </w:p>
    <w:p>
      <w:pPr>
        <w:pageBreakBefore w:val="0"/>
        <w:kinsoku/>
        <w:wordWrap/>
        <w:overflowPunct/>
        <w:autoSpaceDE/>
        <w:autoSpaceDN/>
        <w:bidi w:val="0"/>
        <w:snapToGrid/>
        <w:spacing w:line="560" w:lineRule="exact"/>
        <w:ind w:firstLine="640" w:firstLineChars="200"/>
        <w:jc w:val="left"/>
        <w:rPr>
          <w:rFonts w:hint="default" w:ascii="Times New Roman" w:hAnsi="Times New Roman" w:cs="Times New Roman"/>
          <w:sz w:val="32"/>
          <w:szCs w:val="32"/>
          <w:lang w:val="en-US" w:eastAsia="zh-CN"/>
        </w:rPr>
      </w:pPr>
      <w:r>
        <w:rPr>
          <w:rFonts w:hint="default" w:ascii="Times New Roman" w:hAnsi="Times New Roman" w:eastAsia="仿宋_GB2312" w:cs="Times New Roman"/>
          <w:color w:val="333333"/>
          <w:kern w:val="0"/>
          <w:sz w:val="32"/>
          <w:szCs w:val="32"/>
          <w:lang w:val="en-US" w:eastAsia="zh-CN"/>
        </w:rPr>
        <w:t>3.由于疫情影响，资金安排使用偏少。</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（三）</w:t>
      </w:r>
      <w:r>
        <w:rPr>
          <w:rFonts w:hint="default" w:ascii="Times New Roman" w:hAnsi="Times New Roman" w:eastAsia="楷体_GB2312" w:cs="Times New Roman"/>
          <w:sz w:val="32"/>
          <w:szCs w:val="32"/>
        </w:rPr>
        <w:t>改进措施及建议</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楷体" w:cs="Times New Roman"/>
          <w:sz w:val="32"/>
          <w:szCs w:val="32"/>
          <w:lang w:val="en-US" w:eastAsia="zh-CN"/>
        </w:rPr>
        <w:t>1.</w:t>
      </w:r>
      <w:r>
        <w:rPr>
          <w:rFonts w:hint="default" w:ascii="Times New Roman" w:hAnsi="Times New Roman" w:eastAsia="仿宋_GB2312" w:cs="Times New Roman"/>
          <w:sz w:val="32"/>
          <w:szCs w:val="32"/>
          <w:lang w:val="en-US" w:eastAsia="zh-CN"/>
        </w:rPr>
        <w:t>强化预算绩效管理意识，提高预算绩效管理水平。</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2.建议区财政局加强业务知识培训，提高工作人员综合素质。</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3.加强队伍建设和机制创新。</w:t>
      </w:r>
    </w:p>
    <w:p>
      <w:pPr>
        <w:pageBreakBefore w:val="0"/>
        <w:kinsoku/>
        <w:wordWrap/>
        <w:overflowPunct/>
        <w:autoSpaceDE/>
        <w:autoSpaceDN/>
        <w:bidi w:val="0"/>
        <w:snapToGrid/>
        <w:spacing w:line="560" w:lineRule="exact"/>
        <w:ind w:firstLine="640" w:firstLineChars="200"/>
        <w:jc w:val="left"/>
        <w:rPr>
          <w:rFonts w:hint="default" w:ascii="Times New Roman" w:hAnsi="Times New Roman" w:cs="Times New Roman"/>
          <w:sz w:val="32"/>
          <w:szCs w:val="32"/>
          <w:lang w:val="en-US" w:eastAsia="zh-CN"/>
        </w:rPr>
      </w:pPr>
      <w:r>
        <w:rPr>
          <w:rFonts w:hint="default" w:ascii="Times New Roman" w:hAnsi="Times New Roman" w:eastAsia="仿宋_GB2312" w:cs="Times New Roman"/>
          <w:sz w:val="32"/>
          <w:szCs w:val="32"/>
          <w:lang w:val="en-US" w:eastAsia="zh-CN"/>
        </w:rPr>
        <w:t>4.统筹安排、合理使用预算资金。</w:t>
      </w:r>
    </w:p>
    <w:p>
      <w:pPr>
        <w:pageBreakBefore w:val="0"/>
        <w:kinsoku/>
        <w:wordWrap/>
        <w:overflowPunct/>
        <w:autoSpaceDE/>
        <w:autoSpaceDN/>
        <w:bidi w:val="0"/>
        <w:snapToGrid/>
        <w:spacing w:line="560" w:lineRule="exact"/>
        <w:ind w:firstLine="640" w:firstLineChars="200"/>
        <w:jc w:val="left"/>
        <w:rPr>
          <w:rFonts w:hint="default" w:ascii="Times New Roman" w:hAnsi="Times New Roman" w:eastAsia="楷体" w:cs="Times New Roman"/>
          <w:sz w:val="32"/>
          <w:szCs w:val="32"/>
        </w:rPr>
      </w:pPr>
    </w:p>
    <w:p>
      <w:pPr>
        <w:pStyle w:val="2"/>
        <w:pageBreakBefore w:val="0"/>
        <w:kinsoku/>
        <w:wordWrap/>
        <w:overflowPunct/>
        <w:autoSpaceDE/>
        <w:autoSpaceDN/>
        <w:bidi w:val="0"/>
        <w:snapToGrid/>
        <w:spacing w:line="560" w:lineRule="exact"/>
        <w:rPr>
          <w:rFonts w:hint="default" w:ascii="Times New Roman" w:hAnsi="Times New Roman" w:eastAsia="楷体" w:cs="Times New Roman"/>
          <w:sz w:val="32"/>
          <w:szCs w:val="32"/>
        </w:rPr>
      </w:pPr>
    </w:p>
    <w:p>
      <w:pPr>
        <w:pageBreakBefore w:val="0"/>
        <w:kinsoku/>
        <w:wordWrap/>
        <w:overflowPunct/>
        <w:autoSpaceDE/>
        <w:autoSpaceDN/>
        <w:bidi w:val="0"/>
        <w:snapToGrid/>
        <w:spacing w:line="560" w:lineRule="exact"/>
        <w:rPr>
          <w:rFonts w:hint="default" w:ascii="Times New Roman" w:hAnsi="Times New Roman" w:eastAsia="楷体" w:cs="Times New Roman"/>
          <w:sz w:val="32"/>
          <w:szCs w:val="32"/>
        </w:rPr>
      </w:pPr>
    </w:p>
    <w:p>
      <w:pPr>
        <w:pStyle w:val="2"/>
        <w:rPr>
          <w:rFonts w:hint="default" w:ascii="Times New Roman" w:hAnsi="Times New Roman" w:eastAsia="楷体" w:cs="Times New Roman"/>
          <w:sz w:val="32"/>
          <w:szCs w:val="32"/>
        </w:rPr>
      </w:pPr>
    </w:p>
    <w:p>
      <w:pPr>
        <w:rPr>
          <w:rFonts w:hint="default" w:ascii="Times New Roman" w:hAnsi="Times New Roman" w:eastAsia="楷体" w:cs="Times New Roman"/>
          <w:sz w:val="32"/>
          <w:szCs w:val="32"/>
        </w:rPr>
      </w:pPr>
    </w:p>
    <w:p>
      <w:pPr>
        <w:pStyle w:val="2"/>
        <w:rPr>
          <w:rFonts w:hint="default" w:ascii="Times New Roman" w:hAnsi="Times New Roman" w:eastAsia="楷体" w:cs="Times New Roman"/>
          <w:sz w:val="32"/>
          <w:szCs w:val="32"/>
        </w:rPr>
      </w:pPr>
    </w:p>
    <w:p>
      <w:pPr>
        <w:rPr>
          <w:rFonts w:hint="default" w:ascii="Times New Roman" w:hAnsi="Times New Roman" w:cs="Times New Roman"/>
        </w:rPr>
      </w:pPr>
    </w:p>
    <w:p>
      <w:pPr>
        <w:pStyle w:val="2"/>
        <w:pageBreakBefore w:val="0"/>
        <w:kinsoku/>
        <w:wordWrap/>
        <w:overflowPunct/>
        <w:autoSpaceDE/>
        <w:autoSpaceDN/>
        <w:bidi w:val="0"/>
        <w:snapToGrid/>
        <w:spacing w:line="560" w:lineRule="exact"/>
        <w:rPr>
          <w:rFonts w:hint="default" w:ascii="Times New Roman" w:hAnsi="Times New Roman" w:cs="Times New Roman"/>
          <w:sz w:val="32"/>
          <w:szCs w:val="32"/>
        </w:rPr>
      </w:pPr>
    </w:p>
    <w:p>
      <w:pPr>
        <w:pageBreakBefore w:val="0"/>
        <w:kinsoku/>
        <w:wordWrap/>
        <w:overflowPunct/>
        <w:autoSpaceDE/>
        <w:autoSpaceDN/>
        <w:bidi w:val="0"/>
        <w:snapToGrid/>
        <w:spacing w:line="560" w:lineRule="exact"/>
        <w:ind w:firstLine="640" w:firstLineChars="200"/>
        <w:jc w:val="center"/>
        <w:rPr>
          <w:rFonts w:hint="default" w:ascii="Times New Roman" w:hAnsi="Times New Roman" w:eastAsia="方正小标宋_GBK" w:cs="Times New Roman"/>
          <w:sz w:val="32"/>
          <w:szCs w:val="32"/>
        </w:rPr>
      </w:pPr>
    </w:p>
    <w:p>
      <w:pPr>
        <w:pageBreakBefore w:val="0"/>
        <w:kinsoku/>
        <w:wordWrap/>
        <w:overflowPunct/>
        <w:autoSpaceDE/>
        <w:autoSpaceDN/>
        <w:bidi w:val="0"/>
        <w:snapToGrid/>
        <w:spacing w:line="560" w:lineRule="exact"/>
        <w:ind w:firstLine="640" w:firstLineChars="200"/>
        <w:jc w:val="center"/>
        <w:rPr>
          <w:rFonts w:hint="default" w:ascii="Times New Roman" w:hAnsi="Times New Roman" w:eastAsia="方正小标宋_GBK" w:cs="Times New Roman"/>
          <w:sz w:val="32"/>
          <w:szCs w:val="32"/>
        </w:rPr>
      </w:pPr>
    </w:p>
    <w:p>
      <w:pPr>
        <w:pageBreakBefore w:val="0"/>
        <w:kinsoku/>
        <w:wordWrap/>
        <w:overflowPunct/>
        <w:autoSpaceDE/>
        <w:autoSpaceDN/>
        <w:bidi w:val="0"/>
        <w:snapToGrid/>
        <w:spacing w:line="560" w:lineRule="exact"/>
        <w:ind w:firstLine="880" w:firstLineChars="200"/>
        <w:jc w:val="center"/>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rPr>
        <w:t>正文：</w:t>
      </w:r>
      <w:r>
        <w:rPr>
          <w:rFonts w:hint="default" w:ascii="Times New Roman" w:hAnsi="Times New Roman" w:eastAsia="方正小标宋简体" w:cs="Times New Roman"/>
          <w:sz w:val="44"/>
          <w:szCs w:val="44"/>
          <w:lang w:eastAsia="zh-CN"/>
        </w:rPr>
        <w:t>盘龙区机关事务管理服务中心</w:t>
      </w:r>
    </w:p>
    <w:p>
      <w:pPr>
        <w:pageBreakBefore w:val="0"/>
        <w:kinsoku/>
        <w:wordWrap/>
        <w:overflowPunct/>
        <w:autoSpaceDE/>
        <w:autoSpaceDN/>
        <w:bidi w:val="0"/>
        <w:snapToGrid/>
        <w:spacing w:line="560" w:lineRule="exact"/>
        <w:ind w:firstLine="880" w:firstLineChars="20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20</w:t>
      </w:r>
      <w:r>
        <w:rPr>
          <w:rFonts w:hint="default" w:ascii="Times New Roman" w:hAnsi="Times New Roman" w:eastAsia="方正小标宋简体" w:cs="Times New Roman"/>
          <w:sz w:val="44"/>
          <w:szCs w:val="44"/>
          <w:lang w:val="en-US" w:eastAsia="zh-CN"/>
        </w:rPr>
        <w:t>22</w:t>
      </w:r>
      <w:r>
        <w:rPr>
          <w:rFonts w:hint="default" w:ascii="Times New Roman" w:hAnsi="Times New Roman" w:eastAsia="方正小标宋简体" w:cs="Times New Roman"/>
          <w:sz w:val="44"/>
          <w:szCs w:val="44"/>
        </w:rPr>
        <w:t>年度部门整体支出绩效评价报告</w:t>
      </w:r>
    </w:p>
    <w:p>
      <w:pPr>
        <w:pageBreakBefore w:val="0"/>
        <w:kinsoku/>
        <w:wordWrap/>
        <w:overflowPunct/>
        <w:topLinePunct/>
        <w:autoSpaceDE/>
        <w:autoSpaceDN/>
        <w:bidi w:val="0"/>
        <w:snapToGrid/>
        <w:spacing w:line="560" w:lineRule="exact"/>
        <w:ind w:firstLine="800" w:firstLineChars="250"/>
        <w:rPr>
          <w:rFonts w:hint="default" w:ascii="Times New Roman" w:hAnsi="Times New Roman" w:eastAsia="黑体" w:cs="Times New Roman"/>
          <w:sz w:val="32"/>
          <w:szCs w:val="32"/>
        </w:rPr>
      </w:pPr>
    </w:p>
    <w:p>
      <w:pPr>
        <w:pageBreakBefore w:val="0"/>
        <w:kinsoku/>
        <w:wordWrap/>
        <w:overflowPunct/>
        <w:topLinePunct/>
        <w:autoSpaceDE/>
        <w:autoSpaceDN/>
        <w:bidi w:val="0"/>
        <w:snapToGrid/>
        <w:spacing w:line="560" w:lineRule="exact"/>
        <w:ind w:firstLine="800" w:firstLineChars="25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一、部门概况</w:t>
      </w:r>
    </w:p>
    <w:p>
      <w:pPr>
        <w:pageBreakBefore w:val="0"/>
        <w:kinsoku/>
        <w:wordWrap/>
        <w:overflowPunct/>
        <w:autoSpaceDE/>
        <w:autoSpaceDN/>
        <w:bidi w:val="0"/>
        <w:snapToGrid/>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（一）部门机构设置、编制</w:t>
      </w:r>
    </w:p>
    <w:p>
      <w:pPr>
        <w:pageBreakBefore w:val="0"/>
        <w:kinsoku/>
        <w:wordWrap/>
        <w:overflowPunct/>
        <w:autoSpaceDE/>
        <w:autoSpaceDN/>
        <w:bidi w:val="0"/>
        <w:snapToGrid/>
        <w:spacing w:line="560" w:lineRule="exact"/>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盘龙区机关事务管理服务中心为区政府</w:t>
      </w:r>
      <w:r>
        <w:rPr>
          <w:rFonts w:hint="eastAsia" w:ascii="Times New Roman" w:hAnsi="Times New Roman" w:eastAsia="仿宋_GB2312" w:cs="Times New Roman"/>
          <w:sz w:val="32"/>
          <w:szCs w:val="32"/>
          <w:lang w:eastAsia="zh-CN"/>
        </w:rPr>
        <w:t>办下属</w:t>
      </w:r>
      <w:r>
        <w:rPr>
          <w:rFonts w:hint="default" w:ascii="Times New Roman" w:hAnsi="Times New Roman" w:eastAsia="仿宋_GB2312" w:cs="Times New Roman"/>
          <w:sz w:val="32"/>
          <w:szCs w:val="32"/>
        </w:rPr>
        <w:t>事业单位，内设机构有：办公室、保卫科、房产基建科、综合科、政府采购</w:t>
      </w:r>
      <w:r>
        <w:rPr>
          <w:rFonts w:hint="default" w:ascii="Times New Roman" w:hAnsi="Times New Roman" w:eastAsia="仿宋_GB2312" w:cs="Times New Roman"/>
          <w:sz w:val="32"/>
          <w:szCs w:val="32"/>
          <w:lang w:eastAsia="zh-CN"/>
        </w:rPr>
        <w:t>办公室</w:t>
      </w:r>
      <w:r>
        <w:rPr>
          <w:rFonts w:hint="default" w:ascii="Times New Roman" w:hAnsi="Times New Roman" w:eastAsia="仿宋_GB2312" w:cs="Times New Roman"/>
          <w:sz w:val="32"/>
          <w:szCs w:val="32"/>
        </w:rPr>
        <w:t>、公共机构节能</w:t>
      </w:r>
      <w:r>
        <w:rPr>
          <w:rFonts w:hint="default" w:ascii="Times New Roman" w:hAnsi="Times New Roman" w:eastAsia="仿宋_GB2312" w:cs="Times New Roman"/>
          <w:sz w:val="32"/>
          <w:szCs w:val="32"/>
          <w:lang w:eastAsia="zh-CN"/>
        </w:rPr>
        <w:t>办公室</w:t>
      </w:r>
      <w:r>
        <w:rPr>
          <w:rFonts w:hint="default" w:ascii="Times New Roman" w:hAnsi="Times New Roman" w:eastAsia="仿宋_GB2312" w:cs="Times New Roman"/>
          <w:sz w:val="32"/>
          <w:szCs w:val="32"/>
        </w:rPr>
        <w:t>、公务用车管理</w:t>
      </w:r>
      <w:r>
        <w:rPr>
          <w:rFonts w:hint="default" w:ascii="Times New Roman" w:hAnsi="Times New Roman" w:eastAsia="仿宋_GB2312" w:cs="Times New Roman"/>
          <w:sz w:val="32"/>
          <w:szCs w:val="32"/>
          <w:lang w:eastAsia="zh-CN"/>
        </w:rPr>
        <w:t>办公室</w:t>
      </w:r>
      <w:r>
        <w:rPr>
          <w:rFonts w:hint="default" w:ascii="Times New Roman" w:hAnsi="Times New Roman" w:eastAsia="仿宋_GB2312" w:cs="Times New Roman"/>
          <w:sz w:val="32"/>
          <w:szCs w:val="32"/>
        </w:rPr>
        <w:t>。</w:t>
      </w:r>
    </w:p>
    <w:p>
      <w:pPr>
        <w:pageBreakBefore w:val="0"/>
        <w:kinsoku/>
        <w:wordWrap/>
        <w:overflow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在职人员编制24人，其中：行政编制0人，事业编制24人。在职实有</w:t>
      </w:r>
      <w:r>
        <w:rPr>
          <w:rFonts w:hint="default" w:ascii="Times New Roman" w:hAnsi="Times New Roman" w:eastAsia="仿宋_GB2312" w:cs="Times New Roman"/>
          <w:sz w:val="32"/>
          <w:szCs w:val="32"/>
          <w:lang w:val="en-US" w:eastAsia="zh-CN"/>
        </w:rPr>
        <w:t>18</w:t>
      </w:r>
      <w:r>
        <w:rPr>
          <w:rFonts w:hint="default" w:ascii="Times New Roman" w:hAnsi="Times New Roman" w:eastAsia="仿宋_GB2312" w:cs="Times New Roman"/>
          <w:sz w:val="32"/>
          <w:szCs w:val="32"/>
        </w:rPr>
        <w:t>人，其中： 财政全</w:t>
      </w:r>
      <w:r>
        <w:rPr>
          <w:rFonts w:hint="eastAsia" w:ascii="Times New Roman" w:hAnsi="Times New Roman" w:eastAsia="仿宋_GB2312" w:cs="Times New Roman"/>
          <w:sz w:val="32"/>
          <w:szCs w:val="32"/>
          <w:lang w:eastAsia="zh-CN"/>
        </w:rPr>
        <w:t>额</w:t>
      </w:r>
      <w:r>
        <w:rPr>
          <w:rFonts w:hint="default" w:ascii="Times New Roman" w:hAnsi="Times New Roman" w:eastAsia="仿宋_GB2312" w:cs="Times New Roman"/>
          <w:sz w:val="32"/>
          <w:szCs w:val="32"/>
        </w:rPr>
        <w:t>供养</w:t>
      </w:r>
      <w:r>
        <w:rPr>
          <w:rFonts w:hint="default" w:ascii="Times New Roman" w:hAnsi="Times New Roman" w:eastAsia="仿宋_GB2312" w:cs="Times New Roman"/>
          <w:sz w:val="32"/>
          <w:szCs w:val="32"/>
          <w:lang w:val="en-US" w:eastAsia="zh-CN"/>
        </w:rPr>
        <w:t>18</w:t>
      </w:r>
      <w:r>
        <w:rPr>
          <w:rFonts w:hint="default" w:ascii="Times New Roman" w:hAnsi="Times New Roman" w:eastAsia="仿宋_GB2312" w:cs="Times New Roman"/>
          <w:sz w:val="32"/>
          <w:szCs w:val="32"/>
        </w:rPr>
        <w:t>人。</w:t>
      </w:r>
    </w:p>
    <w:p>
      <w:pPr>
        <w:pageBreakBefore w:val="0"/>
        <w:kinsoku/>
        <w:wordWrap/>
        <w:overflowPunct/>
        <w:autoSpaceDE/>
        <w:autoSpaceDN/>
        <w:bidi w:val="0"/>
        <w:snapToGrid/>
        <w:spacing w:line="560" w:lineRule="exact"/>
        <w:ind w:firstLine="640" w:firstLineChars="200"/>
        <w:rPr>
          <w:rFonts w:hint="default" w:ascii="Times New Roman" w:hAnsi="Times New Roman" w:eastAsia="楷体" w:cs="Times New Roman"/>
          <w:sz w:val="32"/>
          <w:szCs w:val="32"/>
        </w:rPr>
      </w:pPr>
      <w:r>
        <w:rPr>
          <w:rFonts w:hint="default" w:ascii="Times New Roman" w:hAnsi="Times New Roman" w:eastAsia="仿宋_GB2312" w:cs="Times New Roman"/>
          <w:sz w:val="32"/>
          <w:szCs w:val="32"/>
        </w:rPr>
        <w:t>离退休人员</w:t>
      </w:r>
      <w:r>
        <w:rPr>
          <w:rFonts w:hint="default"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人，其中： 离休0人，退休</w:t>
      </w:r>
      <w:r>
        <w:rPr>
          <w:rFonts w:hint="default"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人。</w:t>
      </w:r>
    </w:p>
    <w:p>
      <w:pPr>
        <w:pageBreakBefore w:val="0"/>
        <w:kinsoku/>
        <w:wordWrap/>
        <w:overflowPunct/>
        <w:topLinePunct/>
        <w:autoSpaceDE/>
        <w:autoSpaceDN/>
        <w:bidi w:val="0"/>
        <w:snapToGrid/>
        <w:spacing w:line="560" w:lineRule="exact"/>
        <w:ind w:firstLine="800" w:firstLineChars="25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（二）部门职能</w:t>
      </w:r>
    </w:p>
    <w:p>
      <w:pPr>
        <w:pageBreakBefore w:val="0"/>
        <w:kinsoku/>
        <w:wordWrap/>
        <w:overflowPunct/>
        <w:topLinePunct/>
        <w:autoSpaceDE/>
        <w:autoSpaceDN/>
        <w:bidi w:val="0"/>
        <w:snapToGrid/>
        <w:spacing w:line="560" w:lineRule="exact"/>
        <w:ind w:firstLine="800" w:firstLineChars="25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盘龙区机关事务管理服务中心是区政府办下属的财政全额拨款事业单位。工作职责主要是根据党和国家的有关方针政策，结合区机关的具体情况，研究制定机关事务工作的具体办法和规章制度并组织实施；对区机关后勤管理工作进行业务指导；对</w:t>
      </w:r>
      <w:r>
        <w:rPr>
          <w:rFonts w:hint="default" w:ascii="Times New Roman" w:hAnsi="Times New Roman" w:eastAsia="仿宋_GB2312" w:cs="Times New Roman"/>
          <w:sz w:val="32"/>
          <w:szCs w:val="32"/>
          <w:lang w:eastAsia="zh-CN"/>
        </w:rPr>
        <w:t>区级</w:t>
      </w:r>
      <w:r>
        <w:rPr>
          <w:rFonts w:hint="default" w:ascii="Times New Roman" w:hAnsi="Times New Roman" w:eastAsia="仿宋_GB2312" w:cs="Times New Roman"/>
          <w:sz w:val="32"/>
          <w:szCs w:val="32"/>
        </w:rPr>
        <w:t>机关办公用房和各住宅区的公共设施进行维修；以及承办区</w:t>
      </w:r>
      <w:r>
        <w:rPr>
          <w:rFonts w:hint="eastAsia" w:ascii="Times New Roman" w:hAnsi="Times New Roman" w:eastAsia="仿宋_GB2312" w:cs="Times New Roman"/>
          <w:sz w:val="32"/>
          <w:szCs w:val="32"/>
          <w:lang w:eastAsia="zh-CN"/>
        </w:rPr>
        <w:t>级</w:t>
      </w:r>
      <w:r>
        <w:rPr>
          <w:rFonts w:hint="default" w:ascii="Times New Roman" w:hAnsi="Times New Roman" w:eastAsia="仿宋_GB2312" w:cs="Times New Roman"/>
          <w:sz w:val="32"/>
          <w:szCs w:val="32"/>
        </w:rPr>
        <w:t>机关的文件交换和报刊征订、收发等区政府交办的其他工作。对区</w:t>
      </w:r>
      <w:r>
        <w:rPr>
          <w:rFonts w:hint="default" w:ascii="Times New Roman" w:hAnsi="Times New Roman" w:eastAsia="仿宋_GB2312" w:cs="Times New Roman"/>
          <w:sz w:val="32"/>
          <w:szCs w:val="32"/>
          <w:lang w:eastAsia="zh-CN"/>
        </w:rPr>
        <w:t>级</w:t>
      </w:r>
      <w:r>
        <w:rPr>
          <w:rFonts w:hint="default" w:ascii="Times New Roman" w:hAnsi="Times New Roman" w:eastAsia="仿宋_GB2312" w:cs="Times New Roman"/>
          <w:sz w:val="32"/>
          <w:szCs w:val="32"/>
        </w:rPr>
        <w:t>机关组织实施基本建设项目，区</w:t>
      </w:r>
      <w:r>
        <w:rPr>
          <w:rFonts w:hint="default" w:ascii="Times New Roman" w:hAnsi="Times New Roman" w:eastAsia="仿宋_GB2312" w:cs="Times New Roman"/>
          <w:sz w:val="32"/>
          <w:szCs w:val="32"/>
          <w:lang w:eastAsia="zh-CN"/>
        </w:rPr>
        <w:t>级</w:t>
      </w:r>
      <w:r>
        <w:rPr>
          <w:rFonts w:hint="default" w:ascii="Times New Roman" w:hAnsi="Times New Roman" w:eastAsia="仿宋_GB2312" w:cs="Times New Roman"/>
          <w:sz w:val="32"/>
          <w:szCs w:val="32"/>
        </w:rPr>
        <w:t>机关房屋维修管理，区级机关安全保卫、消防、绿化、卫生管理、创卫工作、机关文件交换、公共机节能减排、公务用车管理、会议服务、机关食堂等后勤工作。为区</w:t>
      </w:r>
      <w:r>
        <w:rPr>
          <w:rFonts w:hint="default" w:ascii="Times New Roman" w:hAnsi="Times New Roman" w:eastAsia="仿宋_GB2312" w:cs="Times New Roman"/>
          <w:sz w:val="32"/>
          <w:szCs w:val="32"/>
          <w:lang w:eastAsia="zh-CN"/>
        </w:rPr>
        <w:t>级</w:t>
      </w:r>
      <w:r>
        <w:rPr>
          <w:rFonts w:hint="default" w:ascii="Times New Roman" w:hAnsi="Times New Roman" w:eastAsia="仿宋_GB2312" w:cs="Times New Roman"/>
          <w:sz w:val="32"/>
          <w:szCs w:val="32"/>
        </w:rPr>
        <w:t>机关干部职工的工作、生活提供优良的服务</w:t>
      </w:r>
      <w:r>
        <w:rPr>
          <w:rFonts w:hint="default" w:ascii="Times New Roman" w:hAnsi="Times New Roman" w:eastAsia="仿宋_GB2312" w:cs="Times New Roman"/>
          <w:sz w:val="32"/>
          <w:szCs w:val="32"/>
          <w:lang w:eastAsia="zh-CN"/>
        </w:rPr>
        <w:t>。</w:t>
      </w:r>
    </w:p>
    <w:p>
      <w:pPr>
        <w:pageBreakBefore w:val="0"/>
        <w:kinsoku/>
        <w:wordWrap/>
        <w:overflowPunct/>
        <w:topLinePunct/>
        <w:autoSpaceDE/>
        <w:autoSpaceDN/>
        <w:bidi w:val="0"/>
        <w:snapToGrid/>
        <w:spacing w:line="560" w:lineRule="exact"/>
        <w:ind w:firstLine="800" w:firstLineChars="25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（三）部门工作完成情况</w:t>
      </w:r>
    </w:p>
    <w:p>
      <w:pPr>
        <w:pageBreakBefore w:val="0"/>
        <w:kinsoku/>
        <w:wordWrap/>
        <w:overflowPunct/>
        <w:topLinePunct/>
        <w:autoSpaceDE/>
        <w:autoSpaceDN/>
        <w:bidi w:val="0"/>
        <w:snapToGrid/>
        <w:spacing w:line="560" w:lineRule="exa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完成安保服务工作、房屋管理工作、政府采购工作、公共机构节能工作、公务用车管理工作、机关食堂工作、机关爱卫工作等工作。</w:t>
      </w:r>
    </w:p>
    <w:p>
      <w:pPr>
        <w:pageBreakBefore w:val="0"/>
        <w:kinsoku/>
        <w:wordWrap/>
        <w:overflowPunct/>
        <w:topLinePunct/>
        <w:autoSpaceDE/>
        <w:autoSpaceDN/>
        <w:bidi w:val="0"/>
        <w:snapToGrid/>
        <w:spacing w:line="560" w:lineRule="exact"/>
        <w:ind w:firstLine="800" w:firstLineChars="250"/>
        <w:rPr>
          <w:rFonts w:hint="default" w:ascii="Times New Roman" w:hAnsi="Times New Roman" w:eastAsia="楷体" w:cs="Times New Roman"/>
          <w:sz w:val="32"/>
          <w:szCs w:val="32"/>
        </w:rPr>
      </w:pPr>
      <w:r>
        <w:rPr>
          <w:rFonts w:hint="default" w:ascii="Times New Roman" w:hAnsi="Times New Roman" w:eastAsia="楷体_GB2312" w:cs="Times New Roman"/>
          <w:sz w:val="32"/>
          <w:szCs w:val="32"/>
        </w:rPr>
        <w:t>（四）部门管理制度</w:t>
      </w:r>
    </w:p>
    <w:p>
      <w:pPr>
        <w:pageBreakBefore w:val="0"/>
        <w:kinsoku/>
        <w:wordWrap/>
        <w:overflowPunct/>
        <w:topLinePunct/>
        <w:autoSpaceDE/>
        <w:autoSpaceDN/>
        <w:bidi w:val="0"/>
        <w:snapToGrid/>
        <w:spacing w:line="560" w:lineRule="exact"/>
        <w:ind w:firstLine="800" w:firstLineChars="25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区机关事务管理服务中心组织领导机构健全、责任明确，有效地推行绩效管理工作。一是成立了由办公室、房管科、</w:t>
      </w:r>
      <w:r>
        <w:rPr>
          <w:rFonts w:hint="eastAsia" w:ascii="Times New Roman" w:hAnsi="Times New Roman" w:eastAsia="仿宋_GB2312" w:cs="Times New Roman"/>
          <w:sz w:val="32"/>
          <w:szCs w:val="32"/>
          <w:lang w:eastAsia="zh-CN"/>
        </w:rPr>
        <w:t>保卫科</w:t>
      </w:r>
      <w:r>
        <w:rPr>
          <w:rFonts w:hint="default" w:ascii="Times New Roman" w:hAnsi="Times New Roman" w:eastAsia="仿宋_GB2312" w:cs="Times New Roman"/>
          <w:sz w:val="32"/>
          <w:szCs w:val="32"/>
        </w:rPr>
        <w:t>等部门参与的绩效评价工作组，协调分管的职能部门配合做好预算绩效管理工作；各科室主要负责同志担任成员，负责项目的实施工作；领导小组下设办公室，负责项目经费支出的管理工作。二是制定了</w:t>
      </w:r>
      <w:r>
        <w:rPr>
          <w:rFonts w:hint="eastAsia" w:ascii="Times New Roman" w:hAnsi="Times New Roman" w:eastAsia="仿宋_GB2312" w:cs="Times New Roman"/>
          <w:sz w:val="32"/>
          <w:szCs w:val="32"/>
          <w:lang w:eastAsia="zh-CN"/>
        </w:rPr>
        <w:t>相关</w:t>
      </w:r>
      <w:r>
        <w:rPr>
          <w:rFonts w:hint="default" w:ascii="Times New Roman" w:hAnsi="Times New Roman" w:eastAsia="仿宋_GB2312" w:cs="Times New Roman"/>
          <w:sz w:val="32"/>
          <w:szCs w:val="32"/>
        </w:rPr>
        <w:t>规章制度，明确规范了工作职能职责</w:t>
      </w:r>
      <w:r>
        <w:rPr>
          <w:rFonts w:hint="default" w:ascii="Times New Roman" w:hAnsi="Times New Roman" w:eastAsia="仿宋_GB2312" w:cs="Times New Roman"/>
          <w:sz w:val="32"/>
          <w:szCs w:val="32"/>
          <w:lang w:eastAsia="zh-CN"/>
        </w:rPr>
        <w:t>。</w:t>
      </w:r>
    </w:p>
    <w:p>
      <w:pPr>
        <w:pageBreakBefore w:val="0"/>
        <w:widowControl/>
        <w:shd w:val="clear" w:color="auto" w:fill="FFFFFF"/>
        <w:kinsoku/>
        <w:wordWrap/>
        <w:overflowPunct/>
        <w:autoSpaceDE/>
        <w:autoSpaceDN/>
        <w:bidi w:val="0"/>
        <w:snapToGrid/>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（五）部门资金来源及使用情况</w:t>
      </w:r>
    </w:p>
    <w:p>
      <w:pPr>
        <w:pageBreakBefore w:val="0"/>
        <w:widowControl/>
        <w:shd w:val="clear" w:color="auto" w:fill="FFFFFF"/>
        <w:kinsoku/>
        <w:wordWrap/>
        <w:overflowPunct/>
        <w:autoSpaceDE/>
        <w:autoSpaceDN/>
        <w:bidi w:val="0"/>
        <w:snapToGrid/>
        <w:spacing w:line="560" w:lineRule="exact"/>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color w:val="000000"/>
          <w:kern w:val="0"/>
          <w:sz w:val="32"/>
          <w:szCs w:val="32"/>
        </w:rPr>
        <w:t>部门资金来源。202</w:t>
      </w:r>
      <w:r>
        <w:rPr>
          <w:rFonts w:hint="default" w:ascii="Times New Roman" w:hAnsi="Times New Roman" w:eastAsia="仿宋_GB2312" w:cs="Times New Roman"/>
          <w:color w:val="000000"/>
          <w:kern w:val="0"/>
          <w:sz w:val="32"/>
          <w:szCs w:val="32"/>
          <w:lang w:val="en-US" w:eastAsia="zh-CN"/>
        </w:rPr>
        <w:t>2</w:t>
      </w:r>
      <w:r>
        <w:rPr>
          <w:rFonts w:hint="default" w:ascii="Times New Roman" w:hAnsi="Times New Roman" w:eastAsia="仿宋_GB2312" w:cs="Times New Roman"/>
          <w:color w:val="000000"/>
          <w:kern w:val="0"/>
          <w:sz w:val="32"/>
          <w:szCs w:val="32"/>
        </w:rPr>
        <w:t>年</w:t>
      </w:r>
      <w:r>
        <w:rPr>
          <w:rFonts w:hint="default" w:ascii="Times New Roman" w:hAnsi="Times New Roman" w:eastAsia="仿宋_GB2312" w:cs="Times New Roman"/>
          <w:kern w:val="0"/>
          <w:sz w:val="32"/>
          <w:szCs w:val="32"/>
        </w:rPr>
        <w:t>部门财政拨款收入</w:t>
      </w:r>
      <w:r>
        <w:rPr>
          <w:rFonts w:hint="default" w:ascii="Times New Roman" w:hAnsi="Times New Roman" w:eastAsia="仿宋_GB2312" w:cs="Times New Roman"/>
          <w:kern w:val="0"/>
          <w:sz w:val="32"/>
          <w:szCs w:val="32"/>
          <w:lang w:val="en-US" w:eastAsia="zh-CN"/>
        </w:rPr>
        <w:t>2386.53</w:t>
      </w:r>
      <w:r>
        <w:rPr>
          <w:rFonts w:hint="default" w:ascii="Times New Roman" w:hAnsi="Times New Roman" w:eastAsia="仿宋_GB2312" w:cs="Times New Roman"/>
          <w:kern w:val="0"/>
          <w:sz w:val="32"/>
          <w:szCs w:val="32"/>
        </w:rPr>
        <w:t>万元，其中:本年收入</w:t>
      </w:r>
      <w:r>
        <w:rPr>
          <w:rFonts w:hint="default" w:ascii="Times New Roman" w:hAnsi="Times New Roman" w:eastAsia="仿宋_GB2312" w:cs="Times New Roman"/>
          <w:kern w:val="0"/>
          <w:sz w:val="32"/>
          <w:szCs w:val="32"/>
          <w:lang w:val="en-US" w:eastAsia="zh-CN"/>
        </w:rPr>
        <w:t>2386.53</w:t>
      </w:r>
      <w:r>
        <w:rPr>
          <w:rFonts w:hint="default" w:ascii="Times New Roman" w:hAnsi="Times New Roman" w:eastAsia="仿宋_GB2312" w:cs="Times New Roman"/>
          <w:kern w:val="0"/>
          <w:sz w:val="32"/>
          <w:szCs w:val="32"/>
        </w:rPr>
        <w:t>万元。本年收入中，一般公共预算财政拨款</w:t>
      </w:r>
      <w:r>
        <w:rPr>
          <w:rFonts w:hint="default" w:ascii="Times New Roman" w:hAnsi="Times New Roman" w:eastAsia="仿宋_GB2312" w:cs="Times New Roman"/>
          <w:kern w:val="0"/>
          <w:sz w:val="32"/>
          <w:szCs w:val="32"/>
          <w:lang w:val="en-US" w:eastAsia="zh-CN"/>
        </w:rPr>
        <w:t>2386.53</w:t>
      </w:r>
      <w:r>
        <w:rPr>
          <w:rFonts w:hint="default" w:ascii="Times New Roman" w:hAnsi="Times New Roman" w:eastAsia="仿宋_GB2312" w:cs="Times New Roman"/>
          <w:kern w:val="0"/>
          <w:sz w:val="32"/>
          <w:szCs w:val="32"/>
        </w:rPr>
        <w:t>万元（本级财力</w:t>
      </w:r>
      <w:r>
        <w:rPr>
          <w:rFonts w:hint="default" w:ascii="Times New Roman" w:hAnsi="Times New Roman" w:eastAsia="仿宋_GB2312" w:cs="Times New Roman"/>
          <w:kern w:val="0"/>
          <w:sz w:val="32"/>
          <w:szCs w:val="32"/>
          <w:lang w:val="en-US" w:eastAsia="zh-CN"/>
        </w:rPr>
        <w:t>2386.53</w:t>
      </w:r>
      <w:r>
        <w:rPr>
          <w:rFonts w:hint="default" w:ascii="Times New Roman" w:hAnsi="Times New Roman" w:eastAsia="仿宋_GB2312" w:cs="Times New Roman"/>
          <w:kern w:val="0"/>
          <w:sz w:val="32"/>
          <w:szCs w:val="32"/>
        </w:rPr>
        <w:t>万元）。</w:t>
      </w:r>
    </w:p>
    <w:p>
      <w:pPr>
        <w:pageBreakBefore w:val="0"/>
        <w:widowControl/>
        <w:shd w:val="clear" w:color="auto" w:fill="FFFFFF"/>
        <w:kinsoku/>
        <w:wordWrap/>
        <w:overflow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lang w:val="en-US" w:eastAsia="zh-CN"/>
        </w:rPr>
        <w:t>2.</w:t>
      </w:r>
      <w:r>
        <w:rPr>
          <w:rFonts w:hint="default" w:ascii="Times New Roman" w:hAnsi="Times New Roman" w:eastAsia="仿宋_GB2312" w:cs="Times New Roman"/>
          <w:color w:val="000000"/>
          <w:kern w:val="0"/>
          <w:sz w:val="32"/>
          <w:szCs w:val="32"/>
        </w:rPr>
        <w:t>资金使用情况。区机关事务管理服务中心资金拨付，做到手续完备，并按照《盘龙区机关事务管理局会议制度》（盘机字</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000000"/>
          <w:kern w:val="0"/>
          <w:sz w:val="32"/>
          <w:szCs w:val="32"/>
        </w:rPr>
        <w:t>2017</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000000"/>
          <w:kern w:val="0"/>
          <w:sz w:val="32"/>
          <w:szCs w:val="32"/>
        </w:rPr>
        <w:t>2号）对重大项目安排、大额资金使用等事项集体研究同意后方可支付，资金按照预算批复科目使用，无截留、挤占、挪用资金和虚列支出等情况。202</w:t>
      </w:r>
      <w:r>
        <w:rPr>
          <w:rFonts w:hint="default" w:ascii="Times New Roman" w:hAnsi="Times New Roman" w:eastAsia="仿宋_GB2312" w:cs="Times New Roman"/>
          <w:color w:val="000000"/>
          <w:kern w:val="0"/>
          <w:sz w:val="32"/>
          <w:szCs w:val="32"/>
          <w:lang w:val="en-US" w:eastAsia="zh-CN"/>
        </w:rPr>
        <w:t>2</w:t>
      </w:r>
      <w:r>
        <w:rPr>
          <w:rFonts w:hint="default" w:ascii="Times New Roman" w:hAnsi="Times New Roman" w:eastAsia="仿宋_GB2312" w:cs="Times New Roman"/>
          <w:color w:val="000000"/>
          <w:kern w:val="0"/>
          <w:sz w:val="32"/>
          <w:szCs w:val="32"/>
        </w:rPr>
        <w:t>年部门总支出</w:t>
      </w:r>
      <w:r>
        <w:rPr>
          <w:rFonts w:hint="default" w:ascii="Times New Roman" w:hAnsi="Times New Roman" w:eastAsia="仿宋_GB2312" w:cs="Times New Roman"/>
          <w:color w:val="000000"/>
          <w:kern w:val="0"/>
          <w:sz w:val="32"/>
          <w:szCs w:val="32"/>
          <w:lang w:val="en-US" w:eastAsia="zh-CN"/>
        </w:rPr>
        <w:t>2386.53</w:t>
      </w:r>
      <w:r>
        <w:rPr>
          <w:rFonts w:hint="default" w:ascii="Times New Roman" w:hAnsi="Times New Roman" w:eastAsia="仿宋_GB2312" w:cs="Times New Roman"/>
          <w:color w:val="000000"/>
          <w:kern w:val="0"/>
          <w:sz w:val="32"/>
          <w:szCs w:val="32"/>
        </w:rPr>
        <w:t>万元，其中：</w:t>
      </w:r>
      <w:r>
        <w:rPr>
          <w:rFonts w:hint="default" w:ascii="Times New Roman" w:hAnsi="Times New Roman" w:eastAsia="仿宋_GB2312" w:cs="Times New Roman"/>
          <w:sz w:val="32"/>
          <w:szCs w:val="32"/>
        </w:rPr>
        <w:t>基本支出</w:t>
      </w:r>
      <w:r>
        <w:rPr>
          <w:rFonts w:hint="default" w:ascii="Times New Roman" w:hAnsi="Times New Roman" w:eastAsia="仿宋_GB2312" w:cs="Times New Roman"/>
          <w:sz w:val="32"/>
          <w:szCs w:val="32"/>
          <w:lang w:val="en-US" w:eastAsia="zh-CN"/>
        </w:rPr>
        <w:t>455.36</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color w:val="000000"/>
          <w:kern w:val="0"/>
          <w:sz w:val="32"/>
          <w:szCs w:val="32"/>
        </w:rPr>
        <w:t>项目支出</w:t>
      </w:r>
      <w:r>
        <w:rPr>
          <w:rFonts w:hint="default" w:ascii="Times New Roman" w:hAnsi="Times New Roman" w:eastAsia="仿宋_GB2312" w:cs="Times New Roman"/>
          <w:sz w:val="32"/>
          <w:szCs w:val="32"/>
          <w:lang w:val="en-US" w:eastAsia="zh-CN"/>
        </w:rPr>
        <w:t>1931.17</w:t>
      </w:r>
      <w:r>
        <w:rPr>
          <w:rFonts w:hint="default" w:ascii="Times New Roman" w:hAnsi="Times New Roman" w:eastAsia="仿宋_GB2312" w:cs="Times New Roman"/>
          <w:sz w:val="32"/>
          <w:szCs w:val="32"/>
        </w:rPr>
        <w:t>万元。项目支出具体情况如下：</w:t>
      </w:r>
    </w:p>
    <w:p>
      <w:pPr>
        <w:pageBreakBefore w:val="0"/>
        <w:kinsoku/>
        <w:wordWrap/>
        <w:overflow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1.机关后勤服务综合管理费</w:t>
      </w:r>
      <w:r>
        <w:rPr>
          <w:rFonts w:hint="default" w:ascii="Times New Roman" w:hAnsi="Times New Roman" w:eastAsia="仿宋_GB2312" w:cs="Times New Roman"/>
          <w:sz w:val="32"/>
          <w:szCs w:val="32"/>
          <w:lang w:val="en-US" w:eastAsia="zh-CN"/>
        </w:rPr>
        <w:t>1077.9</w:t>
      </w:r>
      <w:r>
        <w:rPr>
          <w:rFonts w:hint="default" w:ascii="Times New Roman" w:hAnsi="Times New Roman" w:eastAsia="仿宋_GB2312" w:cs="Times New Roman"/>
          <w:sz w:val="32"/>
          <w:szCs w:val="32"/>
        </w:rPr>
        <w:t>万元。我单位管理的办公区、住宅区点多面广,目前共有8个办公区，7个住宅区，</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个食堂。为确保做好管理区域内的后勤服务工作，需要编外临时</w:t>
      </w:r>
      <w:r>
        <w:rPr>
          <w:rFonts w:hint="default" w:ascii="Times New Roman" w:hAnsi="Times New Roman" w:eastAsia="仿宋_GB2312" w:cs="Times New Roman"/>
          <w:sz w:val="32"/>
          <w:szCs w:val="32"/>
          <w:lang w:eastAsia="zh-CN"/>
        </w:rPr>
        <w:t>用</w:t>
      </w:r>
      <w:r>
        <w:rPr>
          <w:rFonts w:hint="default" w:ascii="Times New Roman" w:hAnsi="Times New Roman" w:eastAsia="仿宋_GB2312" w:cs="Times New Roman"/>
          <w:sz w:val="32"/>
          <w:szCs w:val="32"/>
        </w:rPr>
        <w:t>工，保安，物业保洁服务及其它综合服务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 xml:space="preserve">                         </w:t>
      </w:r>
    </w:p>
    <w:p>
      <w:pPr>
        <w:pageBreakBefore w:val="0"/>
        <w:kinsoku/>
        <w:wordWrap/>
        <w:overflow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2.业务补助经费</w:t>
      </w:r>
      <w:r>
        <w:rPr>
          <w:rFonts w:hint="default" w:ascii="Times New Roman" w:hAnsi="Times New Roman" w:eastAsia="仿宋_GB2312" w:cs="Times New Roman"/>
          <w:sz w:val="32"/>
          <w:szCs w:val="32"/>
          <w:lang w:val="en-US" w:eastAsia="zh-CN"/>
        </w:rPr>
        <w:t>482.01</w:t>
      </w:r>
      <w:r>
        <w:rPr>
          <w:rFonts w:hint="default" w:ascii="Times New Roman" w:hAnsi="Times New Roman" w:eastAsia="仿宋_GB2312" w:cs="Times New Roman"/>
          <w:sz w:val="32"/>
          <w:szCs w:val="32"/>
        </w:rPr>
        <w:t>万元。我单位目前有</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个食堂（行政中心、</w:t>
      </w:r>
      <w:r>
        <w:rPr>
          <w:rFonts w:hint="default" w:ascii="Times New Roman" w:hAnsi="Times New Roman" w:eastAsia="仿宋_GB2312" w:cs="Times New Roman"/>
          <w:sz w:val="32"/>
          <w:szCs w:val="32"/>
          <w:lang w:eastAsia="zh-CN"/>
        </w:rPr>
        <w:t>行政中心第二食堂、</w:t>
      </w:r>
      <w:r>
        <w:rPr>
          <w:rFonts w:hint="default" w:ascii="Times New Roman" w:hAnsi="Times New Roman" w:eastAsia="仿宋_GB2312" w:cs="Times New Roman"/>
          <w:sz w:val="32"/>
          <w:szCs w:val="32"/>
        </w:rPr>
        <w:t>交三桥一办、王旗营二办、政务服务中心、</w:t>
      </w:r>
      <w:r>
        <w:rPr>
          <w:rFonts w:hint="default" w:ascii="Times New Roman" w:hAnsi="Times New Roman" w:eastAsia="仿宋_GB2312" w:cs="Times New Roman"/>
          <w:sz w:val="32"/>
          <w:szCs w:val="32"/>
          <w:lang w:eastAsia="zh-CN"/>
        </w:rPr>
        <w:t>纪委</w:t>
      </w:r>
      <w:r>
        <w:rPr>
          <w:rFonts w:hint="default" w:ascii="Times New Roman" w:hAnsi="Times New Roman" w:eastAsia="仿宋_GB2312" w:cs="Times New Roman"/>
          <w:sz w:val="32"/>
          <w:szCs w:val="32"/>
        </w:rPr>
        <w:t>、财政局）。经费主要用于食堂日常食品菜品采购，煤气费、厨具等设备维修维护费、餐具易耗品的增补。</w:t>
      </w:r>
    </w:p>
    <w:p>
      <w:pPr>
        <w:pageBreakBefore w:val="0"/>
        <w:kinsoku/>
        <w:wordWrap/>
        <w:overflow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3.水电费</w:t>
      </w:r>
      <w:r>
        <w:rPr>
          <w:rFonts w:hint="default" w:ascii="Times New Roman" w:hAnsi="Times New Roman" w:eastAsia="仿宋_GB2312" w:cs="Times New Roman"/>
          <w:sz w:val="32"/>
          <w:szCs w:val="32"/>
          <w:lang w:val="en-US" w:eastAsia="zh-CN"/>
        </w:rPr>
        <w:t>157.51</w:t>
      </w:r>
      <w:r>
        <w:rPr>
          <w:rFonts w:hint="default" w:ascii="Times New Roman" w:hAnsi="Times New Roman" w:eastAsia="仿宋_GB2312" w:cs="Times New Roman"/>
          <w:sz w:val="32"/>
          <w:szCs w:val="32"/>
        </w:rPr>
        <w:t>万元。用于缴纳由我单位负责管理的办公区、住宅区水电费。</w:t>
      </w:r>
    </w:p>
    <w:p>
      <w:pPr>
        <w:pageBreakBefore w:val="0"/>
        <w:kinsoku/>
        <w:wordWrap/>
        <w:overflow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节能减排经费6.5万元。我单位负责全区70余个部委办局的公共机构节能工作，是全区的一项重点工作。经费主要用于办公区域、住宅区等的节能灯具、节水器材、节能设备等的维修维护及更换；节水型单位创建工作。</w:t>
      </w:r>
    </w:p>
    <w:p>
      <w:pPr>
        <w:pageBreakBefore w:val="0"/>
        <w:kinsoku/>
        <w:wordWrap/>
        <w:overflowPunct/>
        <w:autoSpaceDE/>
        <w:autoSpaceDN/>
        <w:bidi w:val="0"/>
        <w:snapToGrid/>
        <w:spacing w:line="56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rPr>
        <w:t>5.零星维修经费</w:t>
      </w:r>
      <w:r>
        <w:rPr>
          <w:rFonts w:hint="default" w:ascii="Times New Roman" w:hAnsi="Times New Roman" w:eastAsia="仿宋_GB2312" w:cs="Times New Roman"/>
          <w:sz w:val="32"/>
          <w:szCs w:val="32"/>
          <w:lang w:val="en-US" w:eastAsia="zh-CN"/>
        </w:rPr>
        <w:t>88.41</w:t>
      </w:r>
      <w:r>
        <w:rPr>
          <w:rFonts w:hint="default" w:ascii="Times New Roman" w:hAnsi="Times New Roman" w:eastAsia="仿宋_GB2312" w:cs="Times New Roman"/>
          <w:sz w:val="32"/>
          <w:szCs w:val="32"/>
        </w:rPr>
        <w:t>万元。我单位管理的办公区、住宅区点多面广线长，设施设备、门窗、线路管网、</w:t>
      </w:r>
      <w:r>
        <w:rPr>
          <w:rFonts w:hint="eastAsia" w:ascii="Times New Roman" w:hAnsi="Times New Roman" w:eastAsia="仿宋_GB2312" w:cs="Times New Roman"/>
          <w:sz w:val="32"/>
          <w:szCs w:val="32"/>
          <w:lang w:eastAsia="zh-CN"/>
        </w:rPr>
        <w:t>房屋</w:t>
      </w:r>
      <w:r>
        <w:rPr>
          <w:rFonts w:hint="default" w:ascii="Times New Roman" w:hAnsi="Times New Roman" w:eastAsia="仿宋_GB2312" w:cs="Times New Roman"/>
          <w:sz w:val="32"/>
          <w:szCs w:val="32"/>
        </w:rPr>
        <w:t>防水等老化陈旧，需要维修维护的项目越来越多。此经费主要用于机关办公楼住宅区公共区域的维修、装修、太阳能、门窗、线路管网、水泵、配电室等全区机关用房配套设施设备的维修。</w:t>
      </w:r>
    </w:p>
    <w:p>
      <w:pPr>
        <w:pageBreakBefore w:val="0"/>
        <w:kinsoku/>
        <w:wordWrap/>
        <w:overflow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r>
        <w:rPr>
          <w:rFonts w:hint="default" w:ascii="Times New Roman" w:hAnsi="Times New Roman" w:eastAsia="仿宋_GB2312" w:cs="Times New Roman"/>
          <w:sz w:val="32"/>
          <w:szCs w:val="32"/>
          <w:lang w:eastAsia="zh-CN"/>
        </w:rPr>
        <w:t>机关爱卫</w:t>
      </w:r>
      <w:r>
        <w:rPr>
          <w:rFonts w:hint="default" w:ascii="Times New Roman" w:hAnsi="Times New Roman" w:eastAsia="仿宋_GB2312" w:cs="Times New Roman"/>
          <w:sz w:val="32"/>
          <w:szCs w:val="32"/>
        </w:rPr>
        <w:t>经费11.5万元。经费用于我单位负责的办公区、住宅区内的爱卫工作，健康教育、控烟、艾滋病防治等的学习、宣传、培训；病媒生物防治；“四害”消杀；创卫爱卫方面的各项开支。</w:t>
      </w:r>
    </w:p>
    <w:p>
      <w:pPr>
        <w:pageBreakBefore w:val="0"/>
        <w:kinsoku/>
        <w:wordWrap/>
        <w:overflow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7.会议服务经费</w:t>
      </w:r>
      <w:r>
        <w:rPr>
          <w:rFonts w:hint="default" w:ascii="Times New Roman" w:hAnsi="Times New Roman" w:eastAsia="仿宋_GB2312" w:cs="Times New Roman"/>
          <w:sz w:val="32"/>
          <w:szCs w:val="32"/>
          <w:lang w:val="en-US" w:eastAsia="zh-CN"/>
        </w:rPr>
        <w:t>15.2</w:t>
      </w:r>
      <w:r>
        <w:rPr>
          <w:rFonts w:hint="default" w:ascii="Times New Roman" w:hAnsi="Times New Roman" w:eastAsia="仿宋_GB2312" w:cs="Times New Roman"/>
          <w:sz w:val="32"/>
          <w:szCs w:val="32"/>
        </w:rPr>
        <w:t>万元。我单位负责的各委办局的大小会议及区“两会”的会议服务工作，经费主要用于会议杯子、茶叶、会议布标、会场布置、会议</w:t>
      </w:r>
      <w:r>
        <w:rPr>
          <w:rFonts w:hint="eastAsia" w:ascii="Times New Roman" w:hAnsi="Times New Roman" w:eastAsia="仿宋_GB2312" w:cs="Times New Roman"/>
          <w:sz w:val="32"/>
          <w:szCs w:val="32"/>
          <w:lang w:eastAsia="zh-CN"/>
        </w:rPr>
        <w:t>服务人员</w:t>
      </w:r>
      <w:r>
        <w:rPr>
          <w:rFonts w:hint="default" w:ascii="Times New Roman" w:hAnsi="Times New Roman" w:eastAsia="仿宋_GB2312" w:cs="Times New Roman"/>
          <w:sz w:val="32"/>
          <w:szCs w:val="32"/>
        </w:rPr>
        <w:t>服装、服务工具等用品的购置；音响设备、话筒、会议桌椅等设备的维修维护费。</w:t>
      </w:r>
    </w:p>
    <w:p>
      <w:pPr>
        <w:pageBreakBefore w:val="0"/>
        <w:kinsoku/>
        <w:wordWrap/>
        <w:overflow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8.公园管养经费</w:t>
      </w:r>
      <w:r>
        <w:rPr>
          <w:rFonts w:hint="default" w:ascii="Times New Roman" w:hAnsi="Times New Roman" w:eastAsia="仿宋_GB2312" w:cs="Times New Roman"/>
          <w:sz w:val="32"/>
          <w:szCs w:val="32"/>
          <w:lang w:val="en-US" w:eastAsia="zh-CN"/>
        </w:rPr>
        <w:t>61.15</w:t>
      </w:r>
      <w:r>
        <w:rPr>
          <w:rFonts w:hint="default" w:ascii="Times New Roman" w:hAnsi="Times New Roman" w:eastAsia="仿宋_GB2312" w:cs="Times New Roman"/>
          <w:sz w:val="32"/>
          <w:szCs w:val="32"/>
        </w:rPr>
        <w:t>万元。此经费主要用于田溪公园</w:t>
      </w:r>
      <w:r>
        <w:rPr>
          <w:rFonts w:hint="eastAsia" w:ascii="Times New Roman" w:hAnsi="Times New Roman" w:eastAsia="仿宋_GB2312" w:cs="Times New Roman"/>
          <w:sz w:val="32"/>
          <w:szCs w:val="32"/>
          <w:lang w:eastAsia="zh-CN"/>
        </w:rPr>
        <w:t>和白邑寺公园的日常综合管养工作</w:t>
      </w:r>
      <w:r>
        <w:rPr>
          <w:rFonts w:hint="default" w:ascii="Times New Roman" w:hAnsi="Times New Roman" w:eastAsia="仿宋_GB2312" w:cs="Times New Roman"/>
          <w:sz w:val="32"/>
          <w:szCs w:val="32"/>
        </w:rPr>
        <w:t>。</w:t>
      </w:r>
    </w:p>
    <w:p>
      <w:pPr>
        <w:pageBreakBefore w:val="0"/>
        <w:kinsoku/>
        <w:wordWrap/>
        <w:overflow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w:t>
      </w:r>
      <w:r>
        <w:rPr>
          <w:rFonts w:hint="default" w:ascii="Times New Roman" w:hAnsi="Times New Roman" w:eastAsia="仿宋_GB2312" w:cs="Times New Roman"/>
          <w:kern w:val="0"/>
          <w:sz w:val="32"/>
          <w:szCs w:val="32"/>
          <w:lang w:val="en-US" w:eastAsia="zh-CN"/>
        </w:rPr>
        <w:t>昆明市盘龙区公安分局森林警察大队</w:t>
      </w:r>
      <w:r>
        <w:rPr>
          <w:rFonts w:hint="default" w:ascii="Times New Roman" w:hAnsi="Times New Roman" w:eastAsia="仿宋_GB2312" w:cs="Times New Roman"/>
          <w:sz w:val="32"/>
          <w:szCs w:val="32"/>
        </w:rPr>
        <w:t>办公用房租金21.15万元。按照2014年2月12日区政府第18次常务会议纪要（15-18）精神，向盘龙区建设投资有限公司租用房屋，位于龙泉路茨坝变电站旁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年租金21.15</w:t>
      </w:r>
      <w:r>
        <w:rPr>
          <w:rFonts w:hint="eastAsia" w:ascii="Times New Roman" w:hAnsi="Times New Roman" w:eastAsia="仿宋_GB2312" w:cs="Times New Roman"/>
          <w:sz w:val="32"/>
          <w:szCs w:val="32"/>
          <w:lang w:val="en-US" w:eastAsia="zh-CN"/>
        </w:rPr>
        <w:t>万</w:t>
      </w:r>
      <w:r>
        <w:rPr>
          <w:rFonts w:hint="default" w:ascii="Times New Roman" w:hAnsi="Times New Roman" w:eastAsia="仿宋_GB2312" w:cs="Times New Roman"/>
          <w:sz w:val="32"/>
          <w:szCs w:val="32"/>
        </w:rPr>
        <w:t>元。</w:t>
      </w:r>
    </w:p>
    <w:p>
      <w:pPr>
        <w:pStyle w:val="9"/>
        <w:pageBreakBefore w:val="0"/>
        <w:kinsoku/>
        <w:wordWrap/>
        <w:overflowPunct/>
        <w:autoSpaceDE/>
        <w:autoSpaceDN/>
        <w:bidi w:val="0"/>
        <w:snapToGrid/>
        <w:spacing w:line="560" w:lineRule="exact"/>
        <w:rPr>
          <w:rFonts w:hint="default" w:ascii="Times New Roman" w:hAnsi="Times New Roman" w:eastAsia="楷体" w:cs="Times New Roman"/>
          <w:sz w:val="32"/>
          <w:szCs w:val="32"/>
        </w:rPr>
      </w:pPr>
      <w:r>
        <w:rPr>
          <w:rFonts w:hint="default" w:ascii="Times New Roman" w:hAnsi="Times New Roman" w:cs="Times New Roman"/>
          <w:sz w:val="32"/>
          <w:szCs w:val="32"/>
        </w:rPr>
        <w:t>10.</w:t>
      </w:r>
      <w:r>
        <w:rPr>
          <w:rFonts w:hint="default" w:ascii="Times New Roman" w:hAnsi="Times New Roman" w:eastAsia="仿宋_GB2312" w:cs="Times New Roman"/>
          <w:sz w:val="32"/>
          <w:szCs w:val="32"/>
        </w:rPr>
        <w:t>政府集中采购工作经费10万元。</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w:t>
      </w:r>
      <w:r>
        <w:rPr>
          <w:rFonts w:hint="default" w:ascii="Times New Roman" w:hAnsi="Times New Roman" w:eastAsia="楷体_GB2312" w:cs="Times New Roman"/>
          <w:sz w:val="32"/>
          <w:szCs w:val="32"/>
          <w:lang w:eastAsia="zh-CN"/>
        </w:rPr>
        <w:t>六</w:t>
      </w:r>
      <w:r>
        <w:rPr>
          <w:rFonts w:hint="default" w:ascii="Times New Roman" w:hAnsi="Times New Roman" w:eastAsia="楷体_GB2312" w:cs="Times New Roman"/>
          <w:sz w:val="32"/>
          <w:szCs w:val="32"/>
        </w:rPr>
        <w:t>）固定资产情况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区机关事务管理服务中心根据《行政单位国有资产管理暂行办法》《事业单位国有资产管理暂行办法》《昆明市人民政府办公厅关于印发昆明市行政事业单位国有资产管理办法的通知》等相关规定，结合单位实际，制定了《盘龙区机关事务管理局固定资产管理制度》。该办法合法、合规、完整，并根据本办法严格执行资产管理。</w:t>
      </w:r>
    </w:p>
    <w:p>
      <w:pPr>
        <w:pageBreakBefore w:val="0"/>
        <w:kinsoku/>
        <w:wordWrap/>
        <w:overflowPunct/>
        <w:topLinePunct/>
        <w:autoSpaceDE/>
        <w:autoSpaceDN/>
        <w:bidi w:val="0"/>
        <w:snapToGrid/>
        <w:spacing w:line="560" w:lineRule="exact"/>
        <w:ind w:firstLine="800" w:firstLineChars="25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sz w:val="32"/>
          <w:szCs w:val="32"/>
        </w:rPr>
        <w:t>截至202</w:t>
      </w: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年末，</w:t>
      </w:r>
      <w:r>
        <w:rPr>
          <w:rFonts w:hint="default" w:ascii="Times New Roman" w:hAnsi="Times New Roman" w:eastAsia="仿宋_GB2312" w:cs="Times New Roman"/>
          <w:color w:val="000000"/>
          <w:sz w:val="32"/>
          <w:szCs w:val="32"/>
          <w:lang w:eastAsia="zh-CN"/>
        </w:rPr>
        <w:t>区机关事务管理服务中心</w:t>
      </w:r>
      <w:r>
        <w:rPr>
          <w:rFonts w:hint="default" w:ascii="Times New Roman" w:hAnsi="Times New Roman" w:eastAsia="仿宋_GB2312" w:cs="Times New Roman"/>
          <w:color w:val="000000"/>
          <w:sz w:val="32"/>
          <w:szCs w:val="32"/>
        </w:rPr>
        <w:t>固定资产净额</w:t>
      </w:r>
      <w:r>
        <w:rPr>
          <w:rFonts w:hint="default" w:ascii="Times New Roman" w:hAnsi="Times New Roman" w:eastAsia="仿宋_GB2312" w:cs="Times New Roman"/>
          <w:color w:val="000000"/>
          <w:sz w:val="32"/>
          <w:szCs w:val="32"/>
          <w:lang w:val="en-US" w:eastAsia="zh-CN"/>
        </w:rPr>
        <w:t>605.14</w:t>
      </w:r>
      <w:r>
        <w:rPr>
          <w:rFonts w:hint="default" w:ascii="Times New Roman" w:hAnsi="Times New Roman" w:eastAsia="仿宋_GB2312" w:cs="Times New Roman"/>
          <w:color w:val="000000"/>
          <w:sz w:val="32"/>
          <w:szCs w:val="32"/>
        </w:rPr>
        <w:t>万元</w:t>
      </w:r>
      <w:r>
        <w:rPr>
          <w:rFonts w:hint="default" w:ascii="Times New Roman" w:hAnsi="Times New Roman" w:eastAsia="仿宋_GB2312" w:cs="Times New Roman"/>
          <w:color w:val="000000"/>
          <w:sz w:val="32"/>
          <w:szCs w:val="32"/>
          <w:lang w:val="en-US" w:eastAsia="zh-CN"/>
        </w:rPr>
        <w:t>.</w:t>
      </w:r>
    </w:p>
    <w:p>
      <w:pPr>
        <w:pageBreakBefore w:val="0"/>
        <w:kinsoku/>
        <w:wordWrap/>
        <w:overflowPunct/>
        <w:topLinePunct/>
        <w:autoSpaceDE/>
        <w:autoSpaceDN/>
        <w:bidi w:val="0"/>
        <w:snapToGrid/>
        <w:spacing w:line="560" w:lineRule="exact"/>
        <w:ind w:firstLine="800" w:firstLineChars="25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二、绩效目标</w:t>
      </w:r>
    </w:p>
    <w:p>
      <w:pPr>
        <w:pageBreakBefore w:val="0"/>
        <w:kinsoku/>
        <w:wordWrap/>
        <w:overflowPunct/>
        <w:topLinePunct/>
        <w:autoSpaceDE/>
        <w:autoSpaceDN/>
        <w:bidi w:val="0"/>
        <w:snapToGrid/>
        <w:spacing w:line="560" w:lineRule="exact"/>
        <w:ind w:firstLine="800" w:firstLineChars="25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（一）部门总目标</w:t>
      </w:r>
    </w:p>
    <w:p>
      <w:pPr>
        <w:pageBreakBefore w:val="0"/>
        <w:kinsoku/>
        <w:wordWrap/>
        <w:overflowPunct/>
        <w:topLinePunct/>
        <w:autoSpaceDE/>
        <w:autoSpaceDN/>
        <w:bidi w:val="0"/>
        <w:snapToGrid/>
        <w:spacing w:line="560" w:lineRule="exact"/>
        <w:ind w:firstLine="800" w:firstLineChars="25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区机关事务管理服务中心紧紧围绕“为区委、区政府提供优质高效后勤服务”这个中心，按照既定的工作目标任务，认真做好事务管理等各项服务工作，保证了各办公区工作高效有序运转，促进了区委、区政府各项决策部署的落实，较好的完成了各项目标任务</w:t>
      </w:r>
      <w:r>
        <w:rPr>
          <w:rFonts w:hint="default" w:ascii="Times New Roman" w:hAnsi="Times New Roman" w:eastAsia="仿宋_GB2312" w:cs="Times New Roman"/>
          <w:sz w:val="32"/>
          <w:szCs w:val="32"/>
          <w:lang w:eastAsia="zh-CN"/>
        </w:rPr>
        <w:t>。</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outlineLvl w:val="9"/>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（二）部门项目具体计划目标</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1.以做好日常零星维修工作为基础，持续抓好存量公有住房的清理整治工作，推动公共用房产权问题和历史遗留问题的有效解决。</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lang w:val="en-US" w:eastAsia="zh-CN"/>
        </w:rPr>
        <w:t>2.以低碳环保项目的开展为亮点，持续抓好公共机构的节</w:t>
      </w:r>
      <w:r>
        <w:rPr>
          <w:rFonts w:hint="eastAsia" w:ascii="Times New Roman" w:hAnsi="Times New Roman" w:eastAsia="仿宋_GB2312" w:cs="Times New Roman"/>
          <w:sz w:val="32"/>
          <w:szCs w:val="32"/>
          <w:lang w:val="en-US" w:eastAsia="zh-CN"/>
        </w:rPr>
        <w:t>约</w:t>
      </w:r>
      <w:r>
        <w:rPr>
          <w:rFonts w:hint="default" w:ascii="Times New Roman" w:hAnsi="Times New Roman" w:eastAsia="仿宋_GB2312" w:cs="Times New Roman"/>
          <w:sz w:val="32"/>
          <w:szCs w:val="32"/>
          <w:lang w:val="en-US" w:eastAsia="zh-CN"/>
        </w:rPr>
        <w:t>型机关、节</w:t>
      </w:r>
      <w:r>
        <w:rPr>
          <w:rFonts w:hint="eastAsia" w:ascii="Times New Roman" w:hAnsi="Times New Roman" w:eastAsia="仿宋_GB2312" w:cs="Times New Roman"/>
          <w:sz w:val="32"/>
          <w:szCs w:val="32"/>
          <w:lang w:val="en-US" w:eastAsia="zh-CN"/>
        </w:rPr>
        <w:t>水</w:t>
      </w:r>
      <w:r>
        <w:rPr>
          <w:rFonts w:hint="default" w:ascii="Times New Roman" w:hAnsi="Times New Roman" w:eastAsia="仿宋_GB2312" w:cs="Times New Roman"/>
          <w:sz w:val="32"/>
          <w:szCs w:val="32"/>
          <w:lang w:val="en-US" w:eastAsia="zh-CN"/>
        </w:rPr>
        <w:t>型单位创建工作。</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3.持续抓好政采云平台的入驻商家、协议、商品审核工作。</w:t>
      </w:r>
    </w:p>
    <w:p>
      <w:pPr>
        <w:pStyle w:val="10"/>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4.持续抓好安全保卫、消防安全、机关爱卫、公园管理等各项工作。</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outlineLvl w:val="9"/>
        <w:rPr>
          <w:rFonts w:hint="default" w:ascii="Times New Roman" w:hAnsi="Times New Roman" w:eastAsia="楷体" w:cs="Times New Roman"/>
          <w:sz w:val="32"/>
          <w:szCs w:val="32"/>
        </w:rPr>
      </w:pPr>
      <w:r>
        <w:rPr>
          <w:rFonts w:hint="default" w:ascii="Times New Roman" w:hAnsi="Times New Roman" w:eastAsia="仿宋_GB2312" w:cs="Times New Roman"/>
          <w:sz w:val="32"/>
          <w:szCs w:val="32"/>
          <w:lang w:val="en-US" w:eastAsia="zh-CN"/>
        </w:rPr>
        <w:t>5、以公务用车管理平台为标靶，持续抓好公务用车的管理和监督工作。</w:t>
      </w:r>
    </w:p>
    <w:p>
      <w:pPr>
        <w:pageBreakBefore w:val="0"/>
        <w:kinsoku/>
        <w:wordWrap/>
        <w:overflowPunct/>
        <w:topLinePunct/>
        <w:autoSpaceDE/>
        <w:autoSpaceDN/>
        <w:bidi w:val="0"/>
        <w:snapToGrid/>
        <w:spacing w:line="560" w:lineRule="exact"/>
        <w:ind w:firstLine="800" w:firstLineChars="25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三、评价思路和过程</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楷体" w:cs="Times New Roman"/>
          <w:sz w:val="32"/>
          <w:szCs w:val="32"/>
        </w:rPr>
      </w:pPr>
      <w:r>
        <w:rPr>
          <w:rFonts w:hint="default" w:ascii="Times New Roman" w:hAnsi="Times New Roman" w:eastAsia="楷体_GB2312" w:cs="Times New Roman"/>
          <w:sz w:val="32"/>
          <w:szCs w:val="32"/>
        </w:rPr>
        <w:t>（一）评价思路</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本次评价的内容主要是针对区机关事务管理服务中心为实现202</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的重点目标和职能目标所支出财政资金的经济性、效率性和效益性，包括绩效目标的设定情况、资金投入和使用情况、为实现绩效目标制定的制度和采取的措施，以及绩效目标的实现程度及效果等；主要从部门决策、部门管理、部门绩效3个方面构建评价指标体系。</w:t>
      </w:r>
    </w:p>
    <w:p>
      <w:pPr>
        <w:pageBreakBefore w:val="0"/>
        <w:kinsoku/>
        <w:wordWrap/>
        <w:overflowPunct/>
        <w:topLinePunct/>
        <w:autoSpaceDE/>
        <w:autoSpaceDN/>
        <w:bidi w:val="0"/>
        <w:snapToGrid/>
        <w:spacing w:line="560" w:lineRule="exa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本次评价指标分为4级，包括3个一级指标，11个二级指标，48个三级指标，72个4级指标。三个一级指标所占权重分别为35%、20%、45%，分值分别为35分、20分、45分。</w:t>
      </w:r>
    </w:p>
    <w:p>
      <w:pPr>
        <w:pageBreakBefore w:val="0"/>
        <w:kinsoku/>
        <w:wordWrap/>
        <w:overflowPunct/>
        <w:autoSpaceDE/>
        <w:autoSpaceDN/>
        <w:bidi w:val="0"/>
        <w:adjustRightInd w:val="0"/>
        <w:snapToGrid/>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（二）评价目的</w:t>
      </w:r>
    </w:p>
    <w:p>
      <w:pPr>
        <w:pageBreakBefore w:val="0"/>
        <w:kinsoku/>
        <w:wordWrap/>
        <w:overflowPunct/>
        <w:autoSpaceDE/>
        <w:autoSpaceDN/>
        <w:bidi w:val="0"/>
        <w:adjustRightInd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绩效评价掌握部门整体支出情况，从部门决策、部门管理、部门履职情况及部门绩效等方面找出单位行政运行中存在的问题，紧扣提高行政效能的主题，提出相应的改进意见和建议，以提高部门绩效管理意识，切实推进绩效管理，完善预算管理制度、创新机制、加强管理、强化监督，保证单位整体运行及资金使用管理的规范性、安全性和有效性，提高部门的工作效率和财政资金使用效益</w:t>
      </w:r>
      <w:r>
        <w:rPr>
          <w:rFonts w:hint="default" w:ascii="Times New Roman" w:hAnsi="Times New Roman" w:eastAsia="仿宋_GB2312" w:cs="Times New Roman"/>
          <w:color w:val="000000"/>
          <w:kern w:val="0"/>
          <w:sz w:val="32"/>
          <w:szCs w:val="32"/>
        </w:rPr>
        <w:t>。</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（三）评价依据</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lang w:val="en-US" w:eastAsia="zh-CN"/>
        </w:rPr>
        <w:t>1.</w:t>
      </w:r>
      <w:r>
        <w:rPr>
          <w:rFonts w:hint="default" w:ascii="Times New Roman" w:hAnsi="Times New Roman" w:eastAsia="仿宋_GB2312" w:cs="Times New Roman"/>
          <w:sz w:val="32"/>
          <w:szCs w:val="32"/>
        </w:rPr>
        <w:t>政府部门文件</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rPr>
        <w:t>《盘龙区区级部门预算绩效自评管理暂行办法》《昆明市盘龙区财政局关于开</w:t>
      </w:r>
      <w:r>
        <w:rPr>
          <w:rFonts w:hint="default" w:ascii="Times New Roman" w:hAnsi="Times New Roman" w:eastAsia="仿宋_GB2312" w:cs="Times New Roman"/>
          <w:color w:val="000000"/>
          <w:sz w:val="32"/>
          <w:szCs w:val="32"/>
        </w:rPr>
        <w:t>展202</w:t>
      </w: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年度区级预算支出绩效自评工作的通知》（盘财绩〔202</w:t>
      </w:r>
      <w:r>
        <w:rPr>
          <w:rFonts w:hint="default"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14</w:t>
      </w:r>
      <w:r>
        <w:rPr>
          <w:rFonts w:hint="default" w:ascii="Times New Roman" w:hAnsi="Times New Roman" w:eastAsia="仿宋_GB2312" w:cs="Times New Roman"/>
          <w:color w:val="000000"/>
          <w:sz w:val="32"/>
          <w:szCs w:val="32"/>
        </w:rPr>
        <w:t>号）。</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项目资料</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项目预算批复等相关文件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项目相关支出采购合同等。</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财务资料及相关制度和标准</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财务资料：会计账簿、会计凭证、会计报表、决算报表等财务资料。</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相关制度和标准：</w:t>
      </w:r>
      <w:r>
        <w:rPr>
          <w:rFonts w:hint="default" w:ascii="Times New Roman" w:hAnsi="Times New Roman" w:eastAsia="仿宋_GB2312" w:cs="Times New Roman"/>
          <w:sz w:val="32"/>
          <w:szCs w:val="32"/>
        </w:rPr>
        <w:t>《中华人民共和国会计法》《行政单位会计制度》等</w:t>
      </w:r>
      <w:r>
        <w:rPr>
          <w:rFonts w:hint="default" w:ascii="Times New Roman" w:hAnsi="Times New Roman" w:eastAsia="仿宋_GB2312" w:cs="Times New Roman"/>
          <w:sz w:val="32"/>
          <w:szCs w:val="32"/>
          <w:lang w:eastAsia="zh-CN"/>
        </w:rPr>
        <w:t>。</w:t>
      </w:r>
    </w:p>
    <w:p>
      <w:pPr>
        <w:pageBreakBefore w:val="0"/>
        <w:kinsoku/>
        <w:wordWrap/>
        <w:overflowPunct/>
        <w:topLinePunct/>
        <w:autoSpaceDE/>
        <w:autoSpaceDN/>
        <w:bidi w:val="0"/>
        <w:snapToGrid/>
        <w:spacing w:line="560" w:lineRule="exact"/>
        <w:ind w:firstLine="800" w:firstLineChars="25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（四）评价对象及评价时段</w:t>
      </w:r>
    </w:p>
    <w:p>
      <w:pPr>
        <w:pageBreakBefore w:val="0"/>
        <w:kinsoku/>
        <w:wordWrap/>
        <w:overflowPunct/>
        <w:topLinePunct/>
        <w:autoSpaceDE/>
        <w:autoSpaceDN/>
        <w:bidi w:val="0"/>
        <w:snapToGrid/>
        <w:spacing w:line="560" w:lineRule="exact"/>
        <w:ind w:firstLine="800" w:firstLineChars="25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本次自评的对象主要是盘龙区机关事务管理服务中心202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年部门整体支出情况，主要包括：单位整体基本支出、项目支出和资产运行</w:t>
      </w:r>
      <w:r>
        <w:rPr>
          <w:rFonts w:hint="eastAsia" w:ascii="Times New Roman" w:hAnsi="Times New Roman" w:eastAsia="仿宋_GB2312" w:cs="Times New Roman"/>
          <w:sz w:val="32"/>
          <w:szCs w:val="32"/>
          <w:lang w:eastAsia="zh-CN"/>
        </w:rPr>
        <w:t>情况</w:t>
      </w:r>
      <w:r>
        <w:rPr>
          <w:rFonts w:hint="default" w:ascii="Times New Roman" w:hAnsi="Times New Roman" w:eastAsia="仿宋_GB2312" w:cs="Times New Roman"/>
          <w:sz w:val="32"/>
          <w:szCs w:val="32"/>
        </w:rPr>
        <w:t>，以及涉及到的职责履行、履职效益等绩效情况。本次绩效自评的时段为202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年1月1日至202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年12月31日</w:t>
      </w:r>
      <w:r>
        <w:rPr>
          <w:rFonts w:hint="default" w:ascii="Times New Roman" w:hAnsi="Times New Roman" w:eastAsia="仿宋_GB2312" w:cs="Times New Roman"/>
          <w:sz w:val="32"/>
          <w:szCs w:val="32"/>
          <w:lang w:eastAsia="zh-CN"/>
        </w:rPr>
        <w:t>。</w:t>
      </w:r>
    </w:p>
    <w:p>
      <w:pPr>
        <w:pageBreakBefore w:val="0"/>
        <w:kinsoku/>
        <w:wordWrap/>
        <w:overflowPunct/>
        <w:topLinePunct/>
        <w:autoSpaceDE/>
        <w:autoSpaceDN/>
        <w:bidi w:val="0"/>
        <w:snapToGrid/>
        <w:spacing w:line="560" w:lineRule="exact"/>
        <w:ind w:firstLine="800" w:firstLineChars="25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四、评价结论和绩效分析</w:t>
      </w:r>
    </w:p>
    <w:p>
      <w:pPr>
        <w:pageBreakBefore w:val="0"/>
        <w:kinsoku/>
        <w:wordWrap/>
        <w:overflowPunct/>
        <w:topLinePunct/>
        <w:autoSpaceDE/>
        <w:autoSpaceDN/>
        <w:bidi w:val="0"/>
        <w:snapToGrid/>
        <w:spacing w:line="560" w:lineRule="exact"/>
        <w:ind w:firstLine="800" w:firstLineChars="25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（一）评价结论</w:t>
      </w:r>
    </w:p>
    <w:p>
      <w:pPr>
        <w:pageBreakBefore w:val="0"/>
        <w:kinsoku/>
        <w:wordWrap/>
        <w:overflowPunct/>
        <w:topLinePunct/>
        <w:autoSpaceDE/>
        <w:autoSpaceDN/>
        <w:bidi w:val="0"/>
        <w:snapToGrid/>
        <w:spacing w:line="560" w:lineRule="exa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1.评价结果</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本次区机关事务管理服务中心部门整体支出绩效自评得分9</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分，评价等级为“优”。指标得分情况详见下表：</w:t>
      </w:r>
    </w:p>
    <w:tbl>
      <w:tblPr>
        <w:tblStyle w:val="5"/>
        <w:tblW w:w="4866" w:type="pct"/>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1"/>
        <w:gridCol w:w="1685"/>
        <w:gridCol w:w="1642"/>
        <w:gridCol w:w="1685"/>
        <w:gridCol w:w="1006"/>
        <w:gridCol w:w="10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3" w:type="pct"/>
            <w:noWrap w:val="0"/>
            <w:vAlign w:val="top"/>
          </w:tcPr>
          <w:p>
            <w:pPr>
              <w:pageBreakBefore w:val="0"/>
              <w:kinsoku/>
              <w:wordWrap/>
              <w:overflowPunct/>
              <w:topLinePunct/>
              <w:autoSpaceDE/>
              <w:autoSpaceDN/>
              <w:bidi w:val="0"/>
              <w:snapToGrid/>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评价内容</w:t>
            </w:r>
          </w:p>
        </w:tc>
        <w:tc>
          <w:tcPr>
            <w:tcW w:w="955" w:type="pct"/>
            <w:noWrap w:val="0"/>
            <w:vAlign w:val="top"/>
          </w:tcPr>
          <w:p>
            <w:pPr>
              <w:pageBreakBefore w:val="0"/>
              <w:kinsoku/>
              <w:wordWrap/>
              <w:overflowPunct/>
              <w:topLinePunct/>
              <w:autoSpaceDE/>
              <w:autoSpaceDN/>
              <w:bidi w:val="0"/>
              <w:snapToGrid/>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部门决策</w:t>
            </w:r>
          </w:p>
        </w:tc>
        <w:tc>
          <w:tcPr>
            <w:tcW w:w="931" w:type="pct"/>
            <w:noWrap w:val="0"/>
            <w:vAlign w:val="top"/>
          </w:tcPr>
          <w:p>
            <w:pPr>
              <w:pageBreakBefore w:val="0"/>
              <w:kinsoku/>
              <w:wordWrap/>
              <w:overflowPunct/>
              <w:topLinePunct/>
              <w:autoSpaceDE/>
              <w:autoSpaceDN/>
              <w:bidi w:val="0"/>
              <w:snapToGrid/>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部门管理</w:t>
            </w:r>
          </w:p>
        </w:tc>
        <w:tc>
          <w:tcPr>
            <w:tcW w:w="955" w:type="pct"/>
            <w:noWrap w:val="0"/>
            <w:vAlign w:val="top"/>
          </w:tcPr>
          <w:p>
            <w:pPr>
              <w:pageBreakBefore w:val="0"/>
              <w:kinsoku/>
              <w:wordWrap/>
              <w:overflowPunct/>
              <w:topLinePunct/>
              <w:autoSpaceDE/>
              <w:autoSpaceDN/>
              <w:bidi w:val="0"/>
              <w:snapToGrid/>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部门绩效</w:t>
            </w:r>
          </w:p>
        </w:tc>
        <w:tc>
          <w:tcPr>
            <w:tcW w:w="570" w:type="pct"/>
            <w:noWrap w:val="0"/>
            <w:vAlign w:val="top"/>
          </w:tcPr>
          <w:p>
            <w:pPr>
              <w:pageBreakBefore w:val="0"/>
              <w:kinsoku/>
              <w:wordWrap/>
              <w:overflowPunct/>
              <w:topLinePunct/>
              <w:autoSpaceDE/>
              <w:autoSpaceDN/>
              <w:bidi w:val="0"/>
              <w:snapToGrid/>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总分</w:t>
            </w:r>
          </w:p>
        </w:tc>
        <w:tc>
          <w:tcPr>
            <w:tcW w:w="594" w:type="pct"/>
            <w:noWrap w:val="0"/>
            <w:vAlign w:val="top"/>
          </w:tcPr>
          <w:p>
            <w:pPr>
              <w:pageBreakBefore w:val="0"/>
              <w:kinsoku/>
              <w:wordWrap/>
              <w:overflowPunct/>
              <w:topLinePunct/>
              <w:autoSpaceDE/>
              <w:autoSpaceDN/>
              <w:bidi w:val="0"/>
              <w:snapToGrid/>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评分等级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pct"/>
            <w:noWrap w:val="0"/>
            <w:vAlign w:val="top"/>
          </w:tcPr>
          <w:p>
            <w:pPr>
              <w:pageBreakBefore w:val="0"/>
              <w:kinsoku/>
              <w:wordWrap/>
              <w:overflowPunct/>
              <w:topLinePunct/>
              <w:autoSpaceDE/>
              <w:autoSpaceDN/>
              <w:bidi w:val="0"/>
              <w:snapToGrid/>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标准分</w:t>
            </w:r>
          </w:p>
        </w:tc>
        <w:tc>
          <w:tcPr>
            <w:tcW w:w="955" w:type="pct"/>
            <w:noWrap w:val="0"/>
            <w:vAlign w:val="top"/>
          </w:tcPr>
          <w:p>
            <w:pPr>
              <w:pageBreakBefore w:val="0"/>
              <w:kinsoku/>
              <w:wordWrap/>
              <w:overflowPunct/>
              <w:topLinePunct/>
              <w:autoSpaceDE/>
              <w:autoSpaceDN/>
              <w:bidi w:val="0"/>
              <w:snapToGrid/>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35</w:t>
            </w:r>
          </w:p>
        </w:tc>
        <w:tc>
          <w:tcPr>
            <w:tcW w:w="931" w:type="pct"/>
            <w:noWrap w:val="0"/>
            <w:vAlign w:val="top"/>
          </w:tcPr>
          <w:p>
            <w:pPr>
              <w:pageBreakBefore w:val="0"/>
              <w:kinsoku/>
              <w:wordWrap/>
              <w:overflowPunct/>
              <w:topLinePunct/>
              <w:autoSpaceDE/>
              <w:autoSpaceDN/>
              <w:bidi w:val="0"/>
              <w:snapToGrid/>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w:t>
            </w:r>
          </w:p>
        </w:tc>
        <w:tc>
          <w:tcPr>
            <w:tcW w:w="955" w:type="pct"/>
            <w:noWrap w:val="0"/>
            <w:vAlign w:val="top"/>
          </w:tcPr>
          <w:p>
            <w:pPr>
              <w:pageBreakBefore w:val="0"/>
              <w:kinsoku/>
              <w:wordWrap/>
              <w:overflowPunct/>
              <w:topLinePunct/>
              <w:autoSpaceDE/>
              <w:autoSpaceDN/>
              <w:bidi w:val="0"/>
              <w:snapToGrid/>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45</w:t>
            </w:r>
          </w:p>
        </w:tc>
        <w:tc>
          <w:tcPr>
            <w:tcW w:w="570" w:type="pct"/>
            <w:noWrap w:val="0"/>
            <w:vAlign w:val="top"/>
          </w:tcPr>
          <w:p>
            <w:pPr>
              <w:pageBreakBefore w:val="0"/>
              <w:kinsoku/>
              <w:wordWrap/>
              <w:overflowPunct/>
              <w:topLinePunct/>
              <w:autoSpaceDE/>
              <w:autoSpaceDN/>
              <w:bidi w:val="0"/>
              <w:snapToGrid/>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100</w:t>
            </w:r>
          </w:p>
        </w:tc>
        <w:tc>
          <w:tcPr>
            <w:tcW w:w="594" w:type="pct"/>
            <w:noWrap w:val="0"/>
            <w:vAlign w:val="top"/>
          </w:tcPr>
          <w:p>
            <w:pPr>
              <w:pageBreakBefore w:val="0"/>
              <w:kinsoku/>
              <w:wordWrap/>
              <w:overflowPunct/>
              <w:topLinePunct/>
              <w:autoSpaceDE/>
              <w:autoSpaceDN/>
              <w:bidi w:val="0"/>
              <w:snapToGrid/>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pct"/>
            <w:noWrap w:val="0"/>
            <w:vAlign w:val="top"/>
          </w:tcPr>
          <w:p>
            <w:pPr>
              <w:pageBreakBefore w:val="0"/>
              <w:kinsoku/>
              <w:wordWrap/>
              <w:overflowPunct/>
              <w:topLinePunct/>
              <w:autoSpaceDE/>
              <w:autoSpaceDN/>
              <w:bidi w:val="0"/>
              <w:snapToGrid/>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实际得分</w:t>
            </w:r>
          </w:p>
        </w:tc>
        <w:tc>
          <w:tcPr>
            <w:tcW w:w="955" w:type="pct"/>
            <w:noWrap w:val="0"/>
            <w:vAlign w:val="top"/>
          </w:tcPr>
          <w:p>
            <w:pPr>
              <w:pageBreakBefore w:val="0"/>
              <w:kinsoku/>
              <w:wordWrap/>
              <w:overflowPunct/>
              <w:topLinePunct/>
              <w:autoSpaceDE/>
              <w:autoSpaceDN/>
              <w:bidi w:val="0"/>
              <w:snapToGrid/>
              <w:spacing w:line="560" w:lineRule="exact"/>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2</w:t>
            </w:r>
          </w:p>
        </w:tc>
        <w:tc>
          <w:tcPr>
            <w:tcW w:w="931" w:type="pct"/>
            <w:noWrap w:val="0"/>
            <w:vAlign w:val="top"/>
          </w:tcPr>
          <w:p>
            <w:pPr>
              <w:pageBreakBefore w:val="0"/>
              <w:kinsoku/>
              <w:wordWrap/>
              <w:overflowPunct/>
              <w:topLinePunct/>
              <w:autoSpaceDE/>
              <w:autoSpaceDN/>
              <w:bidi w:val="0"/>
              <w:snapToGrid/>
              <w:spacing w:line="560" w:lineRule="exact"/>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19</w:t>
            </w:r>
          </w:p>
        </w:tc>
        <w:tc>
          <w:tcPr>
            <w:tcW w:w="955" w:type="pct"/>
            <w:noWrap w:val="0"/>
            <w:vAlign w:val="top"/>
          </w:tcPr>
          <w:p>
            <w:pPr>
              <w:pageBreakBefore w:val="0"/>
              <w:kinsoku/>
              <w:wordWrap/>
              <w:overflowPunct/>
              <w:topLinePunct/>
              <w:autoSpaceDE/>
              <w:autoSpaceDN/>
              <w:bidi w:val="0"/>
              <w:snapToGrid/>
              <w:spacing w:line="560" w:lineRule="exact"/>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val="en-US" w:eastAsia="zh-CN"/>
              </w:rPr>
              <w:t>2</w:t>
            </w:r>
          </w:p>
        </w:tc>
        <w:tc>
          <w:tcPr>
            <w:tcW w:w="570" w:type="pct"/>
            <w:noWrap w:val="0"/>
            <w:vAlign w:val="top"/>
          </w:tcPr>
          <w:p>
            <w:pPr>
              <w:pageBreakBefore w:val="0"/>
              <w:kinsoku/>
              <w:wordWrap/>
              <w:overflowPunct/>
              <w:topLinePunct/>
              <w:autoSpaceDE/>
              <w:autoSpaceDN/>
              <w:bidi w:val="0"/>
              <w:snapToGrid/>
              <w:spacing w:line="560" w:lineRule="exact"/>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93</w:t>
            </w:r>
          </w:p>
        </w:tc>
        <w:tc>
          <w:tcPr>
            <w:tcW w:w="594" w:type="pct"/>
            <w:noWrap w:val="0"/>
            <w:vAlign w:val="top"/>
          </w:tcPr>
          <w:p>
            <w:pPr>
              <w:pageBreakBefore w:val="0"/>
              <w:kinsoku/>
              <w:wordWrap/>
              <w:overflowPunct/>
              <w:topLinePunct/>
              <w:autoSpaceDE/>
              <w:autoSpaceDN/>
              <w:bidi w:val="0"/>
              <w:snapToGrid/>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优</w:t>
            </w:r>
          </w:p>
        </w:tc>
      </w:tr>
    </w:tbl>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2.主要绩效。</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盘龙区机关事务管理服务中心202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年度按照《部门（单位）整体支出绩效目标申报表（202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度）》中设定年度主要工作内容：按照</w:t>
      </w:r>
      <w:r>
        <w:rPr>
          <w:rFonts w:hint="eastAsia" w:ascii="Times New Roman" w:hAnsi="Times New Roman" w:eastAsia="仿宋_GB2312" w:cs="Times New Roman"/>
          <w:sz w:val="32"/>
          <w:szCs w:val="32"/>
          <w:lang w:eastAsia="zh-CN"/>
        </w:rPr>
        <w:t>盘龙区机关事务管理服务中心</w:t>
      </w:r>
      <w:r>
        <w:rPr>
          <w:rFonts w:hint="default" w:ascii="Times New Roman" w:hAnsi="Times New Roman" w:eastAsia="仿宋_GB2312" w:cs="Times New Roman"/>
          <w:sz w:val="32"/>
          <w:szCs w:val="32"/>
        </w:rPr>
        <w:t>工作职责、年度工作任务开展全年的工作，做好机关后勤保障工作。202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年实现年度目标，预算配置合理，管理规范，职责履职良好。主要表现在以下方面：</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（1）部门决策方面：部门</w:t>
      </w:r>
      <w:r>
        <w:rPr>
          <w:rFonts w:hint="eastAsia" w:ascii="Times New Roman" w:hAnsi="Times New Roman" w:eastAsia="仿宋_GB2312" w:cs="Times New Roman"/>
          <w:sz w:val="32"/>
          <w:szCs w:val="32"/>
          <w:lang w:eastAsia="zh-CN"/>
        </w:rPr>
        <w:t>设</w:t>
      </w:r>
      <w:r>
        <w:rPr>
          <w:rFonts w:hint="default" w:ascii="Times New Roman" w:hAnsi="Times New Roman" w:eastAsia="仿宋_GB2312" w:cs="Times New Roman"/>
          <w:sz w:val="32"/>
          <w:szCs w:val="32"/>
        </w:rPr>
        <w:t>有中长期规划目标，目标明确合理；年度工作计划与年度工作目标相一致，并与部门中长期规划目标相结合；部门职能科学合理，与年度工作计划与年度工作目标互相衔接；基本支出预算配置合理；但绩效目标的设定指标细化量化不够、缺乏可考核性，项目支出预算编制方面有待加强。</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（2）部门管理方面：预算管理规范，预算完成率达到要求；预算管理制度完善，规范了财务管理工作；“三公经费”实际执行数严格控制在预算内；管理制度健全且有效执行；政府采购合理规范。</w:t>
      </w:r>
    </w:p>
    <w:p>
      <w:pPr>
        <w:pageBreakBefore w:val="0"/>
        <w:kinsoku/>
        <w:wordWrap/>
        <w:overflowPunct/>
        <w:topLinePunct/>
        <w:autoSpaceDE/>
        <w:autoSpaceDN/>
        <w:bidi w:val="0"/>
        <w:snapToGrid/>
        <w:spacing w:line="560" w:lineRule="exact"/>
        <w:ind w:firstLine="800" w:firstLineChars="25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3）部门绩效方面：紧紧围绕年初确定的目标，进一步强化组织领导，较好的完成了年度工作任务，职责履行良好；社会公众和服务对象满意度良好，目标群体对部门职责履行及履职效果普遍持肯定态度；但在队伍建设和机制创新方面还有待加强</w:t>
      </w:r>
      <w:r>
        <w:rPr>
          <w:rFonts w:hint="default" w:ascii="Times New Roman" w:hAnsi="Times New Roman" w:eastAsia="仿宋_GB2312" w:cs="Times New Roman"/>
          <w:sz w:val="32"/>
          <w:szCs w:val="32"/>
          <w:lang w:eastAsia="zh-CN"/>
        </w:rPr>
        <w:t>。</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（二）具体绩效分析</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 部门决策过程分析</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从综合评价得分情况看，部门决策指标满分为35分，实际得分3</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分（占该项目满分值的</w:t>
      </w:r>
      <w:r>
        <w:rPr>
          <w:rFonts w:hint="default" w:ascii="Times New Roman" w:hAnsi="Times New Roman" w:eastAsia="仿宋_GB2312" w:cs="Times New Roman"/>
          <w:sz w:val="32"/>
          <w:szCs w:val="32"/>
          <w:lang w:val="en-US" w:eastAsia="zh-CN"/>
        </w:rPr>
        <w:t>91.43</w:t>
      </w:r>
      <w:r>
        <w:rPr>
          <w:rFonts w:hint="default" w:ascii="Times New Roman" w:hAnsi="Times New Roman" w:eastAsia="仿宋_GB2312" w:cs="Times New Roman"/>
          <w:sz w:val="32"/>
          <w:szCs w:val="32"/>
        </w:rPr>
        <w:t>%），绩效分析情况具体如下：</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（1）部门中长期规划目标的明确性与合理性</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2分（占该指标分值的比率为100%）区机关事务管理服务中心设定了工作中长期规划目标，设定了政府节能工作目标。应加强中长期目标设定，且与部门职能相适应。</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（2）年度工作目标的明确性与合理性</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此项指标满分为2分，实际得分2分（占该指标分值的比率为100%），反映出区机关事务管理服务中心202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年度工作目标设定明确合理。</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（3）年度工作计划与年度工作目标的一致性</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根据综合评价得分情况，此项指标满分为2分，实际得分2分（占该指标分值的比率为100%），反映出区机关事务管理服务中心202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年度工作计划与部门年度工作目标相一致。</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（4）绩效目标合理性</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根据综合评价得分情况，此项指标满分为3分，实际得分2分（占该指标分值的比率为66.67%），因机关事务管理服务中心202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年度《部门（单位）整体支出绩效目标申报表》绩效目标的设定不科学，指标细化量化不够，缺乏可考核性，故扣1分。</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（5）绩效指标明确性</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根据综合评价得分情况，此项指标满分为3分，实际得分2分（占该指标分值的比率为66.67%），因机关事务管理服务中心202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年度《部门（单位）整体支出绩效目标申报表》绩效目标的设定不科学，指标细化量化不够，缺乏可考核性，故扣1分。</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（6）部门职能的明确性与科学性</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根据综合评价得分情况，此项指标满分为1分，实际得分1分（占该指标分值的比率为100%），反映出机关事务管理服务中心职能界定明确科学，且有相关文件作为支撑。</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（7）年度工作目标与部门职能的适应性</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根据综合评价得分情况，此项指标满分为4分，实际得分</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分（占该指标分值的比率为</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%），反映出机关事务管理服务中心所设定的具体目标与部门职能相适应。</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（8）年度具体工作与部门职能的匹配性</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根据综合评价得分情况，此项指标满分为4分，实际得分4分（占该指标分值的比率为100%），反映出机关事务管理服务中心202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年度具体工作与部门职能相匹配。</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（9）部门内设科室及下属单位职责的明确性</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根据综合评价得分情况，此项指标满分为1分，实际得分1分（占该指标分值的比率为100%），反映了机关事务管理服务中心内设科室具体职责明确。</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（10）基本支出预算合理性</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根据综合评价得分情况，此项指标满分为2分，实际得分</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分（占该指标分值的比率为</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%），反映出机关事务管理服务中心202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年度基本支出预算根据人员经费、公用经费标准进行合理编制。</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（11）项目支出预算合理性</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根据综合评价得分情况，此项指标满分为4分，实际得分</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分（占该指标分值的比率为</w:t>
      </w:r>
      <w:r>
        <w:rPr>
          <w:rFonts w:hint="default" w:ascii="Times New Roman" w:hAnsi="Times New Roman" w:eastAsia="仿宋_GB2312" w:cs="Times New Roman"/>
          <w:sz w:val="32"/>
          <w:szCs w:val="32"/>
          <w:lang w:val="en-US" w:eastAsia="zh-CN"/>
        </w:rPr>
        <w:t>75</w:t>
      </w:r>
      <w:r>
        <w:rPr>
          <w:rFonts w:hint="default" w:ascii="Times New Roman" w:hAnsi="Times New Roman" w:eastAsia="仿宋_GB2312" w:cs="Times New Roman"/>
          <w:sz w:val="32"/>
          <w:szCs w:val="32"/>
        </w:rPr>
        <w:t>%），反映机关事务管理服务中心202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年度项目支出预算程序、预算依据、适用范围的合理性。</w:t>
      </w:r>
      <w:r>
        <w:rPr>
          <w:rFonts w:hint="default" w:ascii="Times New Roman" w:hAnsi="Times New Roman" w:eastAsia="仿宋_GB2312" w:cs="Times New Roman"/>
          <w:sz w:val="32"/>
          <w:szCs w:val="32"/>
          <w:lang w:eastAsia="zh-CN"/>
        </w:rPr>
        <w:t>由于疫情影响，部分项目经费支出安排有延迟，故扣</w:t>
      </w:r>
      <w:r>
        <w:rPr>
          <w:rFonts w:hint="default" w:ascii="Times New Roman" w:hAnsi="Times New Roman" w:eastAsia="仿宋_GB2312" w:cs="Times New Roman"/>
          <w:sz w:val="32"/>
          <w:szCs w:val="32"/>
          <w:lang w:val="en-US" w:eastAsia="zh-CN"/>
        </w:rPr>
        <w:t>1分。</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（12）人力资源投入合理性</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根据综合评价得分情况，此项指标满分为2分，实际得分2分（占该指标分值的比率为100.00%），反映机关事务管理服务中心在核定人员的编制与部门工作内容上较为合理。</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（13）办公资源投入合理性</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根据综合评价得分情况，此项指标满分为2分，实际得分2分（占该指标分值的比率为100%），反映出机关事务管理服务中心现有办公资源能满足部门日常工作需求。</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（14）重点项目资源分配合理性</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根据综合评价得分情况，此项指标满分为3分，实际得分3分（占该指标分值的比率为100%），反映出机关事务管理服务中心能够全面完成当年工作目标任务。</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 部门管理情况分析</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从综合评价得分情况看，部门决策指标满分为20分，实际得分</w:t>
      </w:r>
      <w:r>
        <w:rPr>
          <w:rFonts w:hint="default" w:ascii="Times New Roman" w:hAnsi="Times New Roman" w:eastAsia="仿宋_GB2312" w:cs="Times New Roman"/>
          <w:sz w:val="32"/>
          <w:szCs w:val="32"/>
          <w:lang w:val="en-US" w:eastAsia="zh-CN"/>
        </w:rPr>
        <w:t>19</w:t>
      </w:r>
      <w:r>
        <w:rPr>
          <w:rFonts w:hint="default" w:ascii="Times New Roman" w:hAnsi="Times New Roman" w:eastAsia="仿宋_GB2312" w:cs="Times New Roman"/>
          <w:sz w:val="32"/>
          <w:szCs w:val="32"/>
        </w:rPr>
        <w:t>分（占该项目满分值的</w:t>
      </w:r>
      <w:r>
        <w:rPr>
          <w:rFonts w:hint="default" w:ascii="Times New Roman" w:hAnsi="Times New Roman" w:eastAsia="仿宋_GB2312" w:cs="Times New Roman"/>
          <w:sz w:val="32"/>
          <w:szCs w:val="32"/>
          <w:lang w:val="en-US" w:eastAsia="zh-CN"/>
        </w:rPr>
        <w:t>95</w:t>
      </w:r>
      <w:r>
        <w:rPr>
          <w:rFonts w:hint="default" w:ascii="Times New Roman" w:hAnsi="Times New Roman" w:eastAsia="仿宋_GB2312" w:cs="Times New Roman"/>
          <w:sz w:val="32"/>
          <w:szCs w:val="32"/>
        </w:rPr>
        <w:t>%），绩效分析情况具体如下：</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（1）基本支出预算执行率</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根据综合评价得分情况，此项指标满分为1分，实际得分1分（占该指标分值的比率为100%），反映出机关事务管理服务中心202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年度基本支出预算执行程度达到要求。</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（2）项目支出预算执行率</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分，实际得分</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分（占该指标分值的比率</w:t>
      </w:r>
      <w:r>
        <w:rPr>
          <w:rFonts w:hint="default" w:ascii="Times New Roman" w:hAnsi="Times New Roman" w:eastAsia="仿宋_GB2312" w:cs="Times New Roman"/>
          <w:sz w:val="32"/>
          <w:szCs w:val="32"/>
          <w:lang w:val="en-US" w:eastAsia="zh-CN"/>
        </w:rPr>
        <w:t>75</w:t>
      </w:r>
      <w:r>
        <w:rPr>
          <w:rFonts w:hint="default" w:ascii="Times New Roman" w:hAnsi="Times New Roman" w:eastAsia="仿宋_GB2312" w:cs="Times New Roman"/>
          <w:sz w:val="32"/>
          <w:szCs w:val="32"/>
        </w:rPr>
        <w:t>%），反映出机关事务管理服务中心202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年度项目支出预算执行程度</w:t>
      </w:r>
      <w:r>
        <w:rPr>
          <w:rFonts w:hint="default" w:ascii="Times New Roman" w:hAnsi="Times New Roman" w:eastAsia="仿宋_GB2312" w:cs="Times New Roman"/>
          <w:sz w:val="32"/>
          <w:szCs w:val="32"/>
          <w:lang w:eastAsia="zh-CN"/>
        </w:rPr>
        <w:t>基本</w:t>
      </w:r>
      <w:r>
        <w:rPr>
          <w:rFonts w:hint="default" w:ascii="Times New Roman" w:hAnsi="Times New Roman" w:eastAsia="仿宋_GB2312" w:cs="Times New Roman"/>
          <w:sz w:val="32"/>
          <w:szCs w:val="32"/>
        </w:rPr>
        <w:t>达到要求。</w:t>
      </w:r>
      <w:r>
        <w:rPr>
          <w:rFonts w:hint="default" w:ascii="Times New Roman" w:hAnsi="Times New Roman" w:eastAsia="仿宋_GB2312" w:cs="Times New Roman"/>
          <w:sz w:val="32"/>
          <w:szCs w:val="32"/>
          <w:lang w:eastAsia="zh-CN"/>
        </w:rPr>
        <w:t>由于疫情影响，部分项目经费支出安排有延迟，故扣</w:t>
      </w:r>
      <w:r>
        <w:rPr>
          <w:rFonts w:hint="default" w:ascii="Times New Roman" w:hAnsi="Times New Roman" w:eastAsia="仿宋_GB2312" w:cs="Times New Roman"/>
          <w:sz w:val="32"/>
          <w:szCs w:val="32"/>
          <w:lang w:val="en-US" w:eastAsia="zh-CN"/>
        </w:rPr>
        <w:t>1分。</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（3）“三公经费”控制率</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根据综合评价得分情况，此项指标满分为1分，实际得分1分（占该指标分值的比率为100%），反映出机关事务管理服务中心本年度“三公”经费预算数与上年度“三公”经费预算数的变动比率≤100%。</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（4）预算调整情况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根据综合评价得分情况，此项指标满分为1分</w:t>
      </w:r>
      <w:r>
        <w:rPr>
          <w:rFonts w:hint="eastAsia" w:ascii="Times New Roman" w:hAnsi="Times New Roman" w:eastAsia="仿宋_GB2312" w:cs="Times New Roman"/>
          <w:sz w:val="32"/>
          <w:szCs w:val="32"/>
          <w:lang w:eastAsia="zh-CN"/>
        </w:rPr>
        <w:t>，实际得分</w:t>
      </w:r>
      <w:r>
        <w:rPr>
          <w:rFonts w:hint="eastAsia" w:ascii="Times New Roman" w:hAnsi="Times New Roman" w:eastAsia="仿宋_GB2312" w:cs="Times New Roman"/>
          <w:sz w:val="32"/>
          <w:szCs w:val="32"/>
          <w:lang w:val="en-US" w:eastAsia="zh-CN"/>
        </w:rPr>
        <w:t>1分</w:t>
      </w:r>
      <w:r>
        <w:rPr>
          <w:rFonts w:hint="default" w:ascii="Times New Roman" w:hAnsi="Times New Roman" w:eastAsia="仿宋_GB2312" w:cs="Times New Roman"/>
          <w:sz w:val="32"/>
          <w:szCs w:val="32"/>
        </w:rPr>
        <w:t>（占该指标分值的比率为100%），反映出机关事务管理服务中心根据预算实际执行情况及时合规进行预算调整。</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（5）财务管理制度健全性及执行情况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根据综合评价得分情况，此项指标满分为1分，实际得分1分（占该指标分值的比率为100%），反映出机关事务管理服务中心财务管理制度健全且执行有效。</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（6）资金使用合规性</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分，实际得分</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分（占该指标分值的比率为100%），反映出机关事务管理服务中心202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年度预算资金的使用符合相关财务管理制度的规定。</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（7）财务监控的有效性</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分，实际得分</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分（占该指标分值的比率为100%），反映出机关事务管理服务中心202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年度财务监控监督工作的有效性。</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（8）在职人员控制率</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1分，实际得分1分（占该指标分值的比率为100%），机关事务管理服务中心本年度实际在职人员数与编制数的比率≤100%，反映出机关事务管理服务中心对人员成本的控制程度。</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（9）人力资源管理执行情况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根据综合评价得分情况，此项指标满分为1分，实际得分1分（占该指标分值的比率为100%），反映出机关事务管理服务中心人力资源管理的健全性及执行规范性。</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（10）资产管理制度健全性及执行情况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根据综合评价得分情况，此项指标满分为1分，实际得分1分（占该指标分值的比率为100%），反映出机关事务管理服务中心资产管理制度健全且执行有效。</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（11）固定资产在用率</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根据综合评价得分情况，此项指标满分为1分，实际得分1分（占该指标分值的比率为100%），反映出机关事务管理服务中心固定资产在用率达到95%以上。</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（12）业务管理制度健全性及执行情况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根据综合评价得分情况，此项指标满分为1分，实际得分1分（占该指标分值的比率为100%），反映出机关事务管理服务中心业务管理制度健全且执行有效。</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（13）政府采购规范性</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根据综合评价得分情况，此项指标满分为1分，实际得分1分（占该指标分值的比率为100%），反映出机关事务管理服务中心政府采购方式、程序都符合相关规定。</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（14）监督考核情况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根据综合评价得分情况，此项指标满分为1分，实际得分1分（占该指标分值的比率为100%）。反映出机关事务管理服务中心政对项目的实施进行监督。</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 部门绩效实现情况分析</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从综合评价得分情况看，部门决策指标满分为45分，实际得分4</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分（占该项目满分值的</w:t>
      </w:r>
      <w:r>
        <w:rPr>
          <w:rFonts w:hint="default" w:ascii="Times New Roman" w:hAnsi="Times New Roman" w:eastAsia="仿宋_GB2312" w:cs="Times New Roman"/>
          <w:sz w:val="32"/>
          <w:szCs w:val="32"/>
          <w:lang w:val="en-US" w:eastAsia="zh-CN"/>
        </w:rPr>
        <w:t>93.33</w:t>
      </w:r>
      <w:r>
        <w:rPr>
          <w:rFonts w:hint="default" w:ascii="Times New Roman" w:hAnsi="Times New Roman" w:eastAsia="仿宋_GB2312" w:cs="Times New Roman"/>
          <w:sz w:val="32"/>
          <w:szCs w:val="32"/>
        </w:rPr>
        <w:t>%），绩效分析情况具体如下：</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（1）房屋管理完成情况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根据综合评价得分情况，此项指标满分为3分，实际得分3分（占该指标分值的比率为100%），反映出机关事务管理服务中心202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年按照相关规定完成了房屋管理工作。</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（2）节能工作完成情况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根据综合评价得分情况，此项指标满分为2分，实际得分2分（占该指标分值的比率为100%），反映出机关事务管理服务中心按照年初制定的节能工作计划完成了工作。</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（3）公务用车管理工作完成情况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根据综合评价得分情况，此项指标满分为2分，实际得分2分（占该指标分值的比率为100%），反映出机关事务管理服务中心已完成了公务用车管理工作。</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（4）维修工作完成情况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根据综合评价得分情况，此项指标满分为2分，实际得分2分（占该指标分值的比率为100%），反映出机关事务管理服务中心按照年度维修工作计划完成了维修服务工作。</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（5）安保服务工作完成情况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根据综合评价得分情况，此项指标满分为2分，实际得分2分（占该指标分值的比率为100%），反映出机关事务管理服务中心按照年度安保服务工作计划完成了服务工作。</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（6）保洁绿化管养服务工作完成情况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根据综合评价得分情况，此项指标满分为2分，实际得分2分（占该指标分值的比率为100%），反映机关事务管理服务中心按照年初工作计划完成了保洁绿化管养服务工作。</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（7）食堂餐饮服务完成情况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分（占该指标分值的比率为</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0%），反映出机关事务管理服务中心按照年度工作计划完成了餐饮服务工作。</w:t>
      </w:r>
      <w:r>
        <w:rPr>
          <w:rFonts w:hint="default" w:ascii="Times New Roman" w:hAnsi="Times New Roman" w:eastAsia="仿宋_GB2312" w:cs="Times New Roman"/>
          <w:sz w:val="32"/>
          <w:szCs w:val="32"/>
          <w:lang w:eastAsia="zh-CN"/>
        </w:rPr>
        <w:t>由于疫情影响，项目经费支出安排有延迟，故扣</w:t>
      </w:r>
      <w:r>
        <w:rPr>
          <w:rFonts w:hint="default" w:ascii="Times New Roman" w:hAnsi="Times New Roman" w:eastAsia="仿宋_GB2312" w:cs="Times New Roman"/>
          <w:sz w:val="32"/>
          <w:szCs w:val="32"/>
          <w:lang w:val="en-US" w:eastAsia="zh-CN"/>
        </w:rPr>
        <w:t>1分。</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（8）水电运行保障情况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根据综合评价得分情况，此项指标满分为2分，实际得分2分（占该指标分值的比率为100%），反映出机关事务管理服务中心202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年按照相关规定完成了水电运行保障工作。</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（9）机关爱卫工作完成情况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根据综合评价得分情况，此项指标满分为2分，实际得分2分（占该指标分值的比率为100%），反映出机关事务管理服务中心按照年初制定的工作计划完成了机关爱卫工作。</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（10）文件报刊收</w:t>
      </w:r>
      <w:r>
        <w:rPr>
          <w:rFonts w:hint="eastAsia" w:ascii="Times New Roman" w:hAnsi="Times New Roman" w:eastAsia="仿宋_GB2312" w:cs="Times New Roman"/>
          <w:sz w:val="32"/>
          <w:szCs w:val="32"/>
          <w:lang w:eastAsia="zh-CN"/>
        </w:rPr>
        <w:t>发</w:t>
      </w:r>
      <w:r>
        <w:rPr>
          <w:rFonts w:hint="default" w:ascii="Times New Roman" w:hAnsi="Times New Roman" w:eastAsia="仿宋_GB2312" w:cs="Times New Roman"/>
          <w:sz w:val="32"/>
          <w:szCs w:val="32"/>
        </w:rPr>
        <w:t>工作完成情况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根据综合评价得分情况，此项指标满分为2分，实际得分2分（占该指标分值的比率为100%），反映出机关事务管理服务中心按照工作职责完成了工作。</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（11）会议服务工作完成情况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根据综合评价得分情况，此项指标满分为2分，实际得分2分（占该指标分值的比率为100%），反映出机关事务管理服务中心按照年度会议服务工作计划完成了工作。</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（12）设施设备维修服务满意度</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根据综合评价得分情况，此项指标满分为2分，实际得分2分（占该指标分值的比率为100%），服务对象对设施设备维修服务满意度≥90%。</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（13）车辆服务满意度</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根据综合评价得分情况，此项指标满分为2分，实际得分2分（占该指标分值的比率为100%），服务对象对车辆服务满意度≥90%。</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（14）安保服务满意度</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根据综合评价得分情况，此项指标满分为2分，实际得分2分（占该指标分值的比率为100%），服务对象对安保服务满意度≥90%。</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（15）绿化卫生保洁服务满意度</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根据综合评价得分情况，此项指标满分为2分，实际得分2分（占该指标分值的比率为100%），服务对象对绿化管养服务满意度≥90%。</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（16）食堂就餐服务满意度</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根据综合评价得分情况，此项指标满分为2分，实际得分2分（占该指标分值的比率为100%），服务对象对服务满意度≥90%。</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）会议服务好评率</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根据综合评价得分情况，此项指标满分为2分，实际得分2分（占该指标分值的比率为100%），服务对象对会议服务满意度≥90%。</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）投诉降低率</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分，实际得分</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分（占该指标分值的比率为100%），反映服务对象投诉率有所下降。</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19</w:t>
      </w:r>
      <w:r>
        <w:rPr>
          <w:rFonts w:hint="default" w:ascii="Times New Roman" w:hAnsi="Times New Roman" w:eastAsia="仿宋_GB2312" w:cs="Times New Roman"/>
          <w:sz w:val="32"/>
          <w:szCs w:val="32"/>
        </w:rPr>
        <w:t>）队伍建设情况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根据综合评价得分情况，此项指标满分为2分，实际得分1分（占该指标分值的比率为50%），反应出机关事务管理服务中心管理人员定期接受培训，熟悉政策、提高业务能力等方面的工作尚有待加强，故扣1分。</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）信息共享、公开情况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综合评价得分情况，此项指标满分为2分，实际得分2（占该指标分值的比率为100%），反应了机关事务管理服务中心已按照政府信息公开有关规定公开相关预决算信息、绩效信息及其他信息，做的了相关部门信息共享。</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）长效管理创新情况</w:t>
      </w:r>
    </w:p>
    <w:p>
      <w:pPr>
        <w:pageBreakBefore w:val="0"/>
        <w:kinsoku/>
        <w:wordWrap/>
        <w:overflowPunct/>
        <w:topLinePunct/>
        <w:autoSpaceDE/>
        <w:autoSpaceDN/>
        <w:bidi w:val="0"/>
        <w:snapToGrid/>
        <w:spacing w:line="560" w:lineRule="exact"/>
        <w:ind w:firstLine="800" w:firstLineChars="250"/>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根据综合评价得分情况，此项指标满分为2分，实际得分1分（占该指标分值的比率为50%），因机关事务管理服务中心人员绩效考核机制、信息化建设、数据库管理等还有待加强，故扣1分</w:t>
      </w:r>
      <w:r>
        <w:rPr>
          <w:rFonts w:hint="eastAsia" w:ascii="Times New Roman" w:hAnsi="Times New Roman" w:eastAsia="仿宋_GB2312" w:cs="Times New Roman"/>
          <w:sz w:val="32"/>
          <w:szCs w:val="32"/>
          <w:lang w:eastAsia="zh-CN"/>
        </w:rPr>
        <w:t>。</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五、主要经验做法</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年区机关事务管理服务中心严格按照年初预算在规定的时间节点，结合工作实际合理安排使用各项经费，既保证了经费科学合理使用，同时又控制住了不必要的经费支出，确保了202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年围绕全区中心工作，认真履职，统筹兼顾，各项后勤服务工作良好运行。</w:t>
      </w:r>
    </w:p>
    <w:p>
      <w:pPr>
        <w:pageBreakBefore w:val="0"/>
        <w:kinsoku/>
        <w:wordWrap/>
        <w:overflowPunct/>
        <w:topLinePunct/>
        <w:autoSpaceDE/>
        <w:autoSpaceDN/>
        <w:bidi w:val="0"/>
        <w:snapToGrid/>
        <w:spacing w:line="560" w:lineRule="exact"/>
        <w:ind w:firstLine="800" w:firstLineChars="250"/>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基本支出方面按照年初预算及年中调资要求严格进行支出，未出现错漏等情况，解决了人员经费保障问题，提高了工作积极性和工作效率。项目支出方面严格按照年初预算，专款专用，确保各项工作顺利开展</w:t>
      </w:r>
      <w:r>
        <w:rPr>
          <w:rFonts w:hint="eastAsia" w:ascii="Times New Roman" w:hAnsi="Times New Roman" w:eastAsia="仿宋_GB2312" w:cs="Times New Roman"/>
          <w:sz w:val="32"/>
          <w:szCs w:val="32"/>
          <w:lang w:eastAsia="zh-CN"/>
        </w:rPr>
        <w:t>。</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六、存在的问题</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仿宋_GB2312" w:cs="Times New Roman"/>
          <w:sz w:val="32"/>
          <w:szCs w:val="32"/>
        </w:rPr>
        <w:t>预算绩效管理水平有待提高</w:t>
      </w:r>
      <w:r>
        <w:rPr>
          <w:rFonts w:hint="default" w:ascii="Times New Roman" w:hAnsi="Times New Roman" w:eastAsia="楷体_GB2312" w:cs="Times New Roman"/>
          <w:sz w:val="32"/>
          <w:szCs w:val="32"/>
        </w:rPr>
        <w:t>。</w:t>
      </w:r>
      <w:r>
        <w:rPr>
          <w:rFonts w:hint="default" w:ascii="Times New Roman" w:hAnsi="Times New Roman" w:eastAsia="仿宋_GB2312" w:cs="Times New Roman"/>
          <w:sz w:val="32"/>
          <w:szCs w:val="32"/>
        </w:rPr>
        <w:t>一是对绩效目标设定、绩效跟踪、绩效评价、绩效评价结果应用等流程未形成系统的管理制度文件且绩效人员专业综合能力有待提高。二是绩效目标申报表填报质量有待提高。按照区财政局的要求填报了绩效目标申报表，但绩效目标申报表尚存在填报不规范、内容不完整、无勾稽关系等情况。</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七、改进措施及建议</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（一）强化预算绩效管理意识，提高预算绩效管理水平</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 完善预算绩效管理制度建设。绩效目标设定、绩效跟踪、绩效评价、绩效评价结果应用等流程形成系统的管理制度文件。</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 加强部门绩效目标申报基础工作，不断提高绩效目标表编报水平。把预算绩效管理作为一项重要的基础工作来抓，加强财政预算前期管理，理清本单位预算管理的总体思路、具体方案和阶段目标，不断提高绩效目标表编报水平。</w:t>
      </w:r>
    </w:p>
    <w:p>
      <w:pPr>
        <w:pageBreakBefore w:val="0"/>
        <w:widowControl/>
        <w:shd w:val="clear" w:color="auto" w:fill="FFFFFF"/>
        <w:kinsoku/>
        <w:wordWrap/>
        <w:overflowPunct/>
        <w:autoSpaceDE/>
        <w:autoSpaceDN/>
        <w:bidi w:val="0"/>
        <w:snapToGrid/>
        <w:spacing w:line="56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sz w:val="32"/>
          <w:szCs w:val="32"/>
        </w:rPr>
        <w:t>（二）</w:t>
      </w:r>
      <w:r>
        <w:rPr>
          <w:rFonts w:hint="default" w:ascii="Times New Roman" w:hAnsi="Times New Roman" w:eastAsia="楷体_GB2312" w:cs="Times New Roman"/>
          <w:kern w:val="0"/>
          <w:sz w:val="32"/>
          <w:szCs w:val="32"/>
        </w:rPr>
        <w:t>建议区财政局加大业务知识培训，特别是一些新财政政策的培训，提高工作人员的综合素质</w:t>
      </w:r>
    </w:p>
    <w:p>
      <w:pPr>
        <w:pageBreakBefore w:val="0"/>
        <w:widowControl/>
        <w:shd w:val="clear" w:color="auto" w:fill="FFFFFF"/>
        <w:kinsoku/>
        <w:wordWrap/>
        <w:overflowPunct/>
        <w:autoSpaceDE/>
        <w:autoSpaceDN/>
        <w:bidi w:val="0"/>
        <w:snapToGrid/>
        <w:spacing w:line="560" w:lineRule="exact"/>
        <w:ind w:firstLine="640" w:firstLineChars="200"/>
        <w:jc w:val="left"/>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（三）加强队伍建设和机制创新</w:t>
      </w:r>
    </w:p>
    <w:p>
      <w:pPr>
        <w:pageBreakBefore w:val="0"/>
        <w:kinsoku/>
        <w:wordWrap/>
        <w:overflowPunct/>
        <w:topLinePunct/>
        <w:autoSpaceDE/>
        <w:autoSpaceDN/>
        <w:bidi w:val="0"/>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以后的工作中加强队伍建设，每年至少对部门人员开展一次业务或政策等培训，提升部门人员的业务能力；同时，将已建立的人员绩效考核机制、信息化建设管理等相应的管理创新机制和措施，进一步细化和量化，使得相关考核措施更加科学合理。</w:t>
      </w:r>
    </w:p>
    <w:p>
      <w:pPr>
        <w:widowControl/>
        <w:jc w:val="both"/>
        <w:rPr>
          <w:rFonts w:hint="default" w:ascii="Times New Roman" w:hAnsi="Times New Roman" w:eastAsia="方正小标宋_GBK" w:cs="Times New Roman"/>
          <w:sz w:val="32"/>
          <w:szCs w:val="32"/>
        </w:rPr>
      </w:pPr>
    </w:p>
    <w:p>
      <w:pPr>
        <w:pStyle w:val="2"/>
        <w:rPr>
          <w:rFonts w:hint="default" w:ascii="Times New Roman" w:hAnsi="Times New Roman" w:eastAsia="方正小标宋_GBK" w:cs="Times New Roman"/>
          <w:sz w:val="32"/>
          <w:szCs w:val="32"/>
        </w:rPr>
      </w:pPr>
    </w:p>
    <w:p>
      <w:pPr>
        <w:rPr>
          <w:rFonts w:hint="default" w:ascii="Times New Roman" w:hAnsi="Times New Roman" w:eastAsia="方正小标宋_GBK" w:cs="Times New Roman"/>
          <w:sz w:val="32"/>
          <w:szCs w:val="32"/>
        </w:rPr>
      </w:pPr>
    </w:p>
    <w:p>
      <w:pPr>
        <w:pStyle w:val="2"/>
        <w:rPr>
          <w:rFonts w:hint="default"/>
        </w:rPr>
      </w:pPr>
    </w:p>
    <w:p>
      <w:pPr>
        <w:widowControl/>
        <w:jc w:val="center"/>
        <w:rPr>
          <w:rFonts w:hint="eastAsia" w:ascii="方正小标宋_GBK" w:eastAsia="方正小标宋_GBK"/>
          <w:sz w:val="32"/>
          <w:szCs w:val="32"/>
        </w:rPr>
      </w:pPr>
    </w:p>
    <w:p>
      <w:pPr>
        <w:widowControl/>
        <w:jc w:val="center"/>
        <w:rPr>
          <w:rFonts w:hint="eastAsia" w:ascii="方正小标宋_GBK" w:eastAsia="方正小标宋_GBK"/>
          <w:sz w:val="32"/>
          <w:szCs w:val="32"/>
        </w:rPr>
      </w:pPr>
    </w:p>
    <w:p>
      <w:pPr>
        <w:widowControl/>
        <w:jc w:val="center"/>
        <w:rPr>
          <w:rFonts w:hint="eastAsia" w:ascii="方正小标宋_GBK" w:eastAsia="方正小标宋_GBK"/>
          <w:sz w:val="32"/>
          <w:szCs w:val="32"/>
        </w:rPr>
      </w:pPr>
    </w:p>
    <w:p>
      <w:pPr>
        <w:widowControl/>
        <w:jc w:val="center"/>
        <w:rPr>
          <w:rFonts w:hint="eastAsia" w:ascii="方正小标宋_GBK" w:eastAsia="方正小标宋_GBK"/>
          <w:sz w:val="32"/>
          <w:szCs w:val="32"/>
        </w:rPr>
      </w:pPr>
    </w:p>
    <w:p>
      <w:pPr>
        <w:widowControl/>
        <w:jc w:val="center"/>
        <w:rPr>
          <w:rFonts w:hint="eastAsia" w:ascii="方正小标宋_GBK" w:eastAsia="方正小标宋_GBK"/>
          <w:sz w:val="32"/>
          <w:szCs w:val="32"/>
        </w:rPr>
      </w:pPr>
    </w:p>
    <w:p>
      <w:pPr>
        <w:widowControl/>
        <w:jc w:val="center"/>
        <w:rPr>
          <w:rFonts w:hint="eastAsia" w:ascii="方正小标宋_GBK" w:eastAsia="方正小标宋_GBK"/>
          <w:sz w:val="32"/>
          <w:szCs w:val="32"/>
        </w:rPr>
      </w:pPr>
    </w:p>
    <w:p>
      <w:pPr>
        <w:widowControl/>
        <w:jc w:val="center"/>
        <w:rPr>
          <w:rFonts w:hint="eastAsia" w:ascii="方正小标宋_GBK" w:eastAsia="方正小标宋_GBK"/>
          <w:sz w:val="32"/>
          <w:szCs w:val="32"/>
        </w:rPr>
      </w:pPr>
    </w:p>
    <w:p>
      <w:pPr>
        <w:widowControl/>
        <w:jc w:val="center"/>
        <w:rPr>
          <w:rFonts w:hint="eastAsia" w:ascii="方正小标宋_GBK" w:eastAsia="方正小标宋_GBK"/>
          <w:sz w:val="32"/>
          <w:szCs w:val="32"/>
        </w:rPr>
      </w:pPr>
    </w:p>
    <w:p>
      <w:pPr>
        <w:widowControl/>
        <w:jc w:val="center"/>
        <w:rPr>
          <w:rFonts w:hint="eastAsia" w:ascii="方正小标宋_GBK" w:eastAsia="方正小标宋_GBK"/>
          <w:sz w:val="32"/>
          <w:szCs w:val="32"/>
        </w:rPr>
      </w:pPr>
    </w:p>
    <w:p>
      <w:pPr>
        <w:widowControl/>
        <w:jc w:val="center"/>
        <w:rPr>
          <w:rFonts w:hint="eastAsia" w:ascii="方正小标宋_GBK" w:eastAsia="方正小标宋_GBK"/>
          <w:sz w:val="32"/>
          <w:szCs w:val="32"/>
        </w:rPr>
      </w:pPr>
    </w:p>
    <w:p>
      <w:pPr>
        <w:widowControl/>
        <w:jc w:val="center"/>
        <w:rPr>
          <w:rFonts w:hint="eastAsia" w:ascii="方正小标宋_GBK" w:eastAsia="方正小标宋_GBK"/>
          <w:sz w:val="32"/>
          <w:szCs w:val="32"/>
        </w:rPr>
      </w:pPr>
    </w:p>
    <w:p>
      <w:pPr>
        <w:widowControl/>
        <w:jc w:val="center"/>
        <w:rPr>
          <w:rFonts w:hint="eastAsia" w:ascii="方正小标宋_GBK" w:eastAsia="方正小标宋_GBK"/>
          <w:sz w:val="32"/>
          <w:szCs w:val="32"/>
        </w:rPr>
      </w:pPr>
    </w:p>
    <w:p>
      <w:pPr>
        <w:widowControl/>
        <w:jc w:val="center"/>
        <w:rPr>
          <w:rFonts w:ascii="方正小标宋_GBK" w:eastAsia="方正小标宋_GBK"/>
          <w:sz w:val="32"/>
          <w:szCs w:val="32"/>
        </w:rPr>
      </w:pPr>
      <w:r>
        <w:rPr>
          <w:rFonts w:hint="eastAsia" w:ascii="方正小标宋_GBK" w:eastAsia="方正小标宋_GBK"/>
          <w:sz w:val="32"/>
          <w:szCs w:val="32"/>
        </w:rPr>
        <w:t>附件1：部门整体支出绩效评价共性指标体系框架</w:t>
      </w:r>
    </w:p>
    <w:tbl>
      <w:tblPr>
        <w:tblStyle w:val="5"/>
        <w:tblW w:w="10065" w:type="dxa"/>
        <w:tblInd w:w="-459" w:type="dxa"/>
        <w:tblLayout w:type="autofit"/>
        <w:tblCellMar>
          <w:top w:w="0" w:type="dxa"/>
          <w:left w:w="108" w:type="dxa"/>
          <w:bottom w:w="0" w:type="dxa"/>
          <w:right w:w="108" w:type="dxa"/>
        </w:tblCellMar>
      </w:tblPr>
      <w:tblGrid>
        <w:gridCol w:w="579"/>
        <w:gridCol w:w="981"/>
        <w:gridCol w:w="1559"/>
        <w:gridCol w:w="689"/>
        <w:gridCol w:w="2050"/>
        <w:gridCol w:w="2846"/>
        <w:gridCol w:w="1361"/>
      </w:tblGrid>
      <w:tr>
        <w:tblPrEx>
          <w:tblCellMar>
            <w:top w:w="0" w:type="dxa"/>
            <w:left w:w="108" w:type="dxa"/>
            <w:bottom w:w="0" w:type="dxa"/>
            <w:right w:w="108" w:type="dxa"/>
          </w:tblCellMar>
        </w:tblPrEx>
        <w:trPr>
          <w:trHeight w:val="270" w:hRule="atLeast"/>
        </w:trPr>
        <w:tc>
          <w:tcPr>
            <w:tcW w:w="57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一级指标</w:t>
            </w:r>
          </w:p>
        </w:tc>
        <w:tc>
          <w:tcPr>
            <w:tcW w:w="981"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w:t>
            </w:r>
          </w:p>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w:t>
            </w:r>
          </w:p>
        </w:tc>
        <w:tc>
          <w:tcPr>
            <w:tcW w:w="1559"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689"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c>
          <w:tcPr>
            <w:tcW w:w="205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指标解释</w:t>
            </w:r>
          </w:p>
        </w:tc>
        <w:tc>
          <w:tcPr>
            <w:tcW w:w="2846"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指标评分细则</w:t>
            </w:r>
          </w:p>
        </w:tc>
        <w:tc>
          <w:tcPr>
            <w:tcW w:w="1361"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数据来源</w:t>
            </w:r>
          </w:p>
        </w:tc>
      </w:tr>
      <w:tr>
        <w:tblPrEx>
          <w:tblCellMar>
            <w:top w:w="0" w:type="dxa"/>
            <w:left w:w="108" w:type="dxa"/>
            <w:bottom w:w="0" w:type="dxa"/>
            <w:right w:w="108" w:type="dxa"/>
          </w:tblCellMar>
        </w:tblPrEx>
        <w:trPr>
          <w:trHeight w:val="1575" w:hRule="atLeast"/>
        </w:trPr>
        <w:tc>
          <w:tcPr>
            <w:tcW w:w="579" w:type="dxa"/>
            <w:vMerge w:val="restart"/>
            <w:tcBorders>
              <w:top w:val="nil"/>
              <w:left w:val="single" w:color="auto" w:sz="4" w:space="0"/>
              <w:bottom w:val="single" w:color="auto" w:sz="4" w:space="0"/>
              <w:right w:val="single" w:color="auto" w:sz="4" w:space="0"/>
            </w:tcBorders>
            <w:noWrap w:val="0"/>
            <w:vAlign w:val="top"/>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A部门决策（35分）</w:t>
            </w:r>
          </w:p>
        </w:tc>
        <w:tc>
          <w:tcPr>
            <w:tcW w:w="981" w:type="dxa"/>
            <w:vMerge w:val="restart"/>
            <w:tcBorders>
              <w:top w:val="nil"/>
              <w:left w:val="single" w:color="auto" w:sz="4" w:space="0"/>
              <w:bottom w:val="single" w:color="000000" w:sz="4" w:space="0"/>
              <w:right w:val="single" w:color="auto" w:sz="4" w:space="0"/>
            </w:tcBorders>
            <w:noWrap w:val="0"/>
            <w:vAlign w:val="top"/>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A1部门目标（12分）</w:t>
            </w: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A11部门中长期规划目标的明确性与合理性（2分）</w:t>
            </w:r>
          </w:p>
        </w:tc>
        <w:tc>
          <w:tcPr>
            <w:tcW w:w="689"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部门（单位）中长期规划目标的设定情况；中长期规划目标应设定明确，应与政府中长期规划目标相适应，且应与部门职能相适应。</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①设定了部门中长期规划目标，得0.5分；②设定的部门中长期规划目标明确，得0.5分；③能够适应《盘龙区XXXXX事业发展“十XX五”规划》，得0.5分；④能够与部门职能相适应，得0.5分。</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部门中长期规划目标、区政府相关规划、部门“三定”方案、部门职能文件。</w:t>
            </w:r>
          </w:p>
        </w:tc>
      </w:tr>
      <w:tr>
        <w:tblPrEx>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A12年度工作目标的明确性与合理性（2分）</w:t>
            </w:r>
          </w:p>
        </w:tc>
        <w:tc>
          <w:tcPr>
            <w:tcW w:w="689"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部门年度工作目标的设定是否明确合理</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①部门年度工作目标明确设定，得1分；②年度工作目标与部门中长期规划目标一致，得1分。</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年度工作目标与部门中长期规划文件</w:t>
            </w:r>
          </w:p>
        </w:tc>
      </w:tr>
      <w:tr>
        <w:tblPrEx>
          <w:tblCellMar>
            <w:top w:w="0" w:type="dxa"/>
            <w:left w:w="108" w:type="dxa"/>
            <w:bottom w:w="0" w:type="dxa"/>
            <w:right w:w="108" w:type="dxa"/>
          </w:tblCellMar>
        </w:tblPrEx>
        <w:trPr>
          <w:trHeight w:val="1230" w:hRule="atLeast"/>
        </w:trPr>
        <w:tc>
          <w:tcPr>
            <w:tcW w:w="579"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A13年度工作计划与年度工作目标的一致性（2分）</w:t>
            </w:r>
          </w:p>
        </w:tc>
        <w:tc>
          <w:tcPr>
            <w:tcW w:w="689"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部门年度工作计划是否与部门年度工作目标相一致。</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将部门详细工作计划与年度工作目标对应匹配，视匹配情况酌情得0-2分。</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年度工作计划与年度工作目标文件</w:t>
            </w:r>
          </w:p>
        </w:tc>
      </w:tr>
      <w:tr>
        <w:tblPrEx>
          <w:tblCellMar>
            <w:top w:w="0" w:type="dxa"/>
            <w:left w:w="108" w:type="dxa"/>
            <w:bottom w:w="0" w:type="dxa"/>
            <w:right w:w="108" w:type="dxa"/>
          </w:tblCellMar>
        </w:tblPrEx>
        <w:trPr>
          <w:trHeight w:val="1425" w:hRule="atLeast"/>
        </w:trPr>
        <w:tc>
          <w:tcPr>
            <w:tcW w:w="579"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A14绩效目标合理性（3分）</w:t>
            </w:r>
          </w:p>
        </w:tc>
        <w:tc>
          <w:tcPr>
            <w:tcW w:w="689" w:type="dxa"/>
            <w:tcBorders>
              <w:top w:val="nil"/>
              <w:left w:val="nil"/>
              <w:bottom w:val="single" w:color="auto" w:sz="4" w:space="0"/>
              <w:right w:val="single" w:color="auto" w:sz="4" w:space="0"/>
            </w:tcBorders>
            <w:noWrap w:val="0"/>
            <w:vAlign w:val="top"/>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用以反映和考核部门整体绩效目标与部门职能、年度工作目标的一致性。</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①符合部门制定的中长期实施规划计1分；②符合部门“三定”方案确定的职责计1分；③与部门年度工作目标、任务相一致计1分。</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部门中长期规划、部门“三定”方案、年度重点工作任务与工作计划</w:t>
            </w:r>
          </w:p>
        </w:tc>
      </w:tr>
      <w:tr>
        <w:tblPrEx>
          <w:tblCellMar>
            <w:top w:w="0" w:type="dxa"/>
            <w:left w:w="108" w:type="dxa"/>
            <w:bottom w:w="0" w:type="dxa"/>
            <w:right w:w="108" w:type="dxa"/>
          </w:tblCellMar>
        </w:tblPrEx>
        <w:trPr>
          <w:trHeight w:val="1425" w:hRule="atLeast"/>
        </w:trPr>
        <w:tc>
          <w:tcPr>
            <w:tcW w:w="579"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A15绩效指标明确性（3分）</w:t>
            </w:r>
          </w:p>
        </w:tc>
        <w:tc>
          <w:tcPr>
            <w:tcW w:w="689" w:type="dxa"/>
            <w:tcBorders>
              <w:top w:val="nil"/>
              <w:left w:val="nil"/>
              <w:bottom w:val="single" w:color="auto" w:sz="4" w:space="0"/>
              <w:right w:val="single" w:color="auto" w:sz="4" w:space="0"/>
            </w:tcBorders>
            <w:noWrap w:val="0"/>
            <w:vAlign w:val="top"/>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整体绩效目标所设定的绩效指标是否依据部门工作目标和工作任务进行细化、量化，绩效指标是否可衡量。</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①将部门整体的绩效目标细化分解为具体的工作任务计1分；②通过清晰、可衡量的指标值予以体现计0.5分。③与部门年度的任务数或计划数相对应计0.5分；④与本年度部门预算资金相匹配计1分。</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部门年度重点工作任务与工作计划。</w:t>
            </w:r>
          </w:p>
        </w:tc>
      </w:tr>
      <w:tr>
        <w:tblPrEx>
          <w:tblCellMar>
            <w:top w:w="0" w:type="dxa"/>
            <w:left w:w="108" w:type="dxa"/>
            <w:bottom w:w="0" w:type="dxa"/>
            <w:right w:w="108" w:type="dxa"/>
          </w:tblCellMar>
        </w:tblPrEx>
        <w:trPr>
          <w:trHeight w:val="1080" w:hRule="atLeast"/>
        </w:trPr>
        <w:tc>
          <w:tcPr>
            <w:tcW w:w="579"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A2部门职能（10分）</w:t>
            </w: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A21部门职能的明确性与科学性（1分）</w:t>
            </w:r>
          </w:p>
        </w:tc>
        <w:tc>
          <w:tcPr>
            <w:tcW w:w="689"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考察部门职能界定是否明确科学，是否有相关文件。</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①职能明确、设定依据充分，得1分；②有“三定”文件，但职能描述不明确，得0.5分;③没有职能设定的文件依据且职能不清，得0分</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部门职能描述、“三定”文件</w:t>
            </w:r>
          </w:p>
        </w:tc>
      </w:tr>
      <w:tr>
        <w:tblPrEx>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A22年度工作目标与部门职能的适应性（4分）</w:t>
            </w:r>
          </w:p>
        </w:tc>
        <w:tc>
          <w:tcPr>
            <w:tcW w:w="689"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4</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部门所设定的具体目标是否与部门职能相适应。</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将部门详细工作目标与部门职能对应匹配，视匹配情况酌情得0-4分。</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部门年度工作目标、部门职能</w:t>
            </w:r>
          </w:p>
        </w:tc>
      </w:tr>
      <w:tr>
        <w:tblPrEx>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A23年度具体工作与部门职能的匹配性（4分）</w:t>
            </w:r>
          </w:p>
        </w:tc>
        <w:tc>
          <w:tcPr>
            <w:tcW w:w="689"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4</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部门年度各类具体工作是否与部门职能相匹配。</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将部门年度具体工作与部门职能对应匹配，视匹配情况酌情得0-4分。</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部门年度各项具体工作，部门职能</w:t>
            </w:r>
          </w:p>
        </w:tc>
      </w:tr>
      <w:tr>
        <w:tblPrEx>
          <w:tblCellMar>
            <w:top w:w="0" w:type="dxa"/>
            <w:left w:w="108" w:type="dxa"/>
            <w:bottom w:w="0" w:type="dxa"/>
            <w:right w:w="108" w:type="dxa"/>
          </w:tblCellMar>
        </w:tblPrEx>
        <w:trPr>
          <w:trHeight w:val="112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single" w:color="auto" w:sz="4" w:space="0"/>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A24部门内设科室及下属单位职责的明确性（1分）</w:t>
            </w:r>
          </w:p>
        </w:tc>
        <w:tc>
          <w:tcPr>
            <w:tcW w:w="689" w:type="dxa"/>
            <w:tcBorders>
              <w:top w:val="single" w:color="auto" w:sz="4" w:space="0"/>
              <w:left w:val="nil"/>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050" w:type="dxa"/>
            <w:tcBorders>
              <w:top w:val="single" w:color="auto" w:sz="4" w:space="0"/>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部门内设科室及下属单位具体职责是否明确</w:t>
            </w:r>
          </w:p>
        </w:tc>
        <w:tc>
          <w:tcPr>
            <w:tcW w:w="2846" w:type="dxa"/>
            <w:tcBorders>
              <w:top w:val="single" w:color="auto" w:sz="4" w:space="0"/>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①有职责文件制度规定部门各科室及下属单位具体职责，得0.5分；②具体职责明确，得0.5分。</w:t>
            </w:r>
          </w:p>
        </w:tc>
        <w:tc>
          <w:tcPr>
            <w:tcW w:w="1361" w:type="dxa"/>
            <w:tcBorders>
              <w:top w:val="single" w:color="auto" w:sz="4" w:space="0"/>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内设科室及下属单位职责文件</w:t>
            </w:r>
          </w:p>
        </w:tc>
      </w:tr>
      <w:tr>
        <w:tblPrEx>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A3资源配置（13分）</w:t>
            </w: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A31基本支出预算合理性（2分）</w:t>
            </w:r>
          </w:p>
        </w:tc>
        <w:tc>
          <w:tcPr>
            <w:tcW w:w="689"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用以反映部门年度基本支出预算是否根据人员经费、公用经费标准进行合理编制。</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①如实核定人员基数，得1分；②根据基本预算标准进行编制，得1分。</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部门基本支出预算标准、基本支出预算</w:t>
            </w:r>
          </w:p>
        </w:tc>
      </w:tr>
      <w:tr>
        <w:tblPrEx>
          <w:tblCellMar>
            <w:top w:w="0" w:type="dxa"/>
            <w:left w:w="108" w:type="dxa"/>
            <w:bottom w:w="0" w:type="dxa"/>
            <w:right w:w="108" w:type="dxa"/>
          </w:tblCellMar>
        </w:tblPrEx>
        <w:trPr>
          <w:trHeight w:val="1350" w:hRule="atLeast"/>
        </w:trPr>
        <w:tc>
          <w:tcPr>
            <w:tcW w:w="579"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A32项目支出预算合理性（4分）</w:t>
            </w:r>
          </w:p>
        </w:tc>
        <w:tc>
          <w:tcPr>
            <w:tcW w:w="689"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3</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用以反映部门年度项目支出预算程序、预算依据、适用范围的合理性。</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①预算程序合理，得1分；②预算依据充分，得2分；③符合资金使用范围，得1分。</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部门项目支出预算编制详细资料，访谈、文件梳理等、其他资料</w:t>
            </w:r>
          </w:p>
        </w:tc>
      </w:tr>
      <w:tr>
        <w:tblPrEx>
          <w:tblCellMar>
            <w:top w:w="0" w:type="dxa"/>
            <w:left w:w="108" w:type="dxa"/>
            <w:bottom w:w="0" w:type="dxa"/>
            <w:right w:w="108" w:type="dxa"/>
          </w:tblCellMar>
        </w:tblPrEx>
        <w:trPr>
          <w:trHeight w:val="675" w:hRule="atLeast"/>
        </w:trPr>
        <w:tc>
          <w:tcPr>
            <w:tcW w:w="579"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A33人力资源投入合理性（2分）</w:t>
            </w:r>
          </w:p>
        </w:tc>
        <w:tc>
          <w:tcPr>
            <w:tcW w:w="689"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用以反映部门核定人员的编制与部门工作内容的合理性</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通过问卷及访谈调研,分析人员的工作量和工作时长，视匹配情况得0-2分。</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人员编制文件、调研</w:t>
            </w:r>
          </w:p>
        </w:tc>
      </w:tr>
      <w:tr>
        <w:tblPrEx>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A34办公资源投入合理性（2分）</w:t>
            </w:r>
          </w:p>
        </w:tc>
        <w:tc>
          <w:tcPr>
            <w:tcW w:w="689"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用以反映部门现有办公资源能否满足部门日常工作需求。</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①办公资源经费保障充足，得1分；②办公资源配置合理，得1分。</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部门办公资源配置情况、调研等资料</w:t>
            </w:r>
          </w:p>
        </w:tc>
      </w:tr>
      <w:tr>
        <w:tblPrEx>
          <w:tblCellMar>
            <w:top w:w="0" w:type="dxa"/>
            <w:left w:w="108" w:type="dxa"/>
            <w:bottom w:w="0" w:type="dxa"/>
            <w:right w:w="108" w:type="dxa"/>
          </w:tblCellMar>
        </w:tblPrEx>
        <w:trPr>
          <w:trHeight w:val="1680" w:hRule="atLeast"/>
        </w:trPr>
        <w:tc>
          <w:tcPr>
            <w:tcW w:w="579"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A35重点项目资源分配合理性（3分）</w:t>
            </w:r>
          </w:p>
        </w:tc>
        <w:tc>
          <w:tcPr>
            <w:tcW w:w="689"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3</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部门本年度预算安排的重点项目支出与部门项目总支出的比率，用以反映和考核部门对履行主要职责或完成重点任务的保障程度。</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根据重点项目资源分配，对重点项目完成实施的保障程度进行评分。能够保障重点项目顺利实施、全面完成当年工作目标任务的得满分，每有一项重点项目因资金不足无法完成，按权重（3分）的1/3扣分，扣完为止。</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重点项目相关资料</w:t>
            </w:r>
          </w:p>
        </w:tc>
      </w:tr>
      <w:tr>
        <w:tblPrEx>
          <w:tblCellMar>
            <w:top w:w="0" w:type="dxa"/>
            <w:left w:w="108" w:type="dxa"/>
            <w:bottom w:w="0" w:type="dxa"/>
            <w:right w:w="108" w:type="dxa"/>
          </w:tblCellMar>
        </w:tblPrEx>
        <w:trPr>
          <w:trHeight w:val="1635" w:hRule="atLeast"/>
        </w:trPr>
        <w:tc>
          <w:tcPr>
            <w:tcW w:w="579" w:type="dxa"/>
            <w:vMerge w:val="restart"/>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B部门管理（20分）</w:t>
            </w:r>
          </w:p>
        </w:tc>
        <w:tc>
          <w:tcPr>
            <w:tcW w:w="981" w:type="dxa"/>
            <w:vMerge w:val="restart"/>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B1预算管理（7分）</w:t>
            </w:r>
          </w:p>
        </w:tc>
        <w:tc>
          <w:tcPr>
            <w:tcW w:w="1559"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B11基本支出预算执行率（1分）</w:t>
            </w:r>
          </w:p>
        </w:tc>
        <w:tc>
          <w:tcPr>
            <w:tcW w:w="689" w:type="dxa"/>
            <w:tcBorders>
              <w:top w:val="single" w:color="auto" w:sz="4" w:space="0"/>
              <w:left w:val="single" w:color="auto" w:sz="4" w:space="0"/>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050"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部门基本支出本年度决算数与预算数的比率，用以反映和考核部门（单位）基本支出预算执行程度。</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预算执行率=部门基本支出决算/部门基本支出预算×100%。决算数：部门本年度基本支出实际支出资金数。预算数：财政部门批复的本年度部门基本支出预算数以及当年批复的调整数。预算完成率≥95%得满分，未达到的每低于1%扣0.1分，扣完为止。</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基本支出预算批复，预算调整批复、预算编制等其他资料</w:t>
            </w:r>
          </w:p>
        </w:tc>
      </w:tr>
      <w:tr>
        <w:tblPrEx>
          <w:tblCellMar>
            <w:top w:w="0" w:type="dxa"/>
            <w:left w:w="108" w:type="dxa"/>
            <w:bottom w:w="0" w:type="dxa"/>
            <w:right w:w="108" w:type="dxa"/>
          </w:tblCellMar>
        </w:tblPrEx>
        <w:trPr>
          <w:trHeight w:val="1800"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B12项目支出预算执行率（4分）</w:t>
            </w:r>
          </w:p>
        </w:tc>
        <w:tc>
          <w:tcPr>
            <w:tcW w:w="689" w:type="dxa"/>
            <w:tcBorders>
              <w:top w:val="single" w:color="auto" w:sz="4" w:space="0"/>
              <w:left w:val="single" w:color="auto" w:sz="4" w:space="0"/>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3</w:t>
            </w:r>
          </w:p>
        </w:tc>
        <w:tc>
          <w:tcPr>
            <w:tcW w:w="2050"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部门项目支出本年度决算数与预算数的比率，用以反映和考核部门项目支出预算执行程度。</w:t>
            </w:r>
          </w:p>
        </w:tc>
        <w:tc>
          <w:tcPr>
            <w:tcW w:w="2846"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预算执行率=部门项目支出决算/部门项目支出预算×100%。决算数：部门（单位）本年度项目支出实际支出资金数。预算数：财政部门批复的本年度部门（单位）项目支出预算数以及当年批复的调整数。预算完成率≥95%得满分，每低于1%扣0.2分，扣完为止。</w:t>
            </w:r>
          </w:p>
        </w:tc>
        <w:tc>
          <w:tcPr>
            <w:tcW w:w="1361"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项目支出预算批复，预算调整批复、预算编制等其他资料</w:t>
            </w:r>
          </w:p>
        </w:tc>
      </w:tr>
      <w:tr>
        <w:tblPrEx>
          <w:tblCellMar>
            <w:top w:w="0" w:type="dxa"/>
            <w:left w:w="108" w:type="dxa"/>
            <w:bottom w:w="0" w:type="dxa"/>
            <w:right w:w="108" w:type="dxa"/>
          </w:tblCellMar>
        </w:tblPrEx>
        <w:trPr>
          <w:trHeight w:val="1800"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B13“三公经费”控制率（1分）</w:t>
            </w:r>
          </w:p>
        </w:tc>
        <w:tc>
          <w:tcPr>
            <w:tcW w:w="689" w:type="dxa"/>
            <w:tcBorders>
              <w:top w:val="single" w:color="auto" w:sz="4" w:space="0"/>
              <w:left w:val="single" w:color="auto" w:sz="4" w:space="0"/>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050"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部门本年度“三公”经费预算数与上年度“三公”经费预算数的变动比率，用以反映和考核部门（单位）对控制行政成本的努力程度。</w:t>
            </w:r>
          </w:p>
        </w:tc>
        <w:tc>
          <w:tcPr>
            <w:tcW w:w="2846"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三公”经费控制率=（本年度“三公”经费总额/上年度“三公”经费总额）×100%。“三公”经费：年度预算安排的因公出国（境）费、公务用车购置及运行费和公务接待费。三公经费控制率≤100%得满分，≥120%得0分，区间内按权重进行扣分。</w:t>
            </w:r>
          </w:p>
        </w:tc>
        <w:tc>
          <w:tcPr>
            <w:tcW w:w="1361"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三公经费使用情况</w:t>
            </w:r>
          </w:p>
        </w:tc>
      </w:tr>
      <w:tr>
        <w:tblPrEx>
          <w:tblCellMar>
            <w:top w:w="0" w:type="dxa"/>
            <w:left w:w="108" w:type="dxa"/>
            <w:bottom w:w="0" w:type="dxa"/>
            <w:right w:w="108" w:type="dxa"/>
          </w:tblCellMar>
        </w:tblPrEx>
        <w:trPr>
          <w:trHeight w:val="85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single" w:color="auto" w:sz="4" w:space="0"/>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B14预算调整情况（1分）</w:t>
            </w:r>
          </w:p>
        </w:tc>
        <w:tc>
          <w:tcPr>
            <w:tcW w:w="689" w:type="dxa"/>
            <w:tcBorders>
              <w:top w:val="single" w:color="auto" w:sz="4" w:space="0"/>
              <w:left w:val="nil"/>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050" w:type="dxa"/>
            <w:tcBorders>
              <w:top w:val="single" w:color="auto" w:sz="4" w:space="0"/>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用以反映预算单位是否根据年中预算实际执行情况及时合规进行预算调整。</w:t>
            </w:r>
          </w:p>
        </w:tc>
        <w:tc>
          <w:tcPr>
            <w:tcW w:w="2846" w:type="dxa"/>
            <w:tcBorders>
              <w:top w:val="single" w:color="auto" w:sz="4" w:space="0"/>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①根据年中预算执行情况及时申请预算调整，得0.5分；②按规定程序进行预算调整，得0.5分</w:t>
            </w:r>
          </w:p>
        </w:tc>
        <w:tc>
          <w:tcPr>
            <w:tcW w:w="1361" w:type="dxa"/>
            <w:tcBorders>
              <w:top w:val="single" w:color="auto" w:sz="4" w:space="0"/>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预算调整相关资料</w:t>
            </w:r>
          </w:p>
        </w:tc>
      </w:tr>
      <w:tr>
        <w:tblPrEx>
          <w:tblCellMar>
            <w:top w:w="0" w:type="dxa"/>
            <w:left w:w="108" w:type="dxa"/>
            <w:bottom w:w="0" w:type="dxa"/>
            <w:right w:w="108" w:type="dxa"/>
          </w:tblCellMar>
        </w:tblPrEx>
        <w:trPr>
          <w:trHeight w:val="1680"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restart"/>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B2财务管理（6分）</w:t>
            </w: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B21财务管理制度健全性及执行情况（1分）</w:t>
            </w:r>
          </w:p>
        </w:tc>
        <w:tc>
          <w:tcPr>
            <w:tcW w:w="689"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部门为加强预算管理、规范财务行为而制定的财务管理制度是否健全完整。用以反映和考核部门预算管理制度对完成主要职责或促进事业发展的保障情况。</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①是否已制定预算资金管理办法、内部财务管理制度、会计核算制度等管理制度，0.25分；②相关管理制度是否合法、合规、完整，0.25分；③相关管理制度是否得到有效执行，0.5分。</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财务管理相关制度及执行情况调研</w:t>
            </w:r>
          </w:p>
        </w:tc>
      </w:tr>
      <w:tr>
        <w:tblPrEx>
          <w:tblCellMar>
            <w:top w:w="0" w:type="dxa"/>
            <w:left w:w="108" w:type="dxa"/>
            <w:bottom w:w="0" w:type="dxa"/>
            <w:right w:w="108" w:type="dxa"/>
          </w:tblCellMar>
        </w:tblPrEx>
        <w:trPr>
          <w:trHeight w:val="220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B22资金使用合规性（4分）</w:t>
            </w:r>
          </w:p>
        </w:tc>
        <w:tc>
          <w:tcPr>
            <w:tcW w:w="689"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4</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部门使用预算资金是否符合相关财务管理制度的规定，用以反映和考核部门预算资金的规范运行情况。</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①符合国家财经法规和财务管理制度规定以及有关专项资金管理办法的规定,1分；②资金的拨付有完整的审批程序和手续，1分；③项目的重大开支经过专题论证，1分；④符合部门预算批复的用途，1分；⑤是否存在截留、挤占、挪用、虚列支出等情况，一旦存在该指标不得分。</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资金支出相关凭证、流程梳理等</w:t>
            </w:r>
          </w:p>
        </w:tc>
      </w:tr>
      <w:tr>
        <w:tblPrEx>
          <w:tblCellMar>
            <w:top w:w="0" w:type="dxa"/>
            <w:left w:w="108" w:type="dxa"/>
            <w:bottom w:w="0" w:type="dxa"/>
            <w:right w:w="108" w:type="dxa"/>
          </w:tblCellMar>
        </w:tblPrEx>
        <w:trPr>
          <w:trHeight w:val="112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B23财务监控的有效性（1分）</w:t>
            </w:r>
          </w:p>
        </w:tc>
        <w:tc>
          <w:tcPr>
            <w:tcW w:w="689"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用以反映部门财务监控监督工作的有效性，包括监控、监督措施的制定及执行等方面。</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①制定明确的财务监控监督措施，得0.5分；②监控、监督措施执行有效，得0.5分；</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财务监控监督相关办法及条款，实际执行情况资料</w:t>
            </w:r>
          </w:p>
        </w:tc>
      </w:tr>
      <w:tr>
        <w:tblPrEx>
          <w:tblCellMar>
            <w:top w:w="0" w:type="dxa"/>
            <w:left w:w="108" w:type="dxa"/>
            <w:bottom w:w="0" w:type="dxa"/>
            <w:right w:w="108" w:type="dxa"/>
          </w:tblCellMar>
        </w:tblPrEx>
        <w:trPr>
          <w:trHeight w:val="157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restart"/>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B3人力资源管理（2分）</w:t>
            </w:r>
          </w:p>
        </w:tc>
        <w:tc>
          <w:tcPr>
            <w:tcW w:w="1559"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B31在职人员控制率（1分）</w:t>
            </w:r>
          </w:p>
        </w:tc>
        <w:tc>
          <w:tcPr>
            <w:tcW w:w="689" w:type="dxa"/>
            <w:tcBorders>
              <w:top w:val="single" w:color="auto" w:sz="4" w:space="0"/>
              <w:left w:val="single" w:color="auto" w:sz="4" w:space="0"/>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050"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部门本年度实际在职人员数与编制数的比率，用以反映和考核部门对人员成本的控制程度。</w:t>
            </w:r>
          </w:p>
        </w:tc>
        <w:tc>
          <w:tcPr>
            <w:tcW w:w="2846"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在职人员控制率=（在职人员数/编制数）×100%。在职人员数：部门（单位）实际在职人数，以财政部门确定的部门决算编制口径为准。编制数：机构编制部门核定批复的部门人员编制数。在职人员控制率≤100%得满分，有超出不得分。</w:t>
            </w:r>
          </w:p>
        </w:tc>
        <w:tc>
          <w:tcPr>
            <w:tcW w:w="1361"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部门编制数、在职人数、年内变化情况</w:t>
            </w:r>
          </w:p>
        </w:tc>
      </w:tr>
      <w:tr>
        <w:tblPrEx>
          <w:tblCellMar>
            <w:top w:w="0" w:type="dxa"/>
            <w:left w:w="108" w:type="dxa"/>
            <w:bottom w:w="0" w:type="dxa"/>
            <w:right w:w="108" w:type="dxa"/>
          </w:tblCellMar>
        </w:tblPrEx>
        <w:trPr>
          <w:trHeight w:val="124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B32人力资源管理执行情况（1分）</w:t>
            </w:r>
          </w:p>
        </w:tc>
        <w:tc>
          <w:tcPr>
            <w:tcW w:w="689" w:type="dxa"/>
            <w:tcBorders>
              <w:top w:val="single" w:color="auto" w:sz="4" w:space="0"/>
              <w:left w:val="single" w:color="auto" w:sz="4" w:space="0"/>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050"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考察部门人力资源管理的健全性及执行规范性，包括在编、派遣、临时员工的管理，包括招聘、培训、工资发放及考核等。</w:t>
            </w:r>
          </w:p>
        </w:tc>
        <w:tc>
          <w:tcPr>
            <w:tcW w:w="2846"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①有具体的人力资源管理制度文件或参照文件，得0.5分；②严格按照相关文件对各类型人员进行管理和考核，得0.5分</w:t>
            </w:r>
          </w:p>
        </w:tc>
        <w:tc>
          <w:tcPr>
            <w:tcW w:w="1361"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人力资源管理相关文件及实施情况</w:t>
            </w:r>
          </w:p>
        </w:tc>
      </w:tr>
      <w:tr>
        <w:tblPrEx>
          <w:tblCellMar>
            <w:top w:w="0" w:type="dxa"/>
            <w:left w:w="108" w:type="dxa"/>
            <w:bottom w:w="0" w:type="dxa"/>
            <w:right w:w="108" w:type="dxa"/>
          </w:tblCellMar>
        </w:tblPrEx>
        <w:trPr>
          <w:trHeight w:val="166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restart"/>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B4资产管理（2分）</w:t>
            </w:r>
          </w:p>
        </w:tc>
        <w:tc>
          <w:tcPr>
            <w:tcW w:w="1559"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B41资产管理制度健全性及执行情况（1分）</w:t>
            </w:r>
          </w:p>
        </w:tc>
        <w:tc>
          <w:tcPr>
            <w:tcW w:w="689" w:type="dxa"/>
            <w:tcBorders>
              <w:top w:val="single" w:color="auto" w:sz="4" w:space="0"/>
              <w:left w:val="single" w:color="auto" w:sz="4" w:space="0"/>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050"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部门为加强资产管理、规范资产使用而制定的资产管理制度是否健全完整，用以反映和考核部门资产管理制度对完成主要职责或促进事业发展的保障情况。</w:t>
            </w:r>
          </w:p>
        </w:tc>
        <w:tc>
          <w:tcPr>
            <w:tcW w:w="2846"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①是否已制定或具有固定资产管理办法、资产使用办法等管理制度，得0.25分；②相关管理制度是否合法、合规、完整，得0.25分；③相关管理制度是否得到有效执行，得0.5分。</w:t>
            </w:r>
          </w:p>
        </w:tc>
        <w:tc>
          <w:tcPr>
            <w:tcW w:w="1361"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资产管理相关办法</w:t>
            </w:r>
          </w:p>
        </w:tc>
      </w:tr>
      <w:tr>
        <w:tblPrEx>
          <w:tblCellMar>
            <w:top w:w="0" w:type="dxa"/>
            <w:left w:w="108" w:type="dxa"/>
            <w:bottom w:w="0" w:type="dxa"/>
            <w:right w:w="108" w:type="dxa"/>
          </w:tblCellMar>
        </w:tblPrEx>
        <w:trPr>
          <w:trHeight w:val="1260"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single" w:color="auto" w:sz="4" w:space="0"/>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B42固定资产在用率（1分）</w:t>
            </w:r>
          </w:p>
        </w:tc>
        <w:tc>
          <w:tcPr>
            <w:tcW w:w="689" w:type="dxa"/>
            <w:tcBorders>
              <w:top w:val="single" w:color="auto" w:sz="4" w:space="0"/>
              <w:left w:val="nil"/>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050" w:type="dxa"/>
            <w:tcBorders>
              <w:top w:val="single" w:color="auto" w:sz="4" w:space="0"/>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部门实际在用固定资产总额与所有固定资产总额的比率，用以反映和考核部门固定资产使用效率及程度。</w:t>
            </w:r>
          </w:p>
        </w:tc>
        <w:tc>
          <w:tcPr>
            <w:tcW w:w="2846" w:type="dxa"/>
            <w:tcBorders>
              <w:top w:val="single" w:color="auto" w:sz="4" w:space="0"/>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固定资产在用率=（实际在用固定资产总额/所有固定资产总额）×100%。固定资产在用率达到95%以上得满分.每降低1%扣权重分（1分）的5%，扣完为止。</w:t>
            </w:r>
          </w:p>
        </w:tc>
        <w:tc>
          <w:tcPr>
            <w:tcW w:w="1361" w:type="dxa"/>
            <w:tcBorders>
              <w:top w:val="single" w:color="auto" w:sz="4" w:space="0"/>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固定资产卡片、固定资产使用信息等</w:t>
            </w:r>
          </w:p>
        </w:tc>
      </w:tr>
      <w:tr>
        <w:tblPrEx>
          <w:tblCellMar>
            <w:top w:w="0" w:type="dxa"/>
            <w:left w:w="108" w:type="dxa"/>
            <w:bottom w:w="0" w:type="dxa"/>
            <w:right w:w="108" w:type="dxa"/>
          </w:tblCellMar>
        </w:tblPrEx>
        <w:trPr>
          <w:trHeight w:val="142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restart"/>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B5业务管理（3分）</w:t>
            </w: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B51业务管理制度健全性及执行情况（1分）</w:t>
            </w:r>
          </w:p>
        </w:tc>
        <w:tc>
          <w:tcPr>
            <w:tcW w:w="689"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部门为加强业务管理、规范业务执行而制定的管理制度是否健全完整，用以反映和考核部门业务管理制度对完成主要职责或促进事业发展的保障情况。</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①已制定或具有业务管理、项目管理等管理制度，得0.25分；②相关管理制度合法、合规、完整，得0.25分；③相关管理制度得到有效执行，得0.5分。</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业务管理相关办法及执行情况资料</w:t>
            </w:r>
          </w:p>
        </w:tc>
      </w:tr>
      <w:tr>
        <w:tblPrEx>
          <w:tblCellMar>
            <w:top w:w="0" w:type="dxa"/>
            <w:left w:w="108" w:type="dxa"/>
            <w:bottom w:w="0" w:type="dxa"/>
            <w:right w:w="108" w:type="dxa"/>
          </w:tblCellMar>
        </w:tblPrEx>
        <w:trPr>
          <w:trHeight w:val="79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B52政府采购规范性（1分）</w:t>
            </w:r>
          </w:p>
        </w:tc>
        <w:tc>
          <w:tcPr>
            <w:tcW w:w="689"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考察政府采购项目的采购程序、采购方式的规范性</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①政府采购方式、程序都规范，得满分；②采购方式、程序中每有一点不规范，扣0.5分，扣完为止。</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政府采购相关资料</w:t>
            </w:r>
          </w:p>
        </w:tc>
      </w:tr>
      <w:tr>
        <w:tblPrEx>
          <w:tblCellMar>
            <w:top w:w="0" w:type="dxa"/>
            <w:left w:w="108" w:type="dxa"/>
            <w:bottom w:w="0" w:type="dxa"/>
            <w:right w:w="108" w:type="dxa"/>
          </w:tblCellMar>
        </w:tblPrEx>
        <w:trPr>
          <w:trHeight w:val="79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B53监督考核情况（1分）</w:t>
            </w:r>
          </w:p>
        </w:tc>
        <w:tc>
          <w:tcPr>
            <w:tcW w:w="689"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考察部门是否对各所属单位或项目实施主体进行工作监督和定期考核。</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有定期指导记录、考核结果，得1分，缺少项视情况酌情进行扣分。</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监督考核记录等</w:t>
            </w:r>
          </w:p>
        </w:tc>
      </w:tr>
      <w:tr>
        <w:tblPrEx>
          <w:tblCellMar>
            <w:top w:w="0" w:type="dxa"/>
            <w:left w:w="108" w:type="dxa"/>
            <w:bottom w:w="0" w:type="dxa"/>
            <w:right w:w="108" w:type="dxa"/>
          </w:tblCellMar>
        </w:tblPrEx>
        <w:trPr>
          <w:trHeight w:val="1215" w:hRule="atLeast"/>
        </w:trPr>
        <w:tc>
          <w:tcPr>
            <w:tcW w:w="579" w:type="dxa"/>
            <w:vMerge w:val="restart"/>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C部门绩效（45分）</w:t>
            </w:r>
          </w:p>
        </w:tc>
        <w:tc>
          <w:tcPr>
            <w:tcW w:w="981" w:type="dxa"/>
            <w:vMerge w:val="restart"/>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C1部门产出（18分）</w:t>
            </w:r>
          </w:p>
        </w:tc>
        <w:tc>
          <w:tcPr>
            <w:tcW w:w="1559" w:type="dxa"/>
            <w:tcBorders>
              <w:top w:val="single" w:color="auto" w:sz="4" w:space="0"/>
              <w:left w:val="single" w:color="auto" w:sz="4" w:space="0"/>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C11房屋管理完成情况（3分）</w:t>
            </w:r>
          </w:p>
        </w:tc>
        <w:tc>
          <w:tcPr>
            <w:tcW w:w="68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rPr>
              <w:t>3</w:t>
            </w:r>
          </w:p>
        </w:tc>
        <w:tc>
          <w:tcPr>
            <w:tcW w:w="2050" w:type="dxa"/>
            <w:tcBorders>
              <w:top w:val="single" w:color="auto" w:sz="4" w:space="0"/>
              <w:left w:val="single" w:color="auto" w:sz="4" w:space="0"/>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考察完成房屋管理工作情况。</w:t>
            </w:r>
          </w:p>
        </w:tc>
        <w:tc>
          <w:tcPr>
            <w:tcW w:w="2846" w:type="dxa"/>
            <w:tcBorders>
              <w:top w:val="single" w:color="auto" w:sz="4" w:space="0"/>
              <w:left w:val="single" w:color="auto" w:sz="4" w:space="0"/>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完成房屋管理工作的得3分</w:t>
            </w:r>
          </w:p>
        </w:tc>
        <w:tc>
          <w:tcPr>
            <w:tcW w:w="1361" w:type="dxa"/>
            <w:tcBorders>
              <w:top w:val="single" w:color="auto" w:sz="4" w:space="0"/>
              <w:left w:val="single" w:color="auto" w:sz="4" w:space="0"/>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查看工作资料</w:t>
            </w:r>
          </w:p>
        </w:tc>
      </w:tr>
      <w:tr>
        <w:tblPrEx>
          <w:tblCellMar>
            <w:top w:w="0" w:type="dxa"/>
            <w:left w:w="108" w:type="dxa"/>
            <w:bottom w:w="0" w:type="dxa"/>
            <w:right w:w="108" w:type="dxa"/>
          </w:tblCellMar>
        </w:tblPrEx>
        <w:trPr>
          <w:trHeight w:val="810"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single" w:color="auto" w:sz="4" w:space="0"/>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C12节能工作完成情况（2分）</w:t>
            </w:r>
          </w:p>
        </w:tc>
        <w:tc>
          <w:tcPr>
            <w:tcW w:w="689"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rPr>
              <w:t>2</w:t>
            </w:r>
          </w:p>
        </w:tc>
        <w:tc>
          <w:tcPr>
            <w:tcW w:w="2050" w:type="dxa"/>
            <w:tcBorders>
              <w:top w:val="single" w:color="auto" w:sz="4" w:space="0"/>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考察节能工作完成情况</w:t>
            </w:r>
          </w:p>
        </w:tc>
        <w:tc>
          <w:tcPr>
            <w:tcW w:w="2846" w:type="dxa"/>
            <w:tcBorders>
              <w:top w:val="single" w:color="auto" w:sz="4" w:space="0"/>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节能宣传周工作完成情况</w:t>
            </w:r>
          </w:p>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节能部署考核工作完成率</w:t>
            </w:r>
          </w:p>
        </w:tc>
        <w:tc>
          <w:tcPr>
            <w:tcW w:w="1361" w:type="dxa"/>
            <w:tcBorders>
              <w:top w:val="single" w:color="auto" w:sz="4" w:space="0"/>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查看工作资料</w:t>
            </w:r>
          </w:p>
        </w:tc>
      </w:tr>
      <w:tr>
        <w:tblPrEx>
          <w:tblCellMar>
            <w:top w:w="0" w:type="dxa"/>
            <w:left w:w="108" w:type="dxa"/>
            <w:bottom w:w="0" w:type="dxa"/>
            <w:right w:w="108" w:type="dxa"/>
          </w:tblCellMar>
        </w:tblPrEx>
        <w:trPr>
          <w:trHeight w:val="900"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C13公务用车管理工作完成情况（2分）</w:t>
            </w:r>
          </w:p>
        </w:tc>
        <w:tc>
          <w:tcPr>
            <w:tcW w:w="689" w:type="dxa"/>
            <w:tcBorders>
              <w:top w:val="nil"/>
              <w:left w:val="nil"/>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rPr>
              <w:t>2</w:t>
            </w:r>
          </w:p>
        </w:tc>
        <w:tc>
          <w:tcPr>
            <w:tcW w:w="2050"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考察公务用车管理工作完成情况</w:t>
            </w:r>
          </w:p>
        </w:tc>
        <w:tc>
          <w:tcPr>
            <w:tcW w:w="2846"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公务用车运行维护工作完成率</w:t>
            </w:r>
          </w:p>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车辆年审工作完成率</w:t>
            </w:r>
          </w:p>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行车安全教育培训完成率</w:t>
            </w:r>
          </w:p>
        </w:tc>
        <w:tc>
          <w:tcPr>
            <w:tcW w:w="1361"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查看工作资料</w:t>
            </w:r>
          </w:p>
        </w:tc>
      </w:tr>
      <w:tr>
        <w:tblPrEx>
          <w:tblCellMar>
            <w:top w:w="0" w:type="dxa"/>
            <w:left w:w="108" w:type="dxa"/>
            <w:bottom w:w="0" w:type="dxa"/>
            <w:right w:w="108" w:type="dxa"/>
          </w:tblCellMar>
        </w:tblPrEx>
        <w:trPr>
          <w:trHeight w:val="900"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C14维修工作完成情况（2分）</w:t>
            </w:r>
          </w:p>
        </w:tc>
        <w:tc>
          <w:tcPr>
            <w:tcW w:w="689" w:type="dxa"/>
            <w:tcBorders>
              <w:top w:val="nil"/>
              <w:left w:val="nil"/>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rPr>
              <w:t>2</w:t>
            </w:r>
          </w:p>
        </w:tc>
        <w:tc>
          <w:tcPr>
            <w:tcW w:w="2050"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考察维修工作完成情况</w:t>
            </w:r>
          </w:p>
        </w:tc>
        <w:tc>
          <w:tcPr>
            <w:tcW w:w="2846"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考察各类会议保障的完成情况，按照权重分*完成率进行打分</w:t>
            </w:r>
          </w:p>
        </w:tc>
        <w:tc>
          <w:tcPr>
            <w:tcW w:w="1361"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维修工作实施资料、实施效果</w:t>
            </w:r>
          </w:p>
        </w:tc>
      </w:tr>
      <w:tr>
        <w:tblPrEx>
          <w:tblCellMar>
            <w:top w:w="0" w:type="dxa"/>
            <w:left w:w="108" w:type="dxa"/>
            <w:bottom w:w="0" w:type="dxa"/>
            <w:right w:w="108" w:type="dxa"/>
          </w:tblCellMar>
        </w:tblPrEx>
        <w:trPr>
          <w:trHeight w:val="900"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C15安保服务工作完成情况（2分）</w:t>
            </w:r>
          </w:p>
        </w:tc>
        <w:tc>
          <w:tcPr>
            <w:tcW w:w="689" w:type="dxa"/>
            <w:tcBorders>
              <w:top w:val="nil"/>
              <w:left w:val="nil"/>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rPr>
              <w:t>2</w:t>
            </w:r>
          </w:p>
        </w:tc>
        <w:tc>
          <w:tcPr>
            <w:tcW w:w="2050"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考察安保服务工作2工作成效</w:t>
            </w:r>
          </w:p>
        </w:tc>
        <w:tc>
          <w:tcPr>
            <w:tcW w:w="2846"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应急突发事件处理率</w:t>
            </w:r>
          </w:p>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安防保障情况</w:t>
            </w:r>
          </w:p>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消防安全保障情况</w:t>
            </w:r>
          </w:p>
        </w:tc>
        <w:tc>
          <w:tcPr>
            <w:tcW w:w="1361"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安保工作计划及完成情况，完成效果</w:t>
            </w:r>
          </w:p>
        </w:tc>
      </w:tr>
      <w:tr>
        <w:tblPrEx>
          <w:tblCellMar>
            <w:top w:w="0" w:type="dxa"/>
            <w:left w:w="108" w:type="dxa"/>
            <w:bottom w:w="0" w:type="dxa"/>
            <w:right w:w="108" w:type="dxa"/>
          </w:tblCellMar>
        </w:tblPrEx>
        <w:trPr>
          <w:trHeight w:val="1020"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C16保洁绿化管养服务工作完成情况（2分）</w:t>
            </w:r>
          </w:p>
        </w:tc>
        <w:tc>
          <w:tcPr>
            <w:tcW w:w="689" w:type="dxa"/>
            <w:tcBorders>
              <w:top w:val="nil"/>
              <w:left w:val="nil"/>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rPr>
              <w:t>2</w:t>
            </w:r>
          </w:p>
        </w:tc>
        <w:tc>
          <w:tcPr>
            <w:tcW w:w="2050"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考察保洁绿化管养服务工作完成情况</w:t>
            </w:r>
          </w:p>
        </w:tc>
        <w:tc>
          <w:tcPr>
            <w:tcW w:w="2846"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绿化管养服务工作完成情况</w:t>
            </w:r>
          </w:p>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绿化管养服务满意度</w:t>
            </w:r>
          </w:p>
        </w:tc>
        <w:tc>
          <w:tcPr>
            <w:tcW w:w="1361"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查看工作资料</w:t>
            </w:r>
          </w:p>
        </w:tc>
      </w:tr>
      <w:tr>
        <w:tblPrEx>
          <w:tblCellMar>
            <w:top w:w="0" w:type="dxa"/>
            <w:left w:w="108" w:type="dxa"/>
            <w:bottom w:w="0" w:type="dxa"/>
            <w:right w:w="108" w:type="dxa"/>
          </w:tblCellMar>
        </w:tblPrEx>
        <w:trPr>
          <w:trHeight w:val="1261"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C17食堂餐饮服务完成情况（2分）</w:t>
            </w:r>
          </w:p>
        </w:tc>
        <w:tc>
          <w:tcPr>
            <w:tcW w:w="689" w:type="dxa"/>
            <w:tcBorders>
              <w:top w:val="nil"/>
              <w:left w:val="nil"/>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lang w:val="en-US" w:eastAsia="zh-CN"/>
              </w:rPr>
              <w:t>1</w:t>
            </w:r>
          </w:p>
        </w:tc>
        <w:tc>
          <w:tcPr>
            <w:tcW w:w="2050"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考核食堂餐饮服务完成情况</w:t>
            </w:r>
          </w:p>
        </w:tc>
        <w:tc>
          <w:tcPr>
            <w:tcW w:w="2846"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食品采购情况；食品安全管理；</w:t>
            </w:r>
          </w:p>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就餐人员情况；服务人员管理</w:t>
            </w:r>
          </w:p>
        </w:tc>
        <w:tc>
          <w:tcPr>
            <w:tcW w:w="1361"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查看工作资料</w:t>
            </w:r>
          </w:p>
        </w:tc>
      </w:tr>
      <w:tr>
        <w:tblPrEx>
          <w:tblCellMar>
            <w:top w:w="0" w:type="dxa"/>
            <w:left w:w="108" w:type="dxa"/>
            <w:bottom w:w="0" w:type="dxa"/>
            <w:right w:w="108" w:type="dxa"/>
          </w:tblCellMar>
        </w:tblPrEx>
        <w:trPr>
          <w:trHeight w:val="190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C18水电运行保障情况（2分）</w:t>
            </w:r>
          </w:p>
        </w:tc>
        <w:tc>
          <w:tcPr>
            <w:tcW w:w="689" w:type="dxa"/>
            <w:tcBorders>
              <w:top w:val="nil"/>
              <w:left w:val="nil"/>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rPr>
              <w:t>2</w:t>
            </w:r>
          </w:p>
        </w:tc>
        <w:tc>
          <w:tcPr>
            <w:tcW w:w="2050"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考核水电运行保障情况</w:t>
            </w:r>
          </w:p>
        </w:tc>
        <w:tc>
          <w:tcPr>
            <w:tcW w:w="2846"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水电费交纳情况</w:t>
            </w:r>
          </w:p>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水电设备正常运行情况</w:t>
            </w:r>
          </w:p>
        </w:tc>
        <w:tc>
          <w:tcPr>
            <w:tcW w:w="1361"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查看工作资料</w:t>
            </w:r>
          </w:p>
        </w:tc>
      </w:tr>
      <w:tr>
        <w:tblPrEx>
          <w:tblCellMar>
            <w:top w:w="0" w:type="dxa"/>
            <w:left w:w="108" w:type="dxa"/>
            <w:bottom w:w="0" w:type="dxa"/>
            <w:right w:w="108" w:type="dxa"/>
          </w:tblCellMar>
        </w:tblPrEx>
        <w:trPr>
          <w:trHeight w:val="190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C19机关爱卫工作完成情况</w:t>
            </w:r>
          </w:p>
        </w:tc>
        <w:tc>
          <w:tcPr>
            <w:tcW w:w="689" w:type="dxa"/>
            <w:tcBorders>
              <w:top w:val="nil"/>
              <w:left w:val="nil"/>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rPr>
              <w:t>2</w:t>
            </w:r>
          </w:p>
        </w:tc>
        <w:tc>
          <w:tcPr>
            <w:tcW w:w="2050"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考核机关爱卫工作完成情况</w:t>
            </w:r>
          </w:p>
        </w:tc>
        <w:tc>
          <w:tcPr>
            <w:tcW w:w="2846"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病媒生物防治情况</w:t>
            </w:r>
          </w:p>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学习宣传情况</w:t>
            </w:r>
          </w:p>
        </w:tc>
        <w:tc>
          <w:tcPr>
            <w:tcW w:w="1361"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查看工作资料</w:t>
            </w:r>
          </w:p>
        </w:tc>
      </w:tr>
      <w:tr>
        <w:tblPrEx>
          <w:tblCellMar>
            <w:top w:w="0" w:type="dxa"/>
            <w:left w:w="108" w:type="dxa"/>
            <w:bottom w:w="0" w:type="dxa"/>
            <w:right w:w="108" w:type="dxa"/>
          </w:tblCellMar>
        </w:tblPrEx>
        <w:trPr>
          <w:trHeight w:val="190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C110文件报刊收工作完成情况</w:t>
            </w:r>
          </w:p>
        </w:tc>
        <w:tc>
          <w:tcPr>
            <w:tcW w:w="68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rPr>
              <w:t>2</w:t>
            </w:r>
          </w:p>
        </w:tc>
        <w:tc>
          <w:tcPr>
            <w:tcW w:w="2050" w:type="dxa"/>
            <w:tcBorders>
              <w:top w:val="single" w:color="auto" w:sz="4" w:space="0"/>
              <w:left w:val="single" w:color="auto" w:sz="4" w:space="0"/>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考核文件报刊收发工作完成情况</w:t>
            </w:r>
          </w:p>
        </w:tc>
        <w:tc>
          <w:tcPr>
            <w:tcW w:w="2846" w:type="dxa"/>
            <w:tcBorders>
              <w:top w:val="single" w:color="auto" w:sz="4" w:space="0"/>
              <w:left w:val="single" w:color="auto" w:sz="4" w:space="0"/>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文件报刊收发情况</w:t>
            </w:r>
          </w:p>
        </w:tc>
        <w:tc>
          <w:tcPr>
            <w:tcW w:w="1361" w:type="dxa"/>
            <w:tcBorders>
              <w:top w:val="single" w:color="auto" w:sz="4" w:space="0"/>
              <w:left w:val="single" w:color="auto" w:sz="4" w:space="0"/>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查看工作资料</w:t>
            </w:r>
          </w:p>
        </w:tc>
      </w:tr>
      <w:tr>
        <w:tblPrEx>
          <w:tblCellMar>
            <w:top w:w="0" w:type="dxa"/>
            <w:left w:w="108" w:type="dxa"/>
            <w:bottom w:w="0" w:type="dxa"/>
            <w:right w:w="108" w:type="dxa"/>
          </w:tblCellMar>
        </w:tblPrEx>
        <w:trPr>
          <w:trHeight w:val="190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C111会议服务工作完成情况</w:t>
            </w:r>
          </w:p>
        </w:tc>
        <w:tc>
          <w:tcPr>
            <w:tcW w:w="68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rPr>
              <w:t>2</w:t>
            </w:r>
          </w:p>
        </w:tc>
        <w:tc>
          <w:tcPr>
            <w:tcW w:w="2050" w:type="dxa"/>
            <w:tcBorders>
              <w:top w:val="single" w:color="auto" w:sz="4" w:space="0"/>
              <w:left w:val="single" w:color="auto" w:sz="4" w:space="0"/>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会议服务工作完成情况</w:t>
            </w:r>
          </w:p>
        </w:tc>
        <w:tc>
          <w:tcPr>
            <w:tcW w:w="2846" w:type="dxa"/>
            <w:tcBorders>
              <w:top w:val="single" w:color="auto" w:sz="4" w:space="0"/>
              <w:left w:val="single" w:color="auto" w:sz="4" w:space="0"/>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会议设备运行情况</w:t>
            </w:r>
          </w:p>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会议保障情况</w:t>
            </w:r>
          </w:p>
        </w:tc>
        <w:tc>
          <w:tcPr>
            <w:tcW w:w="1361" w:type="dxa"/>
            <w:tcBorders>
              <w:top w:val="single" w:color="auto" w:sz="4" w:space="0"/>
              <w:left w:val="single" w:color="auto" w:sz="4" w:space="0"/>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查看工作资料</w:t>
            </w:r>
          </w:p>
        </w:tc>
      </w:tr>
      <w:tr>
        <w:tblPrEx>
          <w:tblCellMar>
            <w:top w:w="0" w:type="dxa"/>
            <w:left w:w="108" w:type="dxa"/>
            <w:bottom w:w="0" w:type="dxa"/>
            <w:right w:w="108" w:type="dxa"/>
          </w:tblCellMar>
        </w:tblPrEx>
        <w:trPr>
          <w:trHeight w:val="145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restart"/>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C2部门效果（21分）</w:t>
            </w:r>
          </w:p>
        </w:tc>
        <w:tc>
          <w:tcPr>
            <w:tcW w:w="1559" w:type="dxa"/>
            <w:tcBorders>
              <w:top w:val="single" w:color="auto" w:sz="4" w:space="0"/>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C21设施设备维修服务满意度（2分）</w:t>
            </w:r>
          </w:p>
        </w:tc>
        <w:tc>
          <w:tcPr>
            <w:tcW w:w="689"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rPr>
              <w:t>2</w:t>
            </w:r>
          </w:p>
        </w:tc>
        <w:tc>
          <w:tcPr>
            <w:tcW w:w="2050" w:type="dxa"/>
            <w:tcBorders>
              <w:top w:val="single" w:color="auto" w:sz="4" w:space="0"/>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lang w:eastAsia="zh-CN"/>
              </w:rPr>
            </w:pPr>
            <w:r>
              <w:rPr>
                <w:rFonts w:hint="eastAsia" w:asciiTheme="minorEastAsia" w:hAnsiTheme="minorEastAsia" w:eastAsiaTheme="minorEastAsia" w:cstheme="minorEastAsia"/>
                <w:color w:val="000000"/>
                <w:kern w:val="0"/>
                <w:sz w:val="18"/>
                <w:szCs w:val="18"/>
              </w:rPr>
              <w:t>考察工作服务对象满意度</w:t>
            </w:r>
          </w:p>
        </w:tc>
        <w:tc>
          <w:tcPr>
            <w:tcW w:w="2846" w:type="dxa"/>
            <w:tcBorders>
              <w:top w:val="single" w:color="auto" w:sz="4" w:space="0"/>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社会公众和服务对象对设施设备维修服务满意度≥90%得2分</w:t>
            </w:r>
          </w:p>
        </w:tc>
        <w:tc>
          <w:tcPr>
            <w:tcW w:w="1361" w:type="dxa"/>
            <w:tcBorders>
              <w:top w:val="single" w:color="auto" w:sz="4" w:space="0"/>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lang w:eastAsia="zh-CN"/>
              </w:rPr>
            </w:pPr>
            <w:r>
              <w:rPr>
                <w:rFonts w:hint="eastAsia" w:asciiTheme="minorEastAsia" w:hAnsiTheme="minorEastAsia" w:eastAsiaTheme="minorEastAsia" w:cstheme="minorEastAsia"/>
                <w:color w:val="000000"/>
                <w:kern w:val="0"/>
                <w:sz w:val="18"/>
                <w:szCs w:val="18"/>
              </w:rPr>
              <w:t>问卷调查、访谈</w:t>
            </w:r>
          </w:p>
        </w:tc>
      </w:tr>
      <w:tr>
        <w:tblPrEx>
          <w:tblCellMar>
            <w:top w:w="0" w:type="dxa"/>
            <w:left w:w="108" w:type="dxa"/>
            <w:bottom w:w="0" w:type="dxa"/>
            <w:right w:w="108" w:type="dxa"/>
          </w:tblCellMar>
        </w:tblPrEx>
        <w:trPr>
          <w:trHeight w:val="76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C22车辆服务满意度（2分）</w:t>
            </w:r>
          </w:p>
        </w:tc>
        <w:tc>
          <w:tcPr>
            <w:tcW w:w="689" w:type="dxa"/>
            <w:tcBorders>
              <w:top w:val="nil"/>
              <w:left w:val="nil"/>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rPr>
              <w:t>2</w:t>
            </w:r>
          </w:p>
        </w:tc>
        <w:tc>
          <w:tcPr>
            <w:tcW w:w="2050"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考察工作服务对象满意度</w:t>
            </w:r>
          </w:p>
        </w:tc>
        <w:tc>
          <w:tcPr>
            <w:tcW w:w="2846"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社会公众和服务对象对设施设备维修服务满意度≥90%得2分</w:t>
            </w:r>
          </w:p>
        </w:tc>
        <w:tc>
          <w:tcPr>
            <w:tcW w:w="1361"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问卷调查、访谈</w:t>
            </w:r>
          </w:p>
        </w:tc>
      </w:tr>
      <w:tr>
        <w:tblPrEx>
          <w:tblCellMar>
            <w:top w:w="0" w:type="dxa"/>
            <w:left w:w="108" w:type="dxa"/>
            <w:bottom w:w="0" w:type="dxa"/>
            <w:right w:w="108" w:type="dxa"/>
          </w:tblCellMar>
        </w:tblPrEx>
        <w:trPr>
          <w:trHeight w:val="67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C23安保服务满意度（2分）</w:t>
            </w:r>
          </w:p>
        </w:tc>
        <w:tc>
          <w:tcPr>
            <w:tcW w:w="689" w:type="dxa"/>
            <w:tcBorders>
              <w:top w:val="nil"/>
              <w:left w:val="nil"/>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rPr>
              <w:t>2</w:t>
            </w:r>
          </w:p>
        </w:tc>
        <w:tc>
          <w:tcPr>
            <w:tcW w:w="2050"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考察工作服务对象满意度</w:t>
            </w:r>
          </w:p>
        </w:tc>
        <w:tc>
          <w:tcPr>
            <w:tcW w:w="2846"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社会公众和服务对象对设施设备维修服务满意度≥90%得2分</w:t>
            </w:r>
          </w:p>
        </w:tc>
        <w:tc>
          <w:tcPr>
            <w:tcW w:w="1361"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问卷调查、访谈</w:t>
            </w:r>
          </w:p>
        </w:tc>
      </w:tr>
      <w:tr>
        <w:tblPrEx>
          <w:tblCellMar>
            <w:top w:w="0" w:type="dxa"/>
            <w:left w:w="108" w:type="dxa"/>
            <w:bottom w:w="0" w:type="dxa"/>
            <w:right w:w="108" w:type="dxa"/>
          </w:tblCellMar>
        </w:tblPrEx>
        <w:trPr>
          <w:trHeight w:val="145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C24绿化卫生保洁服务满意度（2分）</w:t>
            </w:r>
          </w:p>
        </w:tc>
        <w:tc>
          <w:tcPr>
            <w:tcW w:w="689" w:type="dxa"/>
            <w:tcBorders>
              <w:top w:val="nil"/>
              <w:left w:val="nil"/>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rPr>
              <w:t>2</w:t>
            </w:r>
          </w:p>
        </w:tc>
        <w:tc>
          <w:tcPr>
            <w:tcW w:w="2050"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考察工作服务对象满意度</w:t>
            </w:r>
          </w:p>
        </w:tc>
        <w:tc>
          <w:tcPr>
            <w:tcW w:w="2846"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社会公众和服务对象对设施设备维修服务满意度≥90%得2分</w:t>
            </w:r>
          </w:p>
        </w:tc>
        <w:tc>
          <w:tcPr>
            <w:tcW w:w="1361"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问卷调查、访谈</w:t>
            </w:r>
          </w:p>
        </w:tc>
      </w:tr>
      <w:tr>
        <w:tblPrEx>
          <w:tblCellMar>
            <w:top w:w="0" w:type="dxa"/>
            <w:left w:w="108" w:type="dxa"/>
            <w:bottom w:w="0" w:type="dxa"/>
            <w:right w:w="108" w:type="dxa"/>
          </w:tblCellMar>
        </w:tblPrEx>
        <w:trPr>
          <w:trHeight w:val="1020"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C25会议服务好评率（2分）</w:t>
            </w:r>
          </w:p>
        </w:tc>
        <w:tc>
          <w:tcPr>
            <w:tcW w:w="689" w:type="dxa"/>
            <w:tcBorders>
              <w:top w:val="nil"/>
              <w:left w:val="nil"/>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rPr>
              <w:t>2</w:t>
            </w:r>
          </w:p>
        </w:tc>
        <w:tc>
          <w:tcPr>
            <w:tcW w:w="2050"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考察工作服务对象满意度</w:t>
            </w:r>
          </w:p>
        </w:tc>
        <w:tc>
          <w:tcPr>
            <w:tcW w:w="2846"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社会公众和服务对象对设施设备维修服务满意度≥90%得2分</w:t>
            </w:r>
          </w:p>
        </w:tc>
        <w:tc>
          <w:tcPr>
            <w:tcW w:w="1361"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问卷调查、访谈</w:t>
            </w:r>
          </w:p>
        </w:tc>
      </w:tr>
      <w:tr>
        <w:tblPrEx>
          <w:tblCellMar>
            <w:top w:w="0" w:type="dxa"/>
            <w:left w:w="108" w:type="dxa"/>
            <w:bottom w:w="0" w:type="dxa"/>
            <w:right w:w="108" w:type="dxa"/>
          </w:tblCellMar>
        </w:tblPrEx>
        <w:trPr>
          <w:trHeight w:val="900"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C26就餐人员满意度（2分）</w:t>
            </w:r>
          </w:p>
        </w:tc>
        <w:tc>
          <w:tcPr>
            <w:tcW w:w="689" w:type="dxa"/>
            <w:tcBorders>
              <w:top w:val="nil"/>
              <w:left w:val="nil"/>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rPr>
              <w:t>2</w:t>
            </w:r>
          </w:p>
        </w:tc>
        <w:tc>
          <w:tcPr>
            <w:tcW w:w="2050"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考察工作服务对象满意度</w:t>
            </w:r>
          </w:p>
        </w:tc>
        <w:tc>
          <w:tcPr>
            <w:tcW w:w="2846"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社会公众和服务对象对设施设备维修服务满意度≥90%得2分</w:t>
            </w:r>
          </w:p>
        </w:tc>
        <w:tc>
          <w:tcPr>
            <w:tcW w:w="1361"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问卷调查、访谈</w:t>
            </w:r>
          </w:p>
        </w:tc>
      </w:tr>
      <w:tr>
        <w:tblPrEx>
          <w:tblCellMar>
            <w:top w:w="0" w:type="dxa"/>
            <w:left w:w="108" w:type="dxa"/>
            <w:bottom w:w="0" w:type="dxa"/>
            <w:right w:w="108" w:type="dxa"/>
          </w:tblCellMar>
        </w:tblPrEx>
        <w:trPr>
          <w:trHeight w:val="91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rPr>
              <w:t>C28投诉降低率（</w:t>
            </w:r>
            <w:r>
              <w:rPr>
                <w:rFonts w:hint="eastAsia" w:asciiTheme="minorEastAsia" w:hAnsiTheme="minorEastAsia" w:eastAsiaTheme="minorEastAsia" w:cstheme="minorEastAsia"/>
                <w:color w:val="000000"/>
                <w:kern w:val="0"/>
                <w:sz w:val="18"/>
                <w:szCs w:val="18"/>
                <w:lang w:val="en-US" w:eastAsia="zh-CN"/>
              </w:rPr>
              <w:t>4</w:t>
            </w:r>
            <w:r>
              <w:rPr>
                <w:rFonts w:hint="eastAsia" w:asciiTheme="minorEastAsia" w:hAnsiTheme="minorEastAsia" w:eastAsiaTheme="minorEastAsia" w:cstheme="minorEastAsia"/>
                <w:color w:val="000000"/>
                <w:kern w:val="0"/>
                <w:sz w:val="18"/>
                <w:szCs w:val="18"/>
              </w:rPr>
              <w:t>分）</w:t>
            </w:r>
          </w:p>
        </w:tc>
        <w:tc>
          <w:tcPr>
            <w:tcW w:w="689" w:type="dxa"/>
            <w:tcBorders>
              <w:top w:val="nil"/>
              <w:left w:val="nil"/>
              <w:bottom w:val="single" w:color="auto" w:sz="4" w:space="0"/>
              <w:right w:val="single" w:color="auto" w:sz="4" w:space="0"/>
            </w:tcBorders>
            <w:noWrap w:val="0"/>
            <w:vAlign w:val="center"/>
          </w:tcPr>
          <w:p>
            <w:pPr>
              <w:widowControl/>
              <w:tabs>
                <w:tab w:val="center" w:pos="296"/>
                <w:tab w:val="left" w:pos="409"/>
              </w:tabs>
              <w:jc w:val="left"/>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lang w:eastAsia="zh-CN"/>
              </w:rPr>
              <w:tab/>
            </w:r>
            <w:r>
              <w:rPr>
                <w:rFonts w:hint="eastAsia" w:asciiTheme="minorEastAsia" w:hAnsiTheme="minorEastAsia" w:eastAsiaTheme="minorEastAsia" w:cstheme="minorEastAsia"/>
                <w:color w:val="000000"/>
                <w:kern w:val="0"/>
                <w:sz w:val="18"/>
                <w:szCs w:val="18"/>
                <w:lang w:val="en-US" w:eastAsia="zh-CN"/>
              </w:rPr>
              <w:t>4</w:t>
            </w:r>
          </w:p>
        </w:tc>
        <w:tc>
          <w:tcPr>
            <w:tcW w:w="2050"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考察工作服务对象满意度</w:t>
            </w:r>
          </w:p>
        </w:tc>
        <w:tc>
          <w:tcPr>
            <w:tcW w:w="2846"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社会公众和服务对象对设施设备维修服务满意度≥90%得</w:t>
            </w:r>
            <w:r>
              <w:rPr>
                <w:rFonts w:hint="eastAsia" w:asciiTheme="minorEastAsia" w:hAnsiTheme="minorEastAsia" w:eastAsiaTheme="minorEastAsia" w:cstheme="minorEastAsia"/>
                <w:color w:val="000000"/>
                <w:kern w:val="0"/>
                <w:sz w:val="18"/>
                <w:szCs w:val="18"/>
                <w:lang w:val="en-US" w:eastAsia="zh-CN"/>
              </w:rPr>
              <w:t>4</w:t>
            </w:r>
            <w:r>
              <w:rPr>
                <w:rFonts w:hint="eastAsia" w:asciiTheme="minorEastAsia" w:hAnsiTheme="minorEastAsia" w:eastAsiaTheme="minorEastAsia" w:cstheme="minorEastAsia"/>
                <w:color w:val="000000"/>
                <w:kern w:val="0"/>
                <w:sz w:val="18"/>
                <w:szCs w:val="18"/>
              </w:rPr>
              <w:t>分</w:t>
            </w:r>
          </w:p>
        </w:tc>
        <w:tc>
          <w:tcPr>
            <w:tcW w:w="1361" w:type="dxa"/>
            <w:tcBorders>
              <w:top w:val="nil"/>
              <w:left w:val="nil"/>
              <w:bottom w:val="single" w:color="auto" w:sz="4" w:space="0"/>
              <w:right w:val="single" w:color="auto" w:sz="4" w:space="0"/>
            </w:tcBorders>
            <w:noWrap w:val="0"/>
            <w:vAlign w:val="top"/>
          </w:tcPr>
          <w:p>
            <w:pPr>
              <w:widowControl/>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问卷调查、访谈</w:t>
            </w:r>
          </w:p>
        </w:tc>
      </w:tr>
      <w:tr>
        <w:tblPrEx>
          <w:tblCellMar>
            <w:top w:w="0" w:type="dxa"/>
            <w:left w:w="108" w:type="dxa"/>
            <w:bottom w:w="0" w:type="dxa"/>
            <w:right w:w="108" w:type="dxa"/>
          </w:tblCellMar>
        </w:tblPrEx>
        <w:trPr>
          <w:trHeight w:val="73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restart"/>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C3部门可持续发展（6分）</w:t>
            </w: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C31队伍建设情况（2分）</w:t>
            </w:r>
          </w:p>
        </w:tc>
        <w:tc>
          <w:tcPr>
            <w:tcW w:w="68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考察部门管理人员是否定期接受培训，熟悉政策、提高业务能力。</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部门全体人员每年至少接受一次业务或政策等培训，酌情得0-2分。</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培训记录、培训效果调研</w:t>
            </w:r>
          </w:p>
        </w:tc>
      </w:tr>
      <w:tr>
        <w:tblPrEx>
          <w:tblCellMar>
            <w:top w:w="0" w:type="dxa"/>
            <w:left w:w="108" w:type="dxa"/>
            <w:bottom w:w="0" w:type="dxa"/>
            <w:right w:w="108" w:type="dxa"/>
          </w:tblCellMar>
        </w:tblPrEx>
        <w:trPr>
          <w:trHeight w:val="1680"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C32信息共享、公开情况（2分）</w:t>
            </w:r>
          </w:p>
        </w:tc>
        <w:tc>
          <w:tcPr>
            <w:tcW w:w="68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2</w:t>
            </w:r>
          </w:p>
        </w:tc>
        <w:tc>
          <w:tcPr>
            <w:tcW w:w="2050"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部门是否按照政府信息公开有关规定公开相关预决算信息、绩效信息及其他信息，是否信息共享，用以反映和考核部门信息公开透明及信息共享情况。</w:t>
            </w:r>
          </w:p>
        </w:tc>
        <w:tc>
          <w:tcPr>
            <w:tcW w:w="2846"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①按规定内容公开预决算信息、绩效信息及其他信息，得0.5分；②按规定时限公开预决算信息、绩效信息及其他信息，得0.5分。③各处室、下属单位等信息共享，得1分。</w:t>
            </w:r>
          </w:p>
        </w:tc>
        <w:tc>
          <w:tcPr>
            <w:tcW w:w="1361"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信息公开、信息共享情况</w:t>
            </w:r>
          </w:p>
        </w:tc>
      </w:tr>
      <w:tr>
        <w:tblPrEx>
          <w:tblCellMar>
            <w:top w:w="0" w:type="dxa"/>
            <w:left w:w="108" w:type="dxa"/>
            <w:bottom w:w="0" w:type="dxa"/>
            <w:right w:w="108" w:type="dxa"/>
          </w:tblCellMar>
        </w:tblPrEx>
        <w:trPr>
          <w:trHeight w:val="1665" w:hRule="atLeast"/>
        </w:trPr>
        <w:tc>
          <w:tcPr>
            <w:tcW w:w="5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559" w:type="dxa"/>
            <w:tcBorders>
              <w:top w:val="single" w:color="auto" w:sz="4" w:space="0"/>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C33长效管理创新情况（2分）</w:t>
            </w:r>
          </w:p>
        </w:tc>
        <w:tc>
          <w:tcPr>
            <w:tcW w:w="689"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2050" w:type="dxa"/>
            <w:tcBorders>
              <w:top w:val="single" w:color="auto" w:sz="4" w:space="0"/>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考察部门是否在鼓励处室改进管理、提高效率方面建立了新举措，比如人员绩效考核机制、信息化建设、数据库管理等，是部门工作长期可持续发展的保障。</w:t>
            </w:r>
          </w:p>
        </w:tc>
        <w:tc>
          <w:tcPr>
            <w:tcW w:w="2846" w:type="dxa"/>
            <w:tcBorders>
              <w:top w:val="single" w:color="auto" w:sz="4" w:space="0"/>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管理创新机制和措施明确，且有相应工作及产出。酌情得0-2分。</w:t>
            </w:r>
          </w:p>
        </w:tc>
        <w:tc>
          <w:tcPr>
            <w:tcW w:w="1361" w:type="dxa"/>
            <w:tcBorders>
              <w:top w:val="single" w:color="auto" w:sz="4" w:space="0"/>
              <w:left w:val="nil"/>
              <w:bottom w:val="single" w:color="auto" w:sz="4" w:space="0"/>
              <w:right w:val="single" w:color="auto" w:sz="4" w:space="0"/>
            </w:tcBorders>
            <w:noWrap w:val="0"/>
            <w:vAlign w:val="top"/>
          </w:tcPr>
          <w:p>
            <w:pPr>
              <w:widowControl/>
              <w:rPr>
                <w:rFonts w:ascii="宋体" w:hAnsi="宋体" w:cs="宋体"/>
                <w:color w:val="000000"/>
                <w:kern w:val="0"/>
                <w:sz w:val="18"/>
                <w:szCs w:val="18"/>
              </w:rPr>
            </w:pPr>
            <w:r>
              <w:rPr>
                <w:rFonts w:hint="eastAsia" w:ascii="宋体" w:hAnsi="宋体" w:cs="宋体"/>
                <w:color w:val="000000"/>
                <w:kern w:val="0"/>
                <w:sz w:val="18"/>
                <w:szCs w:val="18"/>
              </w:rPr>
              <w:t>管理创新情况</w:t>
            </w:r>
          </w:p>
        </w:tc>
      </w:tr>
      <w:tr>
        <w:tblPrEx>
          <w:tblCellMar>
            <w:top w:w="0" w:type="dxa"/>
            <w:left w:w="108" w:type="dxa"/>
            <w:bottom w:w="0" w:type="dxa"/>
            <w:right w:w="108" w:type="dxa"/>
          </w:tblCellMar>
        </w:tblPrEx>
        <w:trPr>
          <w:trHeight w:val="270" w:hRule="atLeast"/>
        </w:trPr>
        <w:tc>
          <w:tcPr>
            <w:tcW w:w="579" w:type="dxa"/>
            <w:tcBorders>
              <w:top w:val="single" w:color="auto" w:sz="4" w:space="0"/>
              <w:left w:val="single" w:color="auto" w:sz="4" w:space="0"/>
              <w:bottom w:val="single" w:color="auto" w:sz="4" w:space="0"/>
              <w:right w:val="single" w:color="auto" w:sz="4" w:space="0"/>
            </w:tcBorders>
            <w:noWrap w:val="0"/>
            <w:vAlign w:val="top"/>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981" w:type="dxa"/>
            <w:tcBorders>
              <w:top w:val="single" w:color="auto" w:sz="4" w:space="0"/>
              <w:left w:val="nil"/>
              <w:bottom w:val="single" w:color="auto" w:sz="4" w:space="0"/>
              <w:right w:val="single" w:color="auto" w:sz="4" w:space="0"/>
            </w:tcBorders>
            <w:noWrap w:val="0"/>
            <w:vAlign w:val="top"/>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559" w:type="dxa"/>
            <w:tcBorders>
              <w:top w:val="nil"/>
              <w:left w:val="nil"/>
              <w:bottom w:val="single" w:color="auto" w:sz="4" w:space="0"/>
              <w:right w:val="single" w:color="auto" w:sz="4" w:space="0"/>
            </w:tcBorders>
            <w:noWrap w:val="0"/>
            <w:vAlign w:val="top"/>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100分</w:t>
            </w:r>
          </w:p>
        </w:tc>
        <w:tc>
          <w:tcPr>
            <w:tcW w:w="689" w:type="dxa"/>
            <w:tcBorders>
              <w:top w:val="nil"/>
              <w:left w:val="nil"/>
              <w:bottom w:val="single" w:color="auto" w:sz="4" w:space="0"/>
              <w:right w:val="single" w:color="auto" w:sz="4" w:space="0"/>
            </w:tcBorders>
            <w:noWrap w:val="0"/>
            <w:vAlign w:val="center"/>
          </w:tcPr>
          <w:p>
            <w:pPr>
              <w:widowControl/>
              <w:jc w:val="center"/>
              <w:rPr>
                <w:rFonts w:hint="default" w:ascii="宋体" w:hAnsi="宋体" w:eastAsia="宋体" w:cs="宋体"/>
                <w:b/>
                <w:bCs/>
                <w:color w:val="000000"/>
                <w:kern w:val="0"/>
                <w:sz w:val="18"/>
                <w:szCs w:val="18"/>
                <w:lang w:val="en-US" w:eastAsia="zh-CN"/>
              </w:rPr>
            </w:pPr>
            <w:r>
              <w:rPr>
                <w:rFonts w:hint="eastAsia" w:ascii="宋体" w:hAnsi="宋体" w:cs="宋体"/>
                <w:b/>
                <w:bCs/>
                <w:color w:val="000000"/>
                <w:kern w:val="0"/>
                <w:sz w:val="18"/>
                <w:szCs w:val="18"/>
                <w:lang w:val="en-US" w:eastAsia="zh-CN"/>
              </w:rPr>
              <w:t>93</w:t>
            </w:r>
          </w:p>
        </w:tc>
        <w:tc>
          <w:tcPr>
            <w:tcW w:w="2050" w:type="dxa"/>
            <w:tcBorders>
              <w:top w:val="nil"/>
              <w:left w:val="nil"/>
              <w:bottom w:val="single" w:color="auto" w:sz="4" w:space="0"/>
              <w:right w:val="single" w:color="auto" w:sz="4" w:space="0"/>
            </w:tcBorders>
            <w:noWrap w:val="0"/>
            <w:vAlign w:val="top"/>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2846" w:type="dxa"/>
            <w:tcBorders>
              <w:top w:val="nil"/>
              <w:left w:val="nil"/>
              <w:bottom w:val="single" w:color="auto" w:sz="4" w:space="0"/>
              <w:right w:val="single" w:color="auto" w:sz="4" w:space="0"/>
            </w:tcBorders>
            <w:noWrap w:val="0"/>
            <w:vAlign w:val="top"/>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361" w:type="dxa"/>
            <w:tcBorders>
              <w:top w:val="nil"/>
              <w:left w:val="nil"/>
              <w:bottom w:val="single" w:color="auto" w:sz="4" w:space="0"/>
              <w:right w:val="single" w:color="auto" w:sz="4" w:space="0"/>
            </w:tcBorders>
            <w:noWrap w:val="0"/>
            <w:vAlign w:val="top"/>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w:t>
            </w:r>
          </w:p>
        </w:tc>
      </w:tr>
    </w:tbl>
    <w:p>
      <w:pPr>
        <w:pStyle w:val="2"/>
      </w:pPr>
    </w:p>
    <w:sectPr>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66AF5CFB-BA72-4CE7-8B12-677B4EE8C09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701276A8-16ED-4BAA-8DF7-3B43C5AB0CFA}"/>
  </w:font>
  <w:font w:name="Cambria">
    <w:panose1 w:val="02040503050406030204"/>
    <w:charset w:val="00"/>
    <w:family w:val="roman"/>
    <w:pitch w:val="default"/>
    <w:sig w:usb0="E00002FF" w:usb1="400004FF" w:usb2="00000000"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3" w:fontKey="{8DA32CD1-CC32-4AD5-BBF0-5DE1CB2E1376}"/>
  </w:font>
  <w:font w:name="仿宋_GB2312">
    <w:panose1 w:val="02010609030101010101"/>
    <w:charset w:val="86"/>
    <w:family w:val="modern"/>
    <w:pitch w:val="default"/>
    <w:sig w:usb0="00000001" w:usb1="080E0000" w:usb2="00000000" w:usb3="00000000" w:csb0="00040000" w:csb1="00000000"/>
    <w:embedRegular r:id="rId4" w:fontKey="{7B3B7AFB-5691-45C5-AB64-A424EEF44804}"/>
  </w:font>
  <w:font w:name="PMingLiU">
    <w:panose1 w:val="02020500000000000000"/>
    <w:charset w:val="88"/>
    <w:family w:val="roman"/>
    <w:pitch w:val="default"/>
    <w:sig w:usb0="A00002FF" w:usb1="28CFFCFA" w:usb2="00000016" w:usb3="00000000" w:csb0="00100001" w:csb1="00000000"/>
    <w:embedRegular r:id="rId5" w:fontKey="{982986F8-7926-46E7-9FED-09FF54783EB4}"/>
  </w:font>
  <w:font w:name="方正小标宋简体">
    <w:panose1 w:val="03000509000000000000"/>
    <w:charset w:val="86"/>
    <w:family w:val="auto"/>
    <w:pitch w:val="default"/>
    <w:sig w:usb0="00000001" w:usb1="080E0000" w:usb2="00000000" w:usb3="00000000" w:csb0="00040000" w:csb1="00000000"/>
    <w:embedRegular r:id="rId6" w:fontKey="{D24C7C15-17A7-442D-8054-C7808BAFE3A3}"/>
  </w:font>
  <w:font w:name="楷体_GB2312">
    <w:panose1 w:val="02010609030101010101"/>
    <w:charset w:val="86"/>
    <w:family w:val="modern"/>
    <w:pitch w:val="default"/>
    <w:sig w:usb0="00000001" w:usb1="080E0000" w:usb2="00000000" w:usb3="00000000" w:csb0="00040000" w:csb1="00000000"/>
    <w:embedRegular r:id="rId7" w:fontKey="{E1F3C461-EF54-4FBF-A0C7-368848AF66AA}"/>
  </w:font>
  <w:font w:name="楷体">
    <w:panose1 w:val="02010609060101010101"/>
    <w:charset w:val="86"/>
    <w:family w:val="modern"/>
    <w:pitch w:val="default"/>
    <w:sig w:usb0="800002BF" w:usb1="38CF7CFA" w:usb2="00000016" w:usb3="00000000" w:csb0="00040001" w:csb1="00000000"/>
    <w:embedRegular r:id="rId8" w:fontKey="{9A6FCD40-D654-47C3-803A-0AD1B16E475A}"/>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default" w:eastAsia="宋体"/>
        <w:lang w:val="en-US" w:eastAsia="zh-CN"/>
      </w:rPr>
    </w:pPr>
  </w:p>
  <w:p>
    <w:pPr>
      <w:pStyle w:val="3"/>
      <w:tabs>
        <w:tab w:val="clear" w:pos="4153"/>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hZTE2NGFjYmU3ODUwM2I0NWMwOWQ5ODI3YjQwMjcifQ=="/>
  </w:docVars>
  <w:rsids>
    <w:rsidRoot w:val="00000000"/>
    <w:rsid w:val="04415E33"/>
    <w:rsid w:val="0C8502D9"/>
    <w:rsid w:val="10266D19"/>
    <w:rsid w:val="1BD26DB5"/>
    <w:rsid w:val="2211352C"/>
    <w:rsid w:val="26A01183"/>
    <w:rsid w:val="2C502EE9"/>
    <w:rsid w:val="2D5B5A94"/>
    <w:rsid w:val="2E0C2D5B"/>
    <w:rsid w:val="41C765AB"/>
    <w:rsid w:val="55611832"/>
    <w:rsid w:val="5B1F2230"/>
    <w:rsid w:val="6C830A9D"/>
    <w:rsid w:val="70174413"/>
    <w:rsid w:val="79654777"/>
    <w:rsid w:val="79DA21E9"/>
    <w:rsid w:val="7BEE6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kern w:val="0"/>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customStyle="1" w:styleId="7">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8">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paragraph" w:customStyle="1" w:styleId="9">
    <w:name w:val="Normal Indent1"/>
    <w:basedOn w:val="1"/>
    <w:qFormat/>
    <w:uiPriority w:val="0"/>
    <w:pPr>
      <w:ind w:firstLine="420" w:firstLineChars="200"/>
    </w:pPr>
  </w:style>
  <w:style w:type="paragraph" w:customStyle="1" w:styleId="10">
    <w:name w:val="实施方案正文"/>
    <w:basedOn w:val="11"/>
    <w:qFormat/>
    <w:uiPriority w:val="0"/>
    <w:pPr>
      <w:ind w:firstLine="566" w:firstLineChars="202"/>
    </w:pPr>
    <w:rPr>
      <w:rFonts w:ascii="等线" w:hAnsi="等线" w:eastAsia="等线"/>
      <w:szCs w:val="28"/>
    </w:rPr>
  </w:style>
  <w:style w:type="paragraph" w:customStyle="1" w:styleId="11">
    <w:name w:val="正文 New"/>
    <w:next w:val="10"/>
    <w:qFormat/>
    <w:uiPriority w:val="0"/>
    <w:pPr>
      <w:widowControl w:val="0"/>
      <w:spacing w:line="588" w:lineRule="exact"/>
      <w:ind w:firstLine="200" w:firstLineChars="200"/>
      <w:jc w:val="both"/>
      <w:textAlignment w:val="center"/>
    </w:pPr>
    <w:rPr>
      <w:rFonts w:ascii="Calibri" w:hAnsi="Calibri" w:eastAsia="方正仿宋_GBK" w:cs="Times New Roman"/>
      <w:kern w:val="2"/>
      <w:sz w:val="30"/>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15506</Words>
  <Characters>16290</Characters>
  <Lines>0</Lines>
  <Paragraphs>0</Paragraphs>
  <TotalTime>33</TotalTime>
  <ScaleCrop>false</ScaleCrop>
  <LinksUpToDate>false</LinksUpToDate>
  <CharactersWithSpaces>16401</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2023-04-18T06:50:00Z</dcterms:created>
  <dc:creator>Administrator</dc:creator>
  <cp:lastModifiedBy>我可以给你讲一个故事吗</cp:lastModifiedBy>
  <cp:lastPrinted>2023-04-24T07:48:00Z</cp:lastPrinted>
  <dcterms:modified xsi:type="dcterms:W3CDTF">2023-09-28T02:06:23Z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009084A6CD6A42AF8CBD7F80FA1C0715_12</vt:lpwstr>
  </property>
</Properties>
</file>