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hint="eastAsia" w:ascii="黑体" w:hAnsi="黑体" w:eastAsia="黑体" w:cs="黑体"/>
          <w:bCs/>
          <w:sz w:val="52"/>
          <w:szCs w:val="52"/>
        </w:rPr>
      </w:pPr>
      <w:r>
        <w:rPr>
          <w:rFonts w:hint="eastAsia" w:ascii="黑体" w:hAnsi="黑体" w:eastAsia="黑体" w:cs="黑体"/>
          <w:bCs/>
          <w:sz w:val="52"/>
          <w:szCs w:val="52"/>
          <w:lang w:eastAsia="zh-CN"/>
        </w:rPr>
        <w:t>机关后勤服务综合管理</w:t>
      </w:r>
      <w:r>
        <w:rPr>
          <w:rFonts w:hint="eastAsia" w:ascii="黑体" w:hAnsi="黑体" w:eastAsia="黑体" w:cs="黑体"/>
          <w:bCs/>
          <w:sz w:val="52"/>
          <w:szCs w:val="52"/>
        </w:rPr>
        <w:t>项目</w:t>
      </w:r>
    </w:p>
    <w:p>
      <w:pPr>
        <w:jc w:val="center"/>
        <w:rPr>
          <w:rFonts w:ascii="黑体" w:hAnsi="黑体" w:eastAsia="黑体" w:cs="黑体"/>
          <w:bCs/>
          <w:sz w:val="52"/>
          <w:szCs w:val="52"/>
        </w:rPr>
      </w:pPr>
      <w:r>
        <w:rPr>
          <w:rFonts w:hint="eastAsia" w:ascii="黑体" w:hAnsi="黑体" w:eastAsia="黑体" w:cs="黑体"/>
          <w:bCs/>
          <w:sz w:val="52"/>
          <w:szCs w:val="52"/>
        </w:rPr>
        <w:t>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default" w:ascii="Times New Roman" w:hAnsi="Times New Roman" w:eastAsia="黑体" w:cs="Times New Roman"/>
          <w:bCs/>
          <w:sz w:val="52"/>
          <w:szCs w:val="52"/>
          <w:lang w:val="en-US" w:eastAsia="zh-CN"/>
        </w:rPr>
        <w:t>2022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XqXKD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盘龙区机关事务</w:t>
      </w:r>
      <w:r>
        <w:rPr>
          <w:rFonts w:hint="eastAsia" w:ascii="Times New Roman" w:hAnsi="Times New Roman" w:eastAsia="黑体" w:cs="黑体"/>
          <w:b/>
          <w:bCs/>
          <w:sz w:val="28"/>
          <w:szCs w:val="28"/>
          <w:u w:val="none"/>
          <w:lang w:eastAsia="zh-CN"/>
        </w:rPr>
        <w:t>管理服务中心</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GEXYN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hint="eastAsia" w:ascii="Times New Roman" w:hAnsi="Times New Roman" w:eastAsia="黑体" w:cs="黑体"/>
          <w:b/>
          <w:bCs/>
          <w:sz w:val="28"/>
          <w:szCs w:val="28"/>
          <w:lang w:eastAsia="zh-CN"/>
        </w:rPr>
        <w:t>盘龙区机关事务管理服务中心</w:t>
      </w:r>
      <w:r>
        <w:rPr>
          <w:rFonts w:ascii="Times New Roman" w:hAnsi="Times New Roman" w:eastAsia="黑体" w:cs="黑体"/>
          <w:b/>
          <w:bCs/>
          <w:sz w:val="28"/>
          <w:szCs w:val="28"/>
        </w:rPr>
        <w:t xml:space="preserve"> </w:t>
      </w:r>
    </w:p>
    <w:p>
      <w:pPr>
        <w:adjustRightInd w:val="0"/>
        <w:snapToGrid w:val="0"/>
        <w:spacing w:line="360" w:lineRule="auto"/>
        <w:ind w:left="126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盘龙区机关事务管理服务中心</w:t>
      </w:r>
    </w:p>
    <w:p>
      <w:pPr>
        <w:adjustRightInd w:val="0"/>
        <w:snapToGrid w:val="0"/>
        <w:spacing w:line="360" w:lineRule="auto"/>
        <w:ind w:left="126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机关后勤服务综合管理项目</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cs="黑体"/>
          <w:b/>
          <w:bCs/>
          <w:sz w:val="28"/>
          <w:szCs w:val="28"/>
          <w:lang w:val="en-US" w:eastAsia="zh-CN"/>
        </w:rPr>
        <w:t>2023年4月25日</w:t>
      </w:r>
      <w:r>
        <w:rPr>
          <w:rFonts w:ascii="Times New Roman" w:hAnsi="Times New Roman" w:eastAsia="黑体"/>
          <w:b/>
          <w:bCs/>
          <w:sz w:val="28"/>
          <w:szCs w:val="28"/>
        </w:rPr>
        <w:t xml:space="preserve"> </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sectPr>
          <w:pgSz w:w="11906" w:h="16838"/>
          <w:pgMar w:top="1440" w:right="1800" w:bottom="1440" w:left="1800" w:header="851" w:footer="992" w:gutter="0"/>
          <w:cols w:space="720" w:num="1"/>
          <w:docGrid w:type="lines" w:linePitch="312" w:charSpace="0"/>
        </w:sect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p>
    <w:p>
      <w:pPr>
        <w:pStyle w:val="7"/>
        <w:widowControl w:val="0"/>
        <w:spacing w:after="0" w:line="360" w:lineRule="auto"/>
        <w:ind w:firstLine="480" w:firstLine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5"/>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051"/>
        <w:gridCol w:w="1390"/>
        <w:gridCol w:w="2679"/>
        <w:gridCol w:w="1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051"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390"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2679"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362"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20"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051"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杨艳</w:t>
            </w:r>
          </w:p>
        </w:tc>
        <w:tc>
          <w:tcPr>
            <w:tcW w:w="1390"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副主任</w:t>
            </w:r>
          </w:p>
        </w:tc>
        <w:tc>
          <w:tcPr>
            <w:tcW w:w="2679"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机关事务管理服务中心</w:t>
            </w:r>
          </w:p>
        </w:tc>
        <w:tc>
          <w:tcPr>
            <w:tcW w:w="1362"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7"/>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051"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闫鑫</w:t>
            </w:r>
          </w:p>
        </w:tc>
        <w:tc>
          <w:tcPr>
            <w:tcW w:w="1390"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副主任</w:t>
            </w:r>
          </w:p>
        </w:tc>
        <w:tc>
          <w:tcPr>
            <w:tcW w:w="2679"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机关事务管理服务中心</w:t>
            </w:r>
          </w:p>
        </w:tc>
        <w:tc>
          <w:tcPr>
            <w:tcW w:w="1362"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7"/>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051"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和娟</w:t>
            </w:r>
          </w:p>
        </w:tc>
        <w:tc>
          <w:tcPr>
            <w:tcW w:w="1390"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主任</w:t>
            </w:r>
          </w:p>
        </w:tc>
        <w:tc>
          <w:tcPr>
            <w:tcW w:w="2679"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办公室</w:t>
            </w:r>
          </w:p>
        </w:tc>
        <w:tc>
          <w:tcPr>
            <w:tcW w:w="1362"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1051"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兰剑</w:t>
            </w:r>
          </w:p>
        </w:tc>
        <w:tc>
          <w:tcPr>
            <w:tcW w:w="1390"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科长</w:t>
            </w:r>
          </w:p>
        </w:tc>
        <w:tc>
          <w:tcPr>
            <w:tcW w:w="2679"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房产基建科</w:t>
            </w:r>
          </w:p>
        </w:tc>
        <w:tc>
          <w:tcPr>
            <w:tcW w:w="1362"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1051"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杜云新</w:t>
            </w:r>
          </w:p>
        </w:tc>
        <w:tc>
          <w:tcPr>
            <w:tcW w:w="1390"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科长</w:t>
            </w:r>
          </w:p>
        </w:tc>
        <w:tc>
          <w:tcPr>
            <w:tcW w:w="2679"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保卫科</w:t>
            </w:r>
          </w:p>
        </w:tc>
        <w:tc>
          <w:tcPr>
            <w:tcW w:w="1362"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1051"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刘荣地</w:t>
            </w:r>
          </w:p>
        </w:tc>
        <w:tc>
          <w:tcPr>
            <w:tcW w:w="1390"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主任</w:t>
            </w:r>
          </w:p>
        </w:tc>
        <w:tc>
          <w:tcPr>
            <w:tcW w:w="2679"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会议服务中心</w:t>
            </w:r>
          </w:p>
        </w:tc>
        <w:tc>
          <w:tcPr>
            <w:tcW w:w="1362" w:type="dxa"/>
            <w:noWrap w:val="0"/>
            <w:vAlign w:val="top"/>
          </w:tcPr>
          <w:p>
            <w:pPr>
              <w:pStyle w:val="7"/>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noWrap w:val="0"/>
            <w:vAlign w:val="top"/>
          </w:tcPr>
          <w:p>
            <w:pPr>
              <w:pStyle w:val="7"/>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noWrap w:val="0"/>
            <w:vAlign w:val="top"/>
          </w:tcPr>
          <w:p>
            <w:pPr>
              <w:pStyle w:val="7"/>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7"/>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7"/>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720" w:num="1"/>
          <w:docGrid w:type="lines" w:linePitch="312" w:charSpace="0"/>
        </w:sectPr>
      </w:pPr>
    </w:p>
    <w:p>
      <w:pPr>
        <w:pStyle w:val="8"/>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hint="eastAsia" w:ascii="黑体" w:hAnsi="黑体" w:eastAsia="黑体"/>
          <w:szCs w:val="32"/>
        </w:rPr>
      </w:pPr>
      <w:r>
        <w:rPr>
          <w:rFonts w:hint="eastAsia" w:ascii="黑体" w:hAnsi="黑体" w:eastAsia="黑体"/>
          <w:szCs w:val="32"/>
        </w:rPr>
        <w:t>五、附件</w:t>
      </w:r>
    </w:p>
    <w:p>
      <w:pPr>
        <w:spacing w:line="440" w:lineRule="exact"/>
        <w:ind w:firstLine="420" w:firstLineChars="200"/>
        <w:jc w:val="left"/>
        <w:rPr>
          <w:rFonts w:hint="eastAsia" w:ascii="黑体" w:hAnsi="黑体" w:eastAsia="黑体"/>
          <w:szCs w:val="32"/>
        </w:rPr>
      </w:pPr>
    </w:p>
    <w:p>
      <w:pPr>
        <w:spacing w:line="440" w:lineRule="exact"/>
        <w:ind w:firstLine="420" w:firstLineChars="200"/>
        <w:jc w:val="left"/>
        <w:rPr>
          <w:rFonts w:hint="eastAsia" w:ascii="黑体" w:hAnsi="黑体" w:eastAsia="黑体"/>
          <w:szCs w:val="32"/>
        </w:rPr>
        <w:sectPr>
          <w:pgSz w:w="11906" w:h="16838"/>
          <w:pgMar w:top="1440" w:right="1800" w:bottom="1440" w:left="1800" w:header="851" w:footer="992" w:gutter="0"/>
          <w:cols w:space="425" w:num="1"/>
          <w:docGrid w:type="lines" w:linePitch="312" w:charSpace="0"/>
        </w:sectPr>
      </w:pPr>
    </w:p>
    <w:p>
      <w:pPr>
        <w:keepNext w:val="0"/>
        <w:keepLines w:val="0"/>
        <w:pageBreakBefore w:val="0"/>
        <w:kinsoku/>
        <w:wordWrap/>
        <w:overflow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bookmarkStart w:id="1" w:name="_GoBack"/>
      <w:bookmarkEnd w:id="1"/>
      <w:r>
        <w:rPr>
          <w:rFonts w:hint="eastAsia" w:ascii="方正小标宋简体" w:hAnsi="方正小标宋简体" w:eastAsia="方正小标宋简体" w:cs="方正小标宋简体"/>
          <w:sz w:val="44"/>
          <w:szCs w:val="44"/>
          <w:lang w:eastAsia="zh-CN"/>
        </w:rPr>
        <w:t>机关后勤服务综合管理</w:t>
      </w:r>
      <w:r>
        <w:rPr>
          <w:rFonts w:hint="eastAsia" w:ascii="方正小标宋简体" w:hAnsi="方正小标宋简体" w:eastAsia="方正小标宋简体" w:cs="方正小标宋简体"/>
          <w:sz w:val="44"/>
          <w:szCs w:val="44"/>
        </w:rPr>
        <w:t>项目支出</w:t>
      </w:r>
    </w:p>
    <w:p>
      <w:pPr>
        <w:keepNext w:val="0"/>
        <w:keepLines w:val="0"/>
        <w:pageBreakBefore w:val="0"/>
        <w:kinsoku/>
        <w:wordWrap/>
        <w:overflow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绩效自评报告</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ascii="黑体" w:hAnsi="黑体" w:eastAsia="黑体"/>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center"/>
        <w:textAlignment w:val="auto"/>
        <w:rPr>
          <w:rFonts w:ascii="方正小标宋_GBK" w:hAnsi="黑体" w:eastAsia="方正小标宋_GBK"/>
          <w:sz w:val="32"/>
          <w:szCs w:val="32"/>
        </w:rPr>
      </w:pPr>
      <w:r>
        <w:rPr>
          <w:rFonts w:hint="eastAsia" w:ascii="方正小标宋_GBK" w:hAnsi="黑体" w:eastAsia="方正小标宋_GBK"/>
          <w:sz w:val="32"/>
          <w:szCs w:val="32"/>
        </w:rPr>
        <w:t>摘要</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黑体" w:hAnsi="黑体" w:eastAsia="黑体"/>
          <w:sz w:val="32"/>
          <w:szCs w:val="32"/>
        </w:rPr>
      </w:pPr>
      <w:r>
        <w:rPr>
          <w:rFonts w:hint="eastAsia" w:ascii="黑体" w:hAnsi="黑体" w:eastAsia="黑体"/>
          <w:sz w:val="32"/>
          <w:szCs w:val="32"/>
        </w:rPr>
        <w:t>一、项目概况</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（一）项目立项背景及目的</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lang w:eastAsia="zh-CN"/>
        </w:rPr>
      </w:pPr>
      <w:r>
        <w:rPr>
          <w:rFonts w:hint="default" w:ascii="Times New Roman" w:hAnsi="Times New Roman" w:eastAsia="仿宋_GB2312" w:cs="Times New Roman"/>
          <w:color w:val="333333"/>
          <w:kern w:val="0"/>
          <w:sz w:val="32"/>
          <w:szCs w:val="32"/>
        </w:rPr>
        <w:t>为贯彻党的</w:t>
      </w:r>
      <w:r>
        <w:rPr>
          <w:rFonts w:hint="default" w:ascii="Times New Roman" w:hAnsi="Times New Roman" w:eastAsia="仿宋_GB2312" w:cs="Times New Roman"/>
          <w:color w:val="333333"/>
          <w:kern w:val="0"/>
          <w:sz w:val="32"/>
          <w:szCs w:val="32"/>
          <w:lang w:eastAsia="zh-CN"/>
        </w:rPr>
        <w:t>二十</w:t>
      </w:r>
      <w:r>
        <w:rPr>
          <w:rFonts w:hint="default" w:ascii="Times New Roman" w:hAnsi="Times New Roman" w:eastAsia="仿宋_GB2312" w:cs="Times New Roman"/>
          <w:color w:val="333333"/>
          <w:kern w:val="0"/>
          <w:sz w:val="32"/>
          <w:szCs w:val="32"/>
        </w:rPr>
        <w:t>大精神，围绕区委、区政府中心工作，切实履行各项职责，高效服务，保障区委、区政府的各项工作高效有序运转。根据《中共昆明市盘龙区委机构编制委员会关于撤销盘龙区政府采购中心并调整盘龙区机关事务</w:t>
      </w:r>
      <w:r>
        <w:rPr>
          <w:rFonts w:hint="eastAsia" w:ascii="Times New Roman" w:hAnsi="Times New Roman" w:eastAsia="仿宋_GB2312" w:cs="Times New Roman"/>
          <w:color w:val="333333"/>
          <w:kern w:val="0"/>
          <w:sz w:val="32"/>
          <w:szCs w:val="32"/>
          <w:lang w:eastAsia="zh-CN"/>
        </w:rPr>
        <w:t>管</w:t>
      </w:r>
      <w:r>
        <w:rPr>
          <w:rFonts w:hint="default" w:ascii="Times New Roman" w:hAnsi="Times New Roman" w:eastAsia="仿宋_GB2312" w:cs="Times New Roman"/>
          <w:color w:val="333333"/>
          <w:kern w:val="0"/>
          <w:sz w:val="32"/>
          <w:szCs w:val="32"/>
        </w:rPr>
        <w:t>理服务中心机构编制相关事项的批复》（</w:t>
      </w:r>
      <w:r>
        <w:rPr>
          <w:rFonts w:hint="default" w:ascii="Times New Roman" w:hAnsi="Times New Roman" w:eastAsia="仿宋_GB2312" w:cs="Times New Roman"/>
          <w:sz w:val="32"/>
          <w:szCs w:val="32"/>
        </w:rPr>
        <w:t>盘机编复〔2020〕1号</w:t>
      </w:r>
      <w:r>
        <w:rPr>
          <w:rFonts w:hint="default" w:ascii="Times New Roman" w:hAnsi="Times New Roman" w:eastAsia="仿宋_GB2312" w:cs="Times New Roman"/>
          <w:color w:val="333333"/>
          <w:kern w:val="0"/>
          <w:sz w:val="32"/>
          <w:szCs w:val="32"/>
        </w:rPr>
        <w:t>）文件精神，区机关事务管理服务中心主要承担区级机关后勤保障服务</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（二）预算收支执行情况</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lang w:val="en-US" w:eastAsia="zh-CN"/>
        </w:rPr>
      </w:pPr>
      <w:r>
        <w:rPr>
          <w:rFonts w:hint="default" w:ascii="Times New Roman" w:hAnsi="Times New Roman" w:eastAsia="仿宋_GB2312" w:cs="Times New Roman"/>
          <w:color w:val="333333"/>
          <w:kern w:val="0"/>
          <w:sz w:val="32"/>
          <w:szCs w:val="32"/>
          <w:lang w:val="en-US" w:eastAsia="zh-CN"/>
        </w:rPr>
        <w:t>2022年机关后勤服务综合管理项目预算批复数为1160.24万元，2022年机关后勤服务综合管理项目一般公共预算财政拨款收入为1078.9万元，实际支出为1078.9万元，预算执行率为92.99%。</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二、评价结论</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（一）评分结果</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根据制定的绩效指标考评体系，本次绩效考核得分</w:t>
      </w:r>
      <w:r>
        <w:rPr>
          <w:rFonts w:hint="default" w:ascii="Times New Roman" w:hAnsi="Times New Roman" w:eastAsia="仿宋_GB2312" w:cs="Times New Roman"/>
          <w:color w:val="333333"/>
          <w:kern w:val="0"/>
          <w:sz w:val="32"/>
          <w:szCs w:val="32"/>
          <w:lang w:val="en-US" w:eastAsia="zh-CN"/>
        </w:rPr>
        <w:t>94</w:t>
      </w:r>
      <w:r>
        <w:rPr>
          <w:rFonts w:hint="default" w:ascii="Times New Roman" w:hAnsi="Times New Roman" w:eastAsia="仿宋_GB2312" w:cs="Times New Roman"/>
          <w:color w:val="333333"/>
          <w:kern w:val="0"/>
          <w:sz w:val="32"/>
          <w:szCs w:val="32"/>
        </w:rPr>
        <w:t>分，绩效评价等级为优</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（二）主要结论</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333333"/>
          <w:kern w:val="0"/>
          <w:sz w:val="32"/>
          <w:szCs w:val="32"/>
        </w:rPr>
        <w:t>本项目不属于投资建设类项目，主要内容为我单位管理的集中办公区、住宅区的安保、保洁、绿化人员</w:t>
      </w:r>
      <w:r>
        <w:rPr>
          <w:rFonts w:hint="default" w:ascii="Times New Roman" w:hAnsi="Times New Roman" w:eastAsia="仿宋_GB2312" w:cs="Times New Roman"/>
          <w:color w:val="333333"/>
          <w:kern w:val="0"/>
          <w:sz w:val="32"/>
          <w:szCs w:val="32"/>
          <w:lang w:eastAsia="zh-CN"/>
        </w:rPr>
        <w:t>服务</w:t>
      </w:r>
      <w:r>
        <w:rPr>
          <w:rFonts w:hint="default" w:ascii="Times New Roman" w:hAnsi="Times New Roman" w:eastAsia="仿宋_GB2312" w:cs="Times New Roman"/>
          <w:color w:val="333333"/>
          <w:kern w:val="0"/>
          <w:sz w:val="32"/>
          <w:szCs w:val="32"/>
        </w:rPr>
        <w:t>费用</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color w:val="333333"/>
          <w:kern w:val="0"/>
          <w:sz w:val="32"/>
          <w:szCs w:val="32"/>
        </w:rPr>
        <w:t>机关食堂、会议服务、水电维修</w:t>
      </w:r>
      <w:r>
        <w:rPr>
          <w:rFonts w:hint="default" w:ascii="Times New Roman" w:hAnsi="Times New Roman" w:eastAsia="仿宋_GB2312" w:cs="Times New Roman"/>
          <w:color w:val="333333"/>
          <w:kern w:val="0"/>
          <w:sz w:val="32"/>
          <w:szCs w:val="32"/>
          <w:lang w:eastAsia="zh-CN"/>
        </w:rPr>
        <w:t>人员服务费用，劳务派遣</w:t>
      </w:r>
      <w:r>
        <w:rPr>
          <w:rFonts w:hint="default" w:ascii="Times New Roman" w:hAnsi="Times New Roman" w:eastAsia="仿宋_GB2312" w:cs="Times New Roman"/>
          <w:color w:val="333333"/>
          <w:kern w:val="0"/>
          <w:sz w:val="32"/>
          <w:szCs w:val="32"/>
        </w:rPr>
        <w:t>人员的工资、社保等支出。机关事务管理服务中心202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年度完成工作效益较好，保证了区委、区政府各项工作的顺利开展</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三、经验、问题和建议</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r>
        <w:rPr>
          <w:rFonts w:hint="default" w:ascii="Times New Roman" w:hAnsi="Times New Roman" w:eastAsia="楷体_GB2312" w:cs="Times New Roman"/>
          <w:sz w:val="32"/>
          <w:szCs w:val="32"/>
          <w:lang w:eastAsia="zh-CN"/>
        </w:rPr>
        <w:t>（一）</w:t>
      </w:r>
      <w:r>
        <w:rPr>
          <w:rFonts w:hint="default" w:ascii="Times New Roman" w:hAnsi="Times New Roman" w:eastAsia="楷体_GB2312" w:cs="Times New Roman"/>
          <w:sz w:val="32"/>
          <w:szCs w:val="32"/>
        </w:rPr>
        <w:t>主要经验及做法</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themeColor="text1"/>
          <w:kern w:val="0"/>
          <w:sz w:val="32"/>
          <w:szCs w:val="32"/>
          <w14:textFill>
            <w14:solidFill>
              <w14:schemeClr w14:val="tx1"/>
            </w14:solidFill>
          </w14:textFill>
        </w:rPr>
        <w:t>机关事务管理服务中心根据</w:t>
      </w:r>
      <w:r>
        <w:rPr>
          <w:rFonts w:hint="default" w:ascii="Times New Roman" w:hAnsi="Times New Roman" w:eastAsia="仿宋_GB2312" w:cs="Times New Roman"/>
          <w:color w:val="000000" w:themeColor="text1"/>
          <w:sz w:val="32"/>
          <w:szCs w:val="32"/>
          <w14:textFill>
            <w14:solidFill>
              <w14:schemeClr w14:val="tx1"/>
            </w14:solidFill>
          </w14:textFill>
        </w:rPr>
        <w:t>《昆明市盘龙区财政局关于开展202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年度区级预算支出绩效自评工作的通知》（盘财绩〔202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14</w:t>
      </w:r>
      <w:r>
        <w:rPr>
          <w:rFonts w:hint="default" w:ascii="Times New Roman" w:hAnsi="Times New Roman" w:eastAsia="仿宋_GB2312" w:cs="Times New Roman"/>
          <w:color w:val="000000" w:themeColor="text1"/>
          <w:sz w:val="32"/>
          <w:szCs w:val="32"/>
          <w14:textFill>
            <w14:solidFill>
              <w14:schemeClr w14:val="tx1"/>
            </w14:solidFill>
          </w14:textFill>
        </w:rPr>
        <w:t>号）</w:t>
      </w:r>
      <w:r>
        <w:rPr>
          <w:rFonts w:hint="default" w:ascii="Times New Roman" w:hAnsi="Times New Roman" w:eastAsia="仿宋_GB2312" w:cs="Times New Roman"/>
          <w:color w:val="000000" w:themeColor="text1"/>
          <w:kern w:val="0"/>
          <w:sz w:val="32"/>
          <w:szCs w:val="32"/>
          <w14:textFill>
            <w14:solidFill>
              <w14:schemeClr w14:val="tx1"/>
            </w14:solidFill>
          </w14:textFill>
        </w:rPr>
        <w:t>精神，成立了自评小组，通过前期调研工</w:t>
      </w:r>
      <w:r>
        <w:rPr>
          <w:rFonts w:hint="default" w:ascii="Times New Roman" w:hAnsi="Times New Roman" w:eastAsia="仿宋_GB2312" w:cs="Times New Roman"/>
          <w:color w:val="333333"/>
          <w:kern w:val="0"/>
          <w:sz w:val="32"/>
          <w:szCs w:val="32"/>
        </w:rPr>
        <w:t>作，充分了解评价项目有关情况；通过查看资金使用情况，核实202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年机关后勤服务综合管理费的各项支出的合法性、合规性；通过分析目标完成情况，查找存在的问题及总结好的经验方法，较好</w:t>
      </w:r>
      <w:r>
        <w:rPr>
          <w:rFonts w:hint="eastAsia" w:ascii="Times New Roman" w:hAnsi="Times New Roman" w:eastAsia="仿宋_GB2312" w:cs="Times New Roman"/>
          <w:color w:val="333333"/>
          <w:kern w:val="0"/>
          <w:sz w:val="32"/>
          <w:szCs w:val="32"/>
          <w:lang w:eastAsia="zh-CN"/>
        </w:rPr>
        <w:t>地</w:t>
      </w:r>
      <w:r>
        <w:rPr>
          <w:rFonts w:hint="default" w:ascii="Times New Roman" w:hAnsi="Times New Roman" w:eastAsia="仿宋_GB2312" w:cs="Times New Roman"/>
          <w:color w:val="333333"/>
          <w:kern w:val="0"/>
          <w:sz w:val="32"/>
          <w:szCs w:val="32"/>
        </w:rPr>
        <w:t>完成了自评工作</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存在的问题</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1.机关后勤服务综合管理费主要用于安保服务费、物业管理费、其他综合管理等费用支出，目前我单位对这些人员和服务的监管相对薄弱，考核评价体系及相应制度有待进一步完善。</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2.为避免工作中出现矛盾，大部分人员的工资水平差距不大，使得这部分人工作积极性难以提高。</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3.因工资水平整体偏低，致使日常工作中人员流动性较大，部分人员的综合素质不高，在服务质量上和干部职工的要求还有差距</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rPr>
        <w:t>改进措施及建议</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1.根据不同的服务内容，制定更加科学、合理、细致的考核评价体系，强化对各类服务人员的日常监管，切实提高服务水平。</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2.根据不同工作岗位的重要性、工作量、专业技术水平等，制定更加合理的薪资标准，不断激励并倡导所有</w:t>
      </w:r>
      <w:r>
        <w:rPr>
          <w:rFonts w:hint="eastAsia" w:ascii="Times New Roman" w:hAnsi="Times New Roman" w:eastAsia="仿宋_GB2312" w:cs="Times New Roman"/>
          <w:color w:val="333333"/>
          <w:kern w:val="0"/>
          <w:sz w:val="32"/>
          <w:szCs w:val="32"/>
          <w:lang w:eastAsia="zh-CN"/>
        </w:rPr>
        <w:t>工作</w:t>
      </w:r>
      <w:r>
        <w:rPr>
          <w:rFonts w:hint="default" w:ascii="Times New Roman" w:hAnsi="Times New Roman" w:eastAsia="仿宋_GB2312" w:cs="Times New Roman"/>
          <w:color w:val="333333"/>
          <w:kern w:val="0"/>
          <w:sz w:val="32"/>
          <w:szCs w:val="32"/>
        </w:rPr>
        <w:t>人员不断学习进步。</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3.积极探索向社会购买服务的模式，继续扩大机关后勤服务社会化程度。</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p>
    <w:p>
      <w:pPr>
        <w:keepNext w:val="0"/>
        <w:keepLines w:val="0"/>
        <w:pageBreakBefore w:val="0"/>
        <w:kinsoku/>
        <w:wordWrap/>
        <w:overflowPunct/>
        <w:autoSpaceDE/>
        <w:autoSpaceDN/>
        <w:bidi w:val="0"/>
        <w:adjustRightInd/>
        <w:snapToGrid/>
        <w:spacing w:line="560" w:lineRule="exact"/>
        <w:ind w:firstLine="880" w:firstLineChars="20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正文：</w:t>
      </w:r>
      <w:r>
        <w:rPr>
          <w:rFonts w:hint="default" w:ascii="Times New Roman" w:hAnsi="Times New Roman" w:eastAsia="方正小标宋简体" w:cs="Times New Roman"/>
          <w:sz w:val="44"/>
          <w:szCs w:val="44"/>
          <w:lang w:eastAsia="zh-CN"/>
        </w:rPr>
        <w:t>机关后勤服务综合管理</w:t>
      </w:r>
      <w:r>
        <w:rPr>
          <w:rFonts w:hint="default" w:ascii="Times New Roman" w:hAnsi="Times New Roman" w:eastAsia="方正小标宋简体" w:cs="Times New Roman"/>
          <w:sz w:val="44"/>
          <w:szCs w:val="44"/>
        </w:rPr>
        <w:t>项目</w:t>
      </w:r>
    </w:p>
    <w:p>
      <w:pPr>
        <w:keepNext w:val="0"/>
        <w:keepLines w:val="0"/>
        <w:pageBreakBefore w:val="0"/>
        <w:kinsoku/>
        <w:wordWrap/>
        <w:overflowPunct/>
        <w:autoSpaceDE/>
        <w:autoSpaceDN/>
        <w:bidi w:val="0"/>
        <w:adjustRightInd/>
        <w:snapToGrid/>
        <w:spacing w:line="560" w:lineRule="exact"/>
        <w:ind w:firstLine="880" w:firstLineChars="20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支出绩效自评报告</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一、项目基本情况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（一）项目概况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1.立项背景及目的</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机关事务管理服务中心的主要工作职责是为区委、区政府及区级国家机关各部委办局提供机关后勤综合服务。为贯彻党的</w:t>
      </w:r>
      <w:r>
        <w:rPr>
          <w:rFonts w:hint="default" w:ascii="Times New Roman" w:hAnsi="Times New Roman" w:eastAsia="仿宋_GB2312" w:cs="Times New Roman"/>
          <w:color w:val="333333"/>
          <w:kern w:val="0"/>
          <w:sz w:val="32"/>
          <w:szCs w:val="32"/>
          <w:lang w:eastAsia="zh-CN"/>
        </w:rPr>
        <w:t>二十</w:t>
      </w:r>
      <w:r>
        <w:rPr>
          <w:rFonts w:hint="default" w:ascii="Times New Roman" w:hAnsi="Times New Roman" w:eastAsia="仿宋_GB2312" w:cs="Times New Roman"/>
          <w:color w:val="333333"/>
          <w:kern w:val="0"/>
          <w:sz w:val="32"/>
          <w:szCs w:val="32"/>
        </w:rPr>
        <w:t>大精神，我单位紧紧围绕区委、区政府中心工作，切实履行各项职责，高效服务，力促发展，保障了区委、区政府各项工作高效有序运转。通过完善安全保卫、绿化保洁、车辆管理、水电维修、机关食堂、会议服务等各项工作职责及服务流程，狠抓日常工作落实及服务监管，为区委、区政府提供了后勤保障服务。</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为确保区委、区政府后勤服务</w:t>
      </w:r>
      <w:r>
        <w:rPr>
          <w:rFonts w:hint="eastAsia" w:ascii="Times New Roman" w:hAnsi="Times New Roman" w:eastAsia="仿宋_GB2312" w:cs="Times New Roman"/>
          <w:color w:val="333333"/>
          <w:kern w:val="0"/>
          <w:sz w:val="32"/>
          <w:szCs w:val="32"/>
          <w:lang w:eastAsia="zh-CN"/>
        </w:rPr>
        <w:t>工作</w:t>
      </w:r>
      <w:r>
        <w:rPr>
          <w:rFonts w:hint="default" w:ascii="Times New Roman" w:hAnsi="Times New Roman" w:eastAsia="仿宋_GB2312" w:cs="Times New Roman"/>
          <w:color w:val="333333"/>
          <w:kern w:val="0"/>
          <w:sz w:val="32"/>
          <w:szCs w:val="32"/>
        </w:rPr>
        <w:t>正常开展，上级机关交办事项办理到位，需申请机关后勤服务综合管理费</w:t>
      </w:r>
      <w:r>
        <w:rPr>
          <w:rFonts w:hint="default" w:ascii="Times New Roman" w:hAnsi="Times New Roman" w:eastAsia="仿宋_GB2312" w:cs="Times New Roman"/>
          <w:color w:val="333333"/>
          <w:kern w:val="0"/>
          <w:sz w:val="32"/>
          <w:szCs w:val="32"/>
          <w:lang w:val="en-US" w:eastAsia="zh-CN"/>
        </w:rPr>
        <w:t>1160.24</w:t>
      </w:r>
      <w:r>
        <w:rPr>
          <w:rFonts w:hint="default" w:ascii="Times New Roman" w:hAnsi="Times New Roman" w:eastAsia="仿宋_GB2312" w:cs="Times New Roman"/>
          <w:color w:val="333333"/>
          <w:kern w:val="0"/>
          <w:sz w:val="32"/>
          <w:szCs w:val="32"/>
        </w:rPr>
        <w:t>万元，用于机关食堂、会议服务、水电维修、车队驾驶员服务费</w:t>
      </w:r>
      <w:r>
        <w:rPr>
          <w:rFonts w:hint="eastAsia"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color w:val="333333"/>
          <w:kern w:val="0"/>
          <w:sz w:val="32"/>
          <w:szCs w:val="32"/>
        </w:rPr>
        <w:t>劳务派遣等人员的工资、社保等支出；各办公区、住宅区安全保卫、保洁、绿化等物业服务支出；用于服务工作中的综合费用，包括</w:t>
      </w:r>
      <w:r>
        <w:rPr>
          <w:rFonts w:hint="eastAsia" w:ascii="Times New Roman" w:hAnsi="Times New Roman" w:eastAsia="仿宋_GB2312" w:cs="Times New Roman"/>
          <w:color w:val="333333"/>
          <w:kern w:val="0"/>
          <w:sz w:val="32"/>
          <w:szCs w:val="32"/>
          <w:lang w:val="en-US" w:eastAsia="zh-CN"/>
        </w:rPr>
        <w:t>人员</w:t>
      </w:r>
      <w:r>
        <w:rPr>
          <w:rFonts w:hint="default" w:ascii="Times New Roman" w:hAnsi="Times New Roman" w:eastAsia="仿宋_GB2312" w:cs="Times New Roman"/>
          <w:color w:val="333333"/>
          <w:kern w:val="0"/>
          <w:sz w:val="32"/>
          <w:szCs w:val="32"/>
        </w:rPr>
        <w:t>办公费、服装费、体检费、学习培训费；安保装备、消防器材补充及维护费用</w:t>
      </w:r>
      <w:r>
        <w:rPr>
          <w:rFonts w:hint="eastAsia"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color w:val="333333"/>
          <w:kern w:val="0"/>
          <w:sz w:val="32"/>
          <w:szCs w:val="32"/>
        </w:rPr>
        <w:t>消防系统维护费；办公区监控、门禁系统维护费；机关办公楼住宅区水池清洗、化粪池清理、垃圾清运、卫生清扫费；电梯、配电室、发电机等系统维保费以及保障后勤工作正常运转的其它支出。</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2.项目实施情况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在区委、区政府的正确领导下，机关事务管理服务中心202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年充分调动工作人员的积极性，全年安保人员在完成日常工作的基础上综合训练102次，来访人员登记</w:t>
      </w:r>
      <w:r>
        <w:rPr>
          <w:rFonts w:hint="default" w:ascii="Times New Roman" w:hAnsi="Times New Roman" w:eastAsia="仿宋_GB2312" w:cs="Times New Roman"/>
          <w:color w:val="333333"/>
          <w:kern w:val="0"/>
          <w:sz w:val="32"/>
          <w:szCs w:val="32"/>
          <w:lang w:val="en-US" w:eastAsia="zh-CN"/>
        </w:rPr>
        <w:t>1920余</w:t>
      </w:r>
      <w:r>
        <w:rPr>
          <w:rFonts w:hint="default" w:ascii="Times New Roman" w:hAnsi="Times New Roman" w:eastAsia="仿宋_GB2312" w:cs="Times New Roman"/>
          <w:color w:val="333333"/>
          <w:kern w:val="0"/>
          <w:sz w:val="32"/>
          <w:szCs w:val="32"/>
        </w:rPr>
        <w:t>次，维持信访秩序</w:t>
      </w:r>
      <w:r>
        <w:rPr>
          <w:rFonts w:hint="default" w:ascii="Times New Roman" w:hAnsi="Times New Roman" w:eastAsia="仿宋_GB2312" w:cs="Times New Roman"/>
          <w:color w:val="333333"/>
          <w:kern w:val="0"/>
          <w:sz w:val="32"/>
          <w:szCs w:val="32"/>
          <w:lang w:val="en-US" w:eastAsia="zh-CN"/>
        </w:rPr>
        <w:t>35</w:t>
      </w:r>
      <w:r>
        <w:rPr>
          <w:rFonts w:hint="default" w:ascii="Times New Roman" w:hAnsi="Times New Roman" w:eastAsia="仿宋_GB2312" w:cs="Times New Roman"/>
          <w:color w:val="333333"/>
          <w:kern w:val="0"/>
          <w:sz w:val="32"/>
          <w:szCs w:val="32"/>
        </w:rPr>
        <w:t>余次，完成了</w:t>
      </w:r>
      <w:r>
        <w:rPr>
          <w:rFonts w:hint="default" w:ascii="Times New Roman" w:hAnsi="Times New Roman" w:eastAsia="仿宋_GB2312" w:cs="Times New Roman"/>
          <w:color w:val="333333"/>
          <w:kern w:val="0"/>
          <w:sz w:val="32"/>
          <w:szCs w:val="32"/>
          <w:lang w:val="en-US" w:eastAsia="zh-CN"/>
        </w:rPr>
        <w:t>305余</w:t>
      </w:r>
      <w:r>
        <w:rPr>
          <w:rFonts w:hint="default" w:ascii="Times New Roman" w:hAnsi="Times New Roman" w:eastAsia="仿宋_GB2312" w:cs="Times New Roman"/>
          <w:color w:val="333333"/>
          <w:kern w:val="0"/>
          <w:sz w:val="32"/>
          <w:szCs w:val="32"/>
        </w:rPr>
        <w:t>次重要会议及活动的安保服务；</w:t>
      </w:r>
      <w:r>
        <w:rPr>
          <w:rFonts w:hint="default" w:ascii="Times New Roman" w:hAnsi="Times New Roman" w:eastAsia="仿宋_GB2312" w:cs="Times New Roman"/>
          <w:b w:val="0"/>
          <w:bCs w:val="0"/>
          <w:color w:val="auto"/>
          <w:sz w:val="32"/>
          <w:szCs w:val="32"/>
          <w:lang w:val="en-US" w:eastAsia="zh-CN"/>
        </w:rPr>
        <w:t>全</w:t>
      </w:r>
      <w:r>
        <w:rPr>
          <w:rFonts w:hint="default" w:ascii="Times New Roman" w:hAnsi="Times New Roman" w:eastAsia="仿宋_GB2312" w:cs="Times New Roman"/>
          <w:b w:val="0"/>
          <w:bCs w:val="0"/>
          <w:color w:val="auto"/>
          <w:sz w:val="32"/>
          <w:szCs w:val="32"/>
          <w:lang w:eastAsia="zh-CN"/>
        </w:rPr>
        <w:t>年</w:t>
      </w:r>
      <w:r>
        <w:rPr>
          <w:rFonts w:hint="default" w:ascii="Times New Roman" w:hAnsi="Times New Roman" w:eastAsia="仿宋_GB2312" w:cs="Times New Roman"/>
          <w:b w:val="0"/>
          <w:bCs w:val="0"/>
          <w:color w:val="auto"/>
          <w:sz w:val="32"/>
          <w:szCs w:val="32"/>
        </w:rPr>
        <w:t>为会议室</w:t>
      </w:r>
      <w:r>
        <w:rPr>
          <w:rFonts w:hint="default" w:ascii="Times New Roman" w:hAnsi="Times New Roman" w:eastAsia="仿宋_GB2312" w:cs="Times New Roman"/>
          <w:b w:val="0"/>
          <w:bCs w:val="0"/>
          <w:color w:val="auto"/>
          <w:sz w:val="32"/>
          <w:szCs w:val="32"/>
          <w:lang w:eastAsia="zh-CN"/>
        </w:rPr>
        <w:t>消毒及清洁</w:t>
      </w:r>
      <w:r>
        <w:rPr>
          <w:rFonts w:hint="default" w:ascii="Times New Roman" w:hAnsi="Times New Roman" w:eastAsia="仿宋_GB2312" w:cs="Times New Roman"/>
          <w:b w:val="0"/>
          <w:bCs w:val="0"/>
          <w:color w:val="auto"/>
          <w:sz w:val="32"/>
          <w:szCs w:val="32"/>
          <w:lang w:val="en-US" w:eastAsia="zh-CN"/>
        </w:rPr>
        <w:t>3261</w:t>
      </w:r>
      <w:r>
        <w:rPr>
          <w:rFonts w:hint="default" w:ascii="Times New Roman" w:hAnsi="Times New Roman" w:eastAsia="仿宋_GB2312" w:cs="Times New Roman"/>
          <w:b w:val="0"/>
          <w:bCs w:val="0"/>
          <w:color w:val="auto"/>
          <w:sz w:val="32"/>
          <w:szCs w:val="32"/>
        </w:rPr>
        <w:t>场次，平台及电梯清洁</w:t>
      </w:r>
      <w:r>
        <w:rPr>
          <w:rFonts w:hint="default" w:ascii="Times New Roman" w:hAnsi="Times New Roman" w:eastAsia="仿宋_GB2312" w:cs="Times New Roman"/>
          <w:b w:val="0"/>
          <w:bCs w:val="0"/>
          <w:color w:val="auto"/>
          <w:sz w:val="32"/>
          <w:szCs w:val="32"/>
          <w:lang w:val="en-US" w:eastAsia="zh-CN"/>
        </w:rPr>
        <w:t>24</w:t>
      </w:r>
      <w:r>
        <w:rPr>
          <w:rFonts w:hint="default" w:ascii="Times New Roman" w:hAnsi="Times New Roman" w:eastAsia="仿宋_GB2312" w:cs="Times New Roman"/>
          <w:b w:val="0"/>
          <w:bCs w:val="0"/>
          <w:color w:val="auto"/>
          <w:sz w:val="32"/>
          <w:szCs w:val="32"/>
        </w:rPr>
        <w:t>次，卫生大扫除</w:t>
      </w:r>
      <w:r>
        <w:rPr>
          <w:rFonts w:hint="default" w:ascii="Times New Roman" w:hAnsi="Times New Roman" w:eastAsia="仿宋_GB2312" w:cs="Times New Roman"/>
          <w:b w:val="0"/>
          <w:bCs w:val="0"/>
          <w:color w:val="auto"/>
          <w:sz w:val="32"/>
          <w:szCs w:val="32"/>
          <w:lang w:val="en-US" w:eastAsia="zh-CN"/>
        </w:rPr>
        <w:t>24</w:t>
      </w:r>
      <w:r>
        <w:rPr>
          <w:rFonts w:hint="default" w:ascii="Times New Roman" w:hAnsi="Times New Roman" w:eastAsia="仿宋_GB2312" w:cs="Times New Roman"/>
          <w:b w:val="0"/>
          <w:bCs w:val="0"/>
          <w:color w:val="auto"/>
          <w:sz w:val="32"/>
          <w:szCs w:val="32"/>
        </w:rPr>
        <w:t>次，卫生日巡查</w:t>
      </w:r>
      <w:r>
        <w:rPr>
          <w:rFonts w:hint="default" w:ascii="Times New Roman" w:hAnsi="Times New Roman" w:eastAsia="仿宋_GB2312" w:cs="Times New Roman"/>
          <w:b w:val="0"/>
          <w:bCs w:val="0"/>
          <w:color w:val="auto"/>
          <w:sz w:val="32"/>
          <w:szCs w:val="32"/>
          <w:lang w:val="en-US" w:eastAsia="zh-CN"/>
        </w:rPr>
        <w:t>300</w:t>
      </w:r>
      <w:r>
        <w:rPr>
          <w:rFonts w:hint="default" w:ascii="Times New Roman" w:hAnsi="Times New Roman" w:eastAsia="仿宋_GB2312" w:cs="Times New Roman"/>
          <w:b w:val="0"/>
          <w:bCs w:val="0"/>
          <w:color w:val="auto"/>
          <w:sz w:val="32"/>
          <w:szCs w:val="32"/>
        </w:rPr>
        <w:t>余次，周检查</w:t>
      </w:r>
      <w:r>
        <w:rPr>
          <w:rFonts w:hint="default" w:ascii="Times New Roman" w:hAnsi="Times New Roman" w:eastAsia="仿宋_GB2312" w:cs="Times New Roman"/>
          <w:b w:val="0"/>
          <w:bCs w:val="0"/>
          <w:color w:val="auto"/>
          <w:sz w:val="32"/>
          <w:szCs w:val="32"/>
          <w:lang w:val="en-US" w:eastAsia="zh-CN"/>
        </w:rPr>
        <w:t>50余</w:t>
      </w:r>
      <w:r>
        <w:rPr>
          <w:rFonts w:hint="default" w:ascii="Times New Roman" w:hAnsi="Times New Roman" w:eastAsia="仿宋_GB2312" w:cs="Times New Roman"/>
          <w:b w:val="0"/>
          <w:bCs w:val="0"/>
          <w:color w:val="auto"/>
          <w:sz w:val="32"/>
          <w:szCs w:val="32"/>
        </w:rPr>
        <w:t>次，月督查评比</w:t>
      </w:r>
      <w:r>
        <w:rPr>
          <w:rFonts w:hint="default" w:ascii="Times New Roman" w:hAnsi="Times New Roman" w:eastAsia="仿宋_GB2312" w:cs="Times New Roman"/>
          <w:b w:val="0"/>
          <w:bCs w:val="0"/>
          <w:color w:val="auto"/>
          <w:sz w:val="32"/>
          <w:szCs w:val="32"/>
          <w:lang w:val="en-US" w:eastAsia="zh-CN"/>
        </w:rPr>
        <w:t>12</w:t>
      </w:r>
      <w:r>
        <w:rPr>
          <w:rFonts w:hint="default" w:ascii="Times New Roman" w:hAnsi="Times New Roman" w:eastAsia="仿宋_GB2312" w:cs="Times New Roman"/>
          <w:b w:val="0"/>
          <w:bCs w:val="0"/>
          <w:color w:val="auto"/>
          <w:sz w:val="32"/>
          <w:szCs w:val="32"/>
        </w:rPr>
        <w:t>次，综合检查及督导整改</w:t>
      </w:r>
      <w:r>
        <w:rPr>
          <w:rFonts w:hint="default" w:ascii="Times New Roman" w:hAnsi="Times New Roman" w:eastAsia="仿宋_GB2312" w:cs="Times New Roman"/>
          <w:b w:val="0"/>
          <w:bCs w:val="0"/>
          <w:color w:val="auto"/>
          <w:sz w:val="32"/>
          <w:szCs w:val="32"/>
          <w:lang w:val="en-US" w:eastAsia="zh-CN"/>
        </w:rPr>
        <w:t>17</w:t>
      </w:r>
      <w:r>
        <w:rPr>
          <w:rFonts w:hint="default" w:ascii="Times New Roman" w:hAnsi="Times New Roman" w:eastAsia="仿宋_GB2312" w:cs="Times New Roman"/>
          <w:b w:val="0"/>
          <w:bCs w:val="0"/>
          <w:color w:val="auto"/>
          <w:sz w:val="32"/>
          <w:szCs w:val="32"/>
        </w:rPr>
        <w:t>次</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做好防冻及保暖护苗等措施</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共覆盖遮阴网</w:t>
      </w:r>
      <w:r>
        <w:rPr>
          <w:rFonts w:hint="default" w:ascii="Times New Roman" w:hAnsi="Times New Roman" w:eastAsia="仿宋_GB2312" w:cs="Times New Roman"/>
          <w:b w:val="0"/>
          <w:bCs w:val="0"/>
          <w:color w:val="auto"/>
          <w:sz w:val="32"/>
          <w:szCs w:val="32"/>
          <w:lang w:val="en-US" w:eastAsia="zh-CN"/>
        </w:rPr>
        <w:t>2600</w:t>
      </w:r>
      <w:r>
        <w:rPr>
          <w:rFonts w:hint="default" w:ascii="Times New Roman" w:hAnsi="Times New Roman" w:eastAsia="仿宋_GB2312" w:cs="Times New Roman"/>
          <w:b w:val="0"/>
          <w:bCs w:val="0"/>
          <w:color w:val="auto"/>
          <w:sz w:val="32"/>
          <w:szCs w:val="32"/>
        </w:rPr>
        <w:t>余米，防冻保暖护苗</w:t>
      </w:r>
      <w:r>
        <w:rPr>
          <w:rFonts w:hint="default" w:ascii="Times New Roman" w:hAnsi="Times New Roman" w:eastAsia="仿宋_GB2312" w:cs="Times New Roman"/>
          <w:b w:val="0"/>
          <w:bCs w:val="0"/>
          <w:color w:val="auto"/>
          <w:sz w:val="32"/>
          <w:szCs w:val="32"/>
          <w:lang w:val="en-US" w:eastAsia="zh-CN"/>
        </w:rPr>
        <w:t>320</w:t>
      </w:r>
      <w:r>
        <w:rPr>
          <w:rFonts w:hint="default" w:ascii="Times New Roman" w:hAnsi="Times New Roman" w:eastAsia="仿宋_GB2312" w:cs="Times New Roman"/>
          <w:b w:val="0"/>
          <w:bCs w:val="0"/>
          <w:color w:val="auto"/>
          <w:sz w:val="32"/>
          <w:szCs w:val="32"/>
        </w:rPr>
        <w:t>余盆。</w:t>
      </w:r>
      <w:r>
        <w:rPr>
          <w:rFonts w:hint="default" w:ascii="Times New Roman" w:hAnsi="Times New Roman" w:eastAsia="仿宋_GB2312" w:cs="Times New Roman"/>
          <w:b w:val="0"/>
          <w:bCs w:val="0"/>
          <w:color w:val="auto"/>
          <w:sz w:val="32"/>
          <w:szCs w:val="32"/>
          <w:lang w:eastAsia="zh-CN"/>
        </w:rPr>
        <w:t>更换办公区花卉</w:t>
      </w:r>
      <w:r>
        <w:rPr>
          <w:rFonts w:hint="default" w:ascii="Times New Roman" w:hAnsi="Times New Roman" w:eastAsia="仿宋_GB2312" w:cs="Times New Roman"/>
          <w:b w:val="0"/>
          <w:bCs w:val="0"/>
          <w:color w:val="auto"/>
          <w:sz w:val="32"/>
          <w:szCs w:val="32"/>
          <w:lang w:val="en-US" w:eastAsia="zh-CN"/>
        </w:rPr>
        <w:t>120余盆，</w:t>
      </w:r>
      <w:r>
        <w:rPr>
          <w:rFonts w:hint="default" w:ascii="Times New Roman" w:hAnsi="Times New Roman" w:eastAsia="仿宋_GB2312" w:cs="Times New Roman"/>
          <w:b w:val="0"/>
          <w:bCs w:val="0"/>
          <w:color w:val="auto"/>
          <w:sz w:val="32"/>
          <w:szCs w:val="32"/>
        </w:rPr>
        <w:t>施肥</w:t>
      </w:r>
      <w:r>
        <w:rPr>
          <w:rFonts w:hint="default" w:ascii="Times New Roman" w:hAnsi="Times New Roman" w:eastAsia="仿宋_GB2312" w:cs="Times New Roman"/>
          <w:b w:val="0"/>
          <w:bCs w:val="0"/>
          <w:color w:val="auto"/>
          <w:sz w:val="32"/>
          <w:szCs w:val="32"/>
          <w:lang w:val="en-US" w:eastAsia="zh-CN"/>
        </w:rPr>
        <w:t>12</w:t>
      </w:r>
      <w:r>
        <w:rPr>
          <w:rFonts w:hint="default" w:ascii="Times New Roman" w:hAnsi="Times New Roman" w:eastAsia="仿宋_GB2312" w:cs="Times New Roman"/>
          <w:b w:val="0"/>
          <w:bCs w:val="0"/>
          <w:color w:val="auto"/>
          <w:sz w:val="32"/>
          <w:szCs w:val="32"/>
        </w:rPr>
        <w:t>次，打药</w:t>
      </w:r>
      <w:r>
        <w:rPr>
          <w:rFonts w:hint="default" w:ascii="Times New Roman" w:hAnsi="Times New Roman" w:eastAsia="仿宋_GB2312" w:cs="Times New Roman"/>
          <w:b w:val="0"/>
          <w:bCs w:val="0"/>
          <w:color w:val="auto"/>
          <w:sz w:val="32"/>
          <w:szCs w:val="32"/>
          <w:lang w:val="en-US" w:eastAsia="zh-CN"/>
        </w:rPr>
        <w:t>18</w:t>
      </w:r>
      <w:r>
        <w:rPr>
          <w:rFonts w:hint="default" w:ascii="Times New Roman" w:hAnsi="Times New Roman" w:eastAsia="仿宋_GB2312" w:cs="Times New Roman"/>
          <w:b w:val="0"/>
          <w:bCs w:val="0"/>
          <w:color w:val="auto"/>
          <w:sz w:val="32"/>
          <w:szCs w:val="32"/>
        </w:rPr>
        <w:t>次，整体除杂草</w:t>
      </w:r>
      <w:r>
        <w:rPr>
          <w:rFonts w:hint="default" w:ascii="Times New Roman" w:hAnsi="Times New Roman" w:eastAsia="仿宋_GB2312" w:cs="Times New Roman"/>
          <w:b w:val="0"/>
          <w:bCs w:val="0"/>
          <w:color w:val="auto"/>
          <w:sz w:val="32"/>
          <w:szCs w:val="32"/>
          <w:lang w:val="en-US" w:eastAsia="zh-CN"/>
        </w:rPr>
        <w:t>7</w:t>
      </w:r>
      <w:r>
        <w:rPr>
          <w:rFonts w:hint="default" w:ascii="Times New Roman" w:hAnsi="Times New Roman" w:eastAsia="仿宋_GB2312" w:cs="Times New Roman"/>
          <w:b w:val="0"/>
          <w:bCs w:val="0"/>
          <w:color w:val="auto"/>
          <w:sz w:val="32"/>
          <w:szCs w:val="32"/>
        </w:rPr>
        <w:t>次，修枝</w:t>
      </w:r>
      <w:r>
        <w:rPr>
          <w:rFonts w:hint="default" w:ascii="Times New Roman" w:hAnsi="Times New Roman" w:eastAsia="仿宋_GB2312" w:cs="Times New Roman"/>
          <w:b w:val="0"/>
          <w:bCs w:val="0"/>
          <w:color w:val="auto"/>
          <w:sz w:val="32"/>
          <w:szCs w:val="32"/>
          <w:lang w:val="en-US" w:eastAsia="zh-CN"/>
        </w:rPr>
        <w:t>30余</w:t>
      </w:r>
      <w:r>
        <w:rPr>
          <w:rFonts w:hint="default" w:ascii="Times New Roman" w:hAnsi="Times New Roman" w:eastAsia="仿宋_GB2312" w:cs="Times New Roman"/>
          <w:b w:val="0"/>
          <w:bCs w:val="0"/>
          <w:color w:val="auto"/>
          <w:sz w:val="32"/>
          <w:szCs w:val="32"/>
        </w:rPr>
        <w:t>次、</w:t>
      </w:r>
      <w:r>
        <w:rPr>
          <w:rFonts w:hint="default" w:ascii="Times New Roman" w:hAnsi="Times New Roman" w:eastAsia="仿宋_GB2312" w:cs="Times New Roman"/>
          <w:b w:val="0"/>
          <w:bCs w:val="0"/>
          <w:color w:val="auto"/>
          <w:sz w:val="32"/>
          <w:szCs w:val="32"/>
          <w:lang w:val="en-US" w:eastAsia="zh-CN"/>
        </w:rPr>
        <w:t>1200</w:t>
      </w:r>
      <w:r>
        <w:rPr>
          <w:rFonts w:hint="default" w:ascii="Times New Roman" w:hAnsi="Times New Roman" w:eastAsia="仿宋_GB2312" w:cs="Times New Roman"/>
          <w:b w:val="0"/>
          <w:bCs w:val="0"/>
          <w:color w:val="auto"/>
          <w:sz w:val="32"/>
          <w:szCs w:val="32"/>
        </w:rPr>
        <w:t>余盆（株）</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color w:val="auto"/>
          <w:sz w:val="32"/>
          <w:szCs w:val="32"/>
          <w:lang w:eastAsia="zh-CN"/>
        </w:rPr>
        <w:t>严格</w:t>
      </w:r>
      <w:r>
        <w:rPr>
          <w:rFonts w:hint="default" w:ascii="Times New Roman" w:hAnsi="Times New Roman" w:eastAsia="仿宋_GB2312" w:cs="Times New Roman"/>
          <w:color w:val="auto"/>
          <w:sz w:val="32"/>
          <w:szCs w:val="32"/>
        </w:rPr>
        <w:t>日常检查登记制度，消防设施检查</w:t>
      </w:r>
      <w:r>
        <w:rPr>
          <w:rFonts w:hint="default" w:ascii="Times New Roman" w:hAnsi="Times New Roman" w:eastAsia="仿宋_GB2312" w:cs="Times New Roman"/>
          <w:color w:val="auto"/>
          <w:sz w:val="32"/>
          <w:szCs w:val="32"/>
          <w:lang w:val="en-US" w:eastAsia="zh-CN"/>
        </w:rPr>
        <w:t>50</w:t>
      </w:r>
      <w:r>
        <w:rPr>
          <w:rFonts w:hint="default" w:ascii="Times New Roman" w:hAnsi="Times New Roman" w:eastAsia="仿宋_GB2312" w:cs="Times New Roman"/>
          <w:color w:val="auto"/>
          <w:sz w:val="32"/>
          <w:szCs w:val="32"/>
        </w:rPr>
        <w:t>余次，消防安全隐患大检查</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次，</w:t>
      </w:r>
      <w:r>
        <w:rPr>
          <w:rFonts w:hint="default" w:ascii="Times New Roman" w:hAnsi="Times New Roman" w:eastAsia="仿宋_GB2312" w:cs="Times New Roman"/>
          <w:color w:val="auto"/>
          <w:sz w:val="32"/>
          <w:szCs w:val="32"/>
          <w:lang w:eastAsia="zh-CN"/>
        </w:rPr>
        <w:t>充装</w:t>
      </w:r>
      <w:r>
        <w:rPr>
          <w:rFonts w:hint="default" w:ascii="Times New Roman" w:hAnsi="Times New Roman" w:eastAsia="仿宋_GB2312" w:cs="Times New Roman"/>
          <w:color w:val="auto"/>
          <w:sz w:val="32"/>
          <w:szCs w:val="32"/>
        </w:rPr>
        <w:t>气压未达标灭火器</w:t>
      </w:r>
      <w:r>
        <w:rPr>
          <w:rFonts w:hint="default" w:ascii="Times New Roman" w:hAnsi="Times New Roman" w:eastAsia="仿宋_GB2312" w:cs="Times New Roman"/>
          <w:color w:val="auto"/>
          <w:sz w:val="32"/>
          <w:szCs w:val="32"/>
          <w:lang w:val="en-US" w:eastAsia="zh-CN"/>
        </w:rPr>
        <w:t>80余</w:t>
      </w:r>
      <w:r>
        <w:rPr>
          <w:rFonts w:hint="default" w:ascii="Times New Roman" w:hAnsi="Times New Roman" w:eastAsia="仿宋_GB2312" w:cs="Times New Roman"/>
          <w:color w:val="auto"/>
          <w:sz w:val="32"/>
          <w:szCs w:val="32"/>
        </w:rPr>
        <w:t>具，</w:t>
      </w:r>
      <w:r>
        <w:rPr>
          <w:rFonts w:hint="default" w:ascii="Times New Roman" w:hAnsi="Times New Roman" w:eastAsia="仿宋_GB2312" w:cs="Times New Roman"/>
          <w:color w:val="auto"/>
          <w:sz w:val="32"/>
          <w:szCs w:val="32"/>
          <w:lang w:eastAsia="zh-CN"/>
        </w:rPr>
        <w:t>更换消防安全指示牌</w:t>
      </w:r>
      <w:r>
        <w:rPr>
          <w:rFonts w:hint="default" w:ascii="Times New Roman" w:hAnsi="Times New Roman" w:eastAsia="仿宋_GB2312" w:cs="Times New Roman"/>
          <w:color w:val="auto"/>
          <w:sz w:val="32"/>
          <w:szCs w:val="32"/>
          <w:lang w:val="en-US" w:eastAsia="zh-CN"/>
        </w:rPr>
        <w:t>2块，应急灯3盏；</w:t>
      </w:r>
      <w:r>
        <w:rPr>
          <w:rFonts w:hint="default" w:ascii="Times New Roman" w:hAnsi="Times New Roman" w:eastAsia="仿宋_GB2312" w:cs="Times New Roman"/>
          <w:color w:val="auto"/>
          <w:kern w:val="2"/>
          <w:sz w:val="32"/>
          <w:szCs w:val="32"/>
          <w:lang w:val="en-US" w:eastAsia="zh-CN" w:bidi="ar-SA"/>
        </w:rPr>
        <w:t>开展食材等市场调查、调价42次，对比市场行情，管控供货价格，节约资金约57.9余万元；</w:t>
      </w:r>
      <w:r>
        <w:rPr>
          <w:rFonts w:hint="default" w:ascii="Times New Roman" w:hAnsi="Times New Roman" w:eastAsia="仿宋_GB2312" w:cs="Times New Roman"/>
          <w:sz w:val="32"/>
          <w:szCs w:val="32"/>
          <w:lang w:eastAsia="zh-CN"/>
        </w:rPr>
        <w:t>保障</w:t>
      </w:r>
      <w:r>
        <w:rPr>
          <w:rFonts w:hint="default" w:ascii="Times New Roman" w:hAnsi="Times New Roman" w:eastAsia="仿宋_GB2312" w:cs="Times New Roman"/>
          <w:sz w:val="32"/>
          <w:szCs w:val="32"/>
        </w:rPr>
        <w:t>党代会、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两会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等</w:t>
      </w:r>
      <w:r>
        <w:rPr>
          <w:rFonts w:hint="default" w:ascii="Times New Roman" w:hAnsi="Times New Roman" w:eastAsia="仿宋_GB2312" w:cs="Times New Roman"/>
          <w:sz w:val="32"/>
          <w:szCs w:val="32"/>
          <w:lang w:eastAsia="zh-CN"/>
        </w:rPr>
        <w:t>各项</w:t>
      </w:r>
      <w:r>
        <w:rPr>
          <w:rFonts w:hint="default" w:ascii="Times New Roman" w:hAnsi="Times New Roman" w:eastAsia="仿宋_GB2312" w:cs="Times New Roman"/>
          <w:sz w:val="32"/>
          <w:szCs w:val="32"/>
        </w:rPr>
        <w:t>会议接待服务工作，以高度的责任心，</w:t>
      </w:r>
      <w:r>
        <w:rPr>
          <w:rFonts w:hint="default" w:ascii="Times New Roman" w:hAnsi="Times New Roman" w:eastAsia="仿宋_GB2312" w:cs="Times New Roman"/>
          <w:sz w:val="32"/>
          <w:szCs w:val="32"/>
          <w:lang w:eastAsia="zh-CN"/>
        </w:rPr>
        <w:t>完成了相关会务保障工作；</w:t>
      </w:r>
      <w:r>
        <w:rPr>
          <w:rFonts w:hint="default" w:ascii="Times New Roman" w:hAnsi="Times New Roman" w:eastAsia="仿宋_GB2312" w:cs="Times New Roman"/>
          <w:sz w:val="32"/>
          <w:szCs w:val="32"/>
        </w:rPr>
        <w:t>2022年全年食堂为区</w:t>
      </w:r>
      <w:r>
        <w:rPr>
          <w:rFonts w:hint="eastAsia" w:ascii="Times New Roman" w:hAnsi="Times New Roman" w:eastAsia="仿宋_GB2312" w:cs="Times New Roman"/>
          <w:sz w:val="32"/>
          <w:szCs w:val="32"/>
          <w:lang w:val="en-US" w:eastAsia="zh-CN"/>
        </w:rPr>
        <w:t>级</w:t>
      </w:r>
      <w:r>
        <w:rPr>
          <w:rFonts w:hint="default" w:ascii="Times New Roman" w:hAnsi="Times New Roman" w:eastAsia="仿宋_GB2312" w:cs="Times New Roman"/>
          <w:sz w:val="32"/>
          <w:szCs w:val="32"/>
        </w:rPr>
        <w:t>机关干部、职工提供早餐173297人次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中餐269500人次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晚餐39132人次</w:t>
      </w:r>
      <w:r>
        <w:rPr>
          <w:rFonts w:hint="default" w:ascii="Times New Roman" w:hAnsi="Times New Roman" w:eastAsia="仿宋_GB2312" w:cs="Times New Roman"/>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3.资金来源及使用情况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我单位项目经费来源</w:t>
      </w:r>
      <w:r>
        <w:rPr>
          <w:rFonts w:hint="default" w:ascii="Times New Roman" w:hAnsi="Times New Roman" w:eastAsia="仿宋_GB2312" w:cs="Times New Roman"/>
          <w:color w:val="333333"/>
          <w:kern w:val="0"/>
          <w:sz w:val="32"/>
          <w:szCs w:val="32"/>
        </w:rPr>
        <w:t>根据《</w:t>
      </w:r>
      <w:r>
        <w:rPr>
          <w:rFonts w:hint="default" w:ascii="Times New Roman" w:hAnsi="Times New Roman" w:eastAsia="仿宋_GB2312" w:cs="Times New Roman"/>
          <w:color w:val="333333"/>
          <w:kern w:val="0"/>
          <w:sz w:val="32"/>
          <w:szCs w:val="32"/>
          <w:lang w:eastAsia="zh-CN"/>
        </w:rPr>
        <w:t>昆明市盘龙区财政局关于批复</w:t>
      </w:r>
      <w:r>
        <w:rPr>
          <w:rFonts w:hint="default" w:ascii="Times New Roman" w:hAnsi="Times New Roman" w:eastAsia="仿宋_GB2312" w:cs="Times New Roman"/>
          <w:color w:val="333333"/>
          <w:kern w:val="0"/>
          <w:sz w:val="32"/>
          <w:szCs w:val="32"/>
          <w:lang w:val="en-US" w:eastAsia="zh-CN"/>
        </w:rPr>
        <w:t>2022年部门预算的通知</w:t>
      </w:r>
      <w:r>
        <w:rPr>
          <w:rFonts w:hint="default" w:ascii="Times New Roman" w:hAnsi="Times New Roman" w:eastAsia="仿宋_GB2312" w:cs="Times New Roman"/>
          <w:color w:val="333333"/>
          <w:kern w:val="0"/>
          <w:sz w:val="32"/>
          <w:szCs w:val="32"/>
        </w:rPr>
        <w:t>》（盘财〔</w:t>
      </w:r>
      <w:r>
        <w:rPr>
          <w:rFonts w:hint="default" w:ascii="Times New Roman" w:hAnsi="Times New Roman" w:eastAsia="仿宋_GB2312" w:cs="Times New Roman"/>
          <w:color w:val="333333"/>
          <w:kern w:val="0"/>
          <w:sz w:val="32"/>
          <w:szCs w:val="32"/>
          <w:lang w:val="en-US" w:eastAsia="zh-CN"/>
        </w:rPr>
        <w:t>2022</w:t>
      </w:r>
      <w:r>
        <w:rPr>
          <w:rFonts w:hint="default" w:ascii="Times New Roman" w:hAnsi="Times New Roman" w:eastAsia="仿宋_GB2312" w:cs="Times New Roman"/>
          <w:color w:val="333333"/>
          <w:kern w:val="0"/>
          <w:sz w:val="32"/>
          <w:szCs w:val="32"/>
        </w:rPr>
        <w:t>〕1号）文件安排项目资金</w:t>
      </w:r>
      <w:r>
        <w:rPr>
          <w:rFonts w:hint="default" w:ascii="Times New Roman" w:hAnsi="Times New Roman" w:eastAsia="仿宋_GB2312" w:cs="Times New Roman"/>
          <w:color w:val="333333"/>
          <w:kern w:val="0"/>
          <w:sz w:val="32"/>
          <w:szCs w:val="32"/>
          <w:lang w:val="en-US" w:eastAsia="zh-CN"/>
        </w:rPr>
        <w:t>1160.24</w:t>
      </w:r>
      <w:r>
        <w:rPr>
          <w:rFonts w:hint="default" w:ascii="Times New Roman" w:hAnsi="Times New Roman" w:eastAsia="仿宋_GB2312" w:cs="Times New Roman"/>
          <w:color w:val="333333"/>
          <w:kern w:val="0"/>
          <w:sz w:val="32"/>
          <w:szCs w:val="32"/>
        </w:rPr>
        <w:t>万元，资金来源全部为区级财政拨款。截</w:t>
      </w:r>
      <w:r>
        <w:rPr>
          <w:rFonts w:hint="default" w:ascii="Times New Roman" w:hAnsi="Times New Roman" w:eastAsia="仿宋_GB2312" w:cs="Times New Roman"/>
          <w:color w:val="333333"/>
          <w:kern w:val="0"/>
          <w:sz w:val="32"/>
          <w:szCs w:val="32"/>
          <w:lang w:eastAsia="zh-CN"/>
        </w:rPr>
        <w:t>止</w:t>
      </w:r>
      <w:r>
        <w:rPr>
          <w:rFonts w:hint="default" w:ascii="Times New Roman" w:hAnsi="Times New Roman" w:eastAsia="仿宋_GB2312" w:cs="Times New Roman"/>
          <w:color w:val="333333"/>
          <w:kern w:val="0"/>
          <w:sz w:val="32"/>
          <w:szCs w:val="32"/>
        </w:rPr>
        <w:t>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年12月31日，</w:t>
      </w:r>
      <w:r>
        <w:rPr>
          <w:rFonts w:hint="default" w:ascii="Times New Roman" w:hAnsi="Times New Roman" w:eastAsia="仿宋_GB2312" w:cs="Times New Roman"/>
          <w:color w:val="333333"/>
          <w:kern w:val="0"/>
          <w:sz w:val="32"/>
          <w:szCs w:val="32"/>
          <w:lang w:eastAsia="zh-CN"/>
        </w:rPr>
        <w:t>机关后勤服务综合管理专项</w:t>
      </w:r>
      <w:r>
        <w:rPr>
          <w:rFonts w:hint="default" w:ascii="Times New Roman" w:hAnsi="Times New Roman" w:eastAsia="仿宋_GB2312" w:cs="Times New Roman"/>
          <w:color w:val="333333"/>
          <w:kern w:val="0"/>
          <w:sz w:val="32"/>
          <w:szCs w:val="32"/>
        </w:rPr>
        <w:t>经费</w:t>
      </w:r>
      <w:r>
        <w:rPr>
          <w:rFonts w:hint="default" w:ascii="Times New Roman" w:hAnsi="Times New Roman" w:eastAsia="仿宋_GB2312" w:cs="Times New Roman"/>
          <w:color w:val="333333"/>
          <w:kern w:val="0"/>
          <w:sz w:val="32"/>
          <w:szCs w:val="32"/>
          <w:lang w:eastAsia="zh-CN"/>
        </w:rPr>
        <w:t>已支出</w:t>
      </w:r>
      <w:r>
        <w:rPr>
          <w:rFonts w:hint="default" w:ascii="Times New Roman" w:hAnsi="Times New Roman" w:eastAsia="仿宋_GB2312" w:cs="Times New Roman"/>
          <w:color w:val="333333"/>
          <w:kern w:val="0"/>
          <w:sz w:val="32"/>
          <w:szCs w:val="32"/>
          <w:lang w:val="en-US" w:eastAsia="zh-CN"/>
        </w:rPr>
        <w:t>1078.9万元</w:t>
      </w:r>
      <w:r>
        <w:rPr>
          <w:rFonts w:hint="default" w:ascii="Times New Roman" w:hAnsi="Times New Roman" w:eastAsia="仿宋_GB2312" w:cs="Times New Roman"/>
          <w:color w:val="333333"/>
          <w:kern w:val="0"/>
          <w:sz w:val="32"/>
          <w:szCs w:val="32"/>
        </w:rPr>
        <w:t>，主要用于支付物业管理费、劳务费、维修费、材料费、委托业务费、设备购置费等</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4.组织及管理情况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（1）物业管理费情况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我单位负责八个集中办公区、七个住宅区的卫生保洁、绿化管养工作，我单位通过公开招标的方式确定了物业服务公司。按照中标通知及相关的服务合同约定，物业服务费在当月考核合格后按月支付。通过对资金支付申请、付款单据等相关原始资料的检查，本项目资金拨付审批手续完整，支出依据合规，未发现虚列套取、截留、挤占、挪用情况和超标准开支的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（2）劳务费情况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我单位负责</w:t>
      </w:r>
      <w:r>
        <w:rPr>
          <w:rFonts w:hint="eastAsia" w:ascii="Times New Roman" w:hAnsi="Times New Roman" w:eastAsia="仿宋_GB2312" w:cs="Times New Roman"/>
          <w:color w:val="333333"/>
          <w:kern w:val="0"/>
          <w:sz w:val="32"/>
          <w:szCs w:val="32"/>
          <w:lang w:eastAsia="zh-CN"/>
        </w:rPr>
        <w:t>各</w:t>
      </w:r>
      <w:r>
        <w:rPr>
          <w:rFonts w:hint="default" w:ascii="Times New Roman" w:hAnsi="Times New Roman" w:eastAsia="仿宋_GB2312" w:cs="Times New Roman"/>
          <w:color w:val="333333"/>
          <w:kern w:val="0"/>
          <w:sz w:val="32"/>
          <w:szCs w:val="32"/>
        </w:rPr>
        <w:t>集中办公区、住宅区的安全保卫、消防安全工作，我单位通过公开招标的方式确定了安保服务公司。按照中标通知及相关的服务合同约定，安保服务费在当月考核合格后按月支付。通过对资金支付申请、付款单据等相关原始资料的检查，本项目资金拨付审批手续完整，支出依据合规，未发现虚列套取、截留、挤占、挪用情况和超标准开支的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（3）我单位负责为</w:t>
      </w:r>
      <w:r>
        <w:rPr>
          <w:rFonts w:hint="eastAsia" w:ascii="Times New Roman" w:hAnsi="Times New Roman" w:eastAsia="仿宋_GB2312" w:cs="Times New Roman"/>
          <w:color w:val="333333"/>
          <w:kern w:val="0"/>
          <w:sz w:val="32"/>
          <w:szCs w:val="32"/>
          <w:lang w:val="en-US" w:eastAsia="zh-CN"/>
        </w:rPr>
        <w:t>区级各部委办局</w:t>
      </w:r>
      <w:r>
        <w:rPr>
          <w:rFonts w:hint="default" w:ascii="Times New Roman" w:hAnsi="Times New Roman" w:eastAsia="仿宋_GB2312" w:cs="Times New Roman"/>
          <w:color w:val="333333"/>
          <w:kern w:val="0"/>
          <w:sz w:val="32"/>
          <w:szCs w:val="32"/>
        </w:rPr>
        <w:t>提供机关食堂、会议服务、车辆管理等服务工作，我单位通过公开招标的方式确定了服务公司。按照中标通知及相关的服务合同约定，服务费在当月考核合格后按月支付。通过对资金支付申请、付款单据等相关原始资料的检查，本项目资金拨付审批手续完整，支出依据合规，未发现虚列套取、截留、挤占、挪用情况和超标准开支的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（4）项目管理情况分析</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我单位及时支付</w:t>
      </w:r>
      <w:r>
        <w:rPr>
          <w:rFonts w:hint="eastAsia" w:ascii="Times New Roman" w:hAnsi="Times New Roman" w:eastAsia="仿宋_GB2312" w:cs="Times New Roman"/>
          <w:color w:val="333333"/>
          <w:kern w:val="0"/>
          <w:sz w:val="32"/>
          <w:szCs w:val="32"/>
          <w:lang w:eastAsia="zh-CN"/>
        </w:rPr>
        <w:t>各项目费用</w:t>
      </w:r>
      <w:r>
        <w:rPr>
          <w:rFonts w:hint="default" w:ascii="Times New Roman" w:hAnsi="Times New Roman" w:eastAsia="仿宋_GB2312" w:cs="Times New Roman"/>
          <w:color w:val="333333"/>
          <w:kern w:val="0"/>
          <w:sz w:val="32"/>
          <w:szCs w:val="32"/>
        </w:rPr>
        <w:t>，并对支付明细进行核对，确保发放准确，日常办公经费、维修费、材料费等支出情况及时进行审核及报销。财务监控主要由内部审核监控及外部审计监控完成，内部监控通过分管领导及负责人对项目支出签字审批实现，每一笔项目经费的开支在核定的支出限额和范围内实行据实凭票报账制，及时进行账务处理和会计核算，并进行严格监督检查，做到专款专用，不存在违规使用情况，外部监控则由区财政局实施项目决算批复实现</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（二）绩效目标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1.总目标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确保后勤服务正常开展，上级机关交办事项办理到位，为各办公区、住宅区提供安全保卫、保洁绿化等物业服务以及机关食堂、会议服务、水电维修、消防、监控等综合后勤管理服务</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2.年度目标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完成</w:t>
      </w:r>
      <w:r>
        <w:rPr>
          <w:rFonts w:hint="eastAsia" w:ascii="Times New Roman" w:hAnsi="Times New Roman" w:eastAsia="仿宋_GB2312" w:cs="Times New Roman"/>
          <w:color w:val="333333"/>
          <w:kern w:val="0"/>
          <w:sz w:val="32"/>
          <w:szCs w:val="32"/>
          <w:lang w:eastAsia="zh-CN"/>
        </w:rPr>
        <w:t>各</w:t>
      </w:r>
      <w:r>
        <w:rPr>
          <w:rFonts w:hint="default" w:ascii="Times New Roman" w:hAnsi="Times New Roman" w:eastAsia="仿宋_GB2312" w:cs="Times New Roman"/>
          <w:color w:val="333333"/>
          <w:kern w:val="0"/>
          <w:sz w:val="32"/>
          <w:szCs w:val="32"/>
        </w:rPr>
        <w:t>集中办公区、住宅区的安全保卫、消防安全工作，全年开展各单位安全知识培训及消防安全演练不少于2次，重点保障区两会、区委全会、政府全会等重要会议的安保工作，协助维持好信访秩序等；完成</w:t>
      </w:r>
      <w:r>
        <w:rPr>
          <w:rFonts w:hint="eastAsia" w:ascii="Times New Roman" w:hAnsi="Times New Roman" w:eastAsia="仿宋_GB2312" w:cs="Times New Roman"/>
          <w:color w:val="333333"/>
          <w:kern w:val="0"/>
          <w:sz w:val="32"/>
          <w:szCs w:val="32"/>
          <w:lang w:eastAsia="zh-CN"/>
        </w:rPr>
        <w:t>各</w:t>
      </w:r>
      <w:r>
        <w:rPr>
          <w:rFonts w:hint="default" w:ascii="Times New Roman" w:hAnsi="Times New Roman" w:eastAsia="仿宋_GB2312" w:cs="Times New Roman"/>
          <w:color w:val="333333"/>
          <w:kern w:val="0"/>
          <w:sz w:val="32"/>
          <w:szCs w:val="32"/>
        </w:rPr>
        <w:t>集中办公区、住宅区的卫生保洁、绿化管养工作，重点完成重要会议及活动的保洁工作，完成重大节日的绿化氛围营造工作；完成集中办公区工作人员餐饮服务，做好食品留样工作，确保食品安全，全年组织员工健康体检不少于1次；完成区委、区政府会议服务工作，重点保障好区两会、区委全会、政府全会等重要会议的服务保障工作；完成好办公区、住宅区的水电维修、设备检查等工作，重点做好电梯、发电机等设备的安全保障工作；完成好应急、综合执法、机要通信的车辆保障工作，做好日常保养维护工作，确保行车安全；做好田溪公园</w:t>
      </w:r>
      <w:r>
        <w:rPr>
          <w:rFonts w:hint="eastAsia" w:ascii="Times New Roman" w:hAnsi="Times New Roman" w:eastAsia="仿宋_GB2312" w:cs="Times New Roman"/>
          <w:color w:val="333333"/>
          <w:kern w:val="0"/>
          <w:sz w:val="32"/>
          <w:szCs w:val="32"/>
          <w:lang w:eastAsia="zh-CN"/>
        </w:rPr>
        <w:t>和白邑寺公园</w:t>
      </w:r>
      <w:r>
        <w:rPr>
          <w:rFonts w:hint="default" w:ascii="Times New Roman" w:hAnsi="Times New Roman" w:eastAsia="仿宋_GB2312" w:cs="Times New Roman"/>
          <w:color w:val="333333"/>
          <w:kern w:val="0"/>
          <w:sz w:val="32"/>
          <w:szCs w:val="32"/>
        </w:rPr>
        <w:t>管</w:t>
      </w:r>
      <w:r>
        <w:rPr>
          <w:rFonts w:hint="eastAsia" w:ascii="Times New Roman" w:hAnsi="Times New Roman" w:eastAsia="仿宋_GB2312" w:cs="Times New Roman"/>
          <w:color w:val="333333"/>
          <w:kern w:val="0"/>
          <w:sz w:val="32"/>
          <w:szCs w:val="32"/>
          <w:lang w:eastAsia="zh-CN"/>
        </w:rPr>
        <w:t>养</w:t>
      </w:r>
      <w:r>
        <w:rPr>
          <w:rFonts w:hint="default" w:ascii="Times New Roman" w:hAnsi="Times New Roman" w:eastAsia="仿宋_GB2312" w:cs="Times New Roman"/>
          <w:color w:val="333333"/>
          <w:kern w:val="0"/>
          <w:sz w:val="32"/>
          <w:szCs w:val="32"/>
        </w:rPr>
        <w:t>工作，重点做好公园内绿化管养及卫生保洁工作</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二、绩效评价工作情况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_GB2312" w:cs="Times New Roman"/>
          <w:sz w:val="32"/>
          <w:szCs w:val="32"/>
        </w:rPr>
        <w:t>（一）绩效评价目的</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（二）绩效评价工作方案制定过程</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1.前期调研</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本次绩效评价开始前，评价组对项目开展、资金使用管理、财务处理等</w:t>
      </w:r>
      <w:r>
        <w:rPr>
          <w:rFonts w:hint="eastAsia" w:ascii="Times New Roman" w:hAnsi="Times New Roman" w:eastAsia="仿宋_GB2312" w:cs="Times New Roman"/>
          <w:color w:val="333333"/>
          <w:kern w:val="0"/>
          <w:sz w:val="32"/>
          <w:szCs w:val="32"/>
          <w:lang w:eastAsia="zh-CN"/>
        </w:rPr>
        <w:t>情况</w:t>
      </w:r>
      <w:r>
        <w:rPr>
          <w:rFonts w:hint="default" w:ascii="Times New Roman" w:hAnsi="Times New Roman" w:eastAsia="仿宋_GB2312" w:cs="Times New Roman"/>
          <w:color w:val="333333"/>
          <w:kern w:val="0"/>
          <w:sz w:val="32"/>
          <w:szCs w:val="32"/>
        </w:rPr>
        <w:t>进行前期调研，掌握项目运行的第一手资料，为该项目绩效评价工作的开展打下坚实的基础</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2.研究文件</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评价组对</w:t>
      </w:r>
      <w:r>
        <w:rPr>
          <w:rFonts w:hint="default" w:ascii="Times New Roman" w:hAnsi="Times New Roman" w:eastAsia="仿宋_GB2312" w:cs="Times New Roman"/>
          <w:sz w:val="32"/>
          <w:szCs w:val="32"/>
        </w:rPr>
        <w:t>《盘龙区区级部门预算绩效自评管理暂行办法》和《昆明市盘龙区财政局关于开展202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年度区级预算支出绩效自评工作的通知》</w:t>
      </w:r>
      <w:r>
        <w:rPr>
          <w:rFonts w:hint="default" w:ascii="Times New Roman" w:hAnsi="Times New Roman" w:eastAsia="仿宋_GB2312" w:cs="Times New Roman"/>
          <w:color w:val="333333"/>
          <w:kern w:val="0"/>
          <w:sz w:val="32"/>
          <w:szCs w:val="32"/>
        </w:rPr>
        <w:t>进行了认真研究，以确保绩效评价工作符合区财政局的相关要求</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3.绩效评价指标体系及工作方案的设计</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（三）绩效评价原则、评价方法</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1.绩效评价原则</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评价工作组秉承科学规范、客观公正、定性定量的原则，采取计划标准、历史标准相结合的方式开展绩效评价</w:t>
      </w:r>
      <w:r>
        <w:rPr>
          <w:rFonts w:hint="default" w:ascii="Times New Roman" w:hAnsi="Times New Roman" w:eastAsia="仿宋_GB2312" w:cs="Times New Roman"/>
          <w:sz w:val="32"/>
          <w:szCs w:val="32"/>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2.绩效评价方法</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eastAsia" w:ascii="Times New Roman" w:hAnsi="Times New Roman" w:eastAsia="仿宋_GB2312" w:cs="Times New Roman"/>
          <w:color w:val="333333"/>
          <w:kern w:val="0"/>
          <w:sz w:val="32"/>
          <w:szCs w:val="32"/>
          <w:lang w:eastAsia="zh-CN"/>
        </w:rPr>
      </w:pPr>
      <w:r>
        <w:rPr>
          <w:rFonts w:hint="default" w:ascii="Times New Roman" w:hAnsi="Times New Roman" w:eastAsia="仿宋_GB2312" w:cs="Times New Roman"/>
          <w:color w:val="333333"/>
          <w:kern w:val="0"/>
          <w:sz w:val="32"/>
          <w:szCs w:val="32"/>
        </w:rPr>
        <w:t>此次评价采用</w:t>
      </w:r>
      <w:r>
        <w:rPr>
          <w:rFonts w:hint="default" w:ascii="Times New Roman" w:hAnsi="Times New Roman" w:eastAsia="仿宋_GB2312" w:cs="Times New Roman"/>
          <w:color w:val="333333"/>
          <w:kern w:val="0"/>
          <w:sz w:val="32"/>
          <w:szCs w:val="32"/>
          <w:lang w:eastAsia="zh-CN"/>
        </w:rPr>
        <w:t>比较分析法、访谈法、抽查法、问卷调查法</w:t>
      </w:r>
      <w:r>
        <w:rPr>
          <w:rFonts w:hint="default" w:ascii="Times New Roman" w:hAnsi="Times New Roman" w:eastAsia="仿宋_GB2312" w:cs="Times New Roman"/>
          <w:color w:val="333333"/>
          <w:kern w:val="0"/>
          <w:sz w:val="32"/>
          <w:szCs w:val="32"/>
        </w:rPr>
        <w:t>等方式进行</w:t>
      </w:r>
      <w:r>
        <w:rPr>
          <w:rFonts w:hint="eastAsia" w:ascii="Times New Roman" w:hAnsi="Times New Roman" w:eastAsia="仿宋_GB2312" w:cs="Times New Roman"/>
          <w:color w:val="333333"/>
          <w:kern w:val="0"/>
          <w:sz w:val="32"/>
          <w:szCs w:val="32"/>
          <w:lang w:eastAsia="zh-CN"/>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 xml:space="preserve">比较分析法：把两个相互联系的指标数据加以比较分析，借以做出程度性判断，分绝对数比较和相对数比较，如将实际成本与预算成本相比较。 </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 xml:space="preserve">访谈法：随机访谈了相关工作人员，根据被询问者的答复搜集客观的、不带偏见的事实材料和评语。 </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抽查法：抽查全部资金到位情况。</w:t>
      </w:r>
    </w:p>
    <w:p>
      <w:pPr>
        <w:keepNext w:val="0"/>
        <w:keepLines w:val="0"/>
        <w:pageBreakBefore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问卷调查法：围绕财务制度执行情况，相关管理办法是否执行等情况向相关人员开展广泛调查，获取第一手资料</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楷体_GB2312" w:cs="Times New Roman"/>
          <w:sz w:val="32"/>
          <w:szCs w:val="32"/>
        </w:rPr>
        <w:t>（四）绩效评价实施过程</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1.数据填报和采集</w:t>
      </w:r>
    </w:p>
    <w:p>
      <w:pPr>
        <w:keepNext w:val="0"/>
        <w:keepLines w:val="0"/>
        <w:pageBreakBefore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评价组严格按照昆明市盘龙区财政局关于印发《盘龙区区级部门预算绩效自评管理暂行办法》的要求，结合本单位项目支出财务资料和202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年决算资料进行相关数据采集和填报</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.数据分析和撰写报告</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（五）本次绩效评价的局限性</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仿宋_GB2312" w:cs="Times New Roman"/>
          <w:color w:val="333333"/>
          <w:kern w:val="0"/>
          <w:sz w:val="32"/>
          <w:szCs w:val="32"/>
        </w:rPr>
        <w:t>由于该项目为</w:t>
      </w:r>
      <w:r>
        <w:rPr>
          <w:rFonts w:hint="default" w:ascii="Times New Roman" w:hAnsi="Times New Roman" w:eastAsia="仿宋_GB2312" w:cs="Times New Roman"/>
          <w:color w:val="333333"/>
          <w:kern w:val="0"/>
          <w:sz w:val="32"/>
          <w:szCs w:val="32"/>
          <w:lang w:eastAsia="zh-CN"/>
        </w:rPr>
        <w:t>经常性</w:t>
      </w:r>
      <w:r>
        <w:rPr>
          <w:rFonts w:hint="default" w:ascii="Times New Roman" w:hAnsi="Times New Roman" w:eastAsia="仿宋_GB2312" w:cs="Times New Roman"/>
          <w:color w:val="333333"/>
          <w:kern w:val="0"/>
          <w:sz w:val="32"/>
          <w:szCs w:val="32"/>
        </w:rPr>
        <w:t>项目，故以本单位实际开展日常工作情况为绩效效果进行考评，且资金管理由本单位进行统一管理</w:t>
      </w:r>
      <w:r>
        <w:rPr>
          <w:rFonts w:hint="default" w:ascii="Times New Roman" w:hAnsi="Times New Roman" w:eastAsia="楷体"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三、评价结论和绩效分析</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（一）评价结论</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1.评价结果</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综上，根据《盘龙区区级部门预算绩效自评管理暂行办法》，项目绩效评价得分为</w:t>
      </w:r>
      <w:r>
        <w:rPr>
          <w:rFonts w:hint="default" w:ascii="Times New Roman" w:hAnsi="Times New Roman" w:eastAsia="仿宋_GB2312" w:cs="Times New Roman"/>
          <w:color w:val="333333"/>
          <w:kern w:val="0"/>
          <w:sz w:val="32"/>
          <w:szCs w:val="32"/>
          <w:lang w:val="en-US" w:eastAsia="zh-CN"/>
        </w:rPr>
        <w:t>94</w:t>
      </w:r>
      <w:r>
        <w:rPr>
          <w:rFonts w:hint="default" w:ascii="Times New Roman" w:hAnsi="Times New Roman" w:eastAsia="仿宋_GB2312" w:cs="Times New Roman"/>
          <w:color w:val="333333"/>
          <w:kern w:val="0"/>
          <w:sz w:val="32"/>
          <w:szCs w:val="32"/>
        </w:rPr>
        <w:t>分，自评结果为</w:t>
      </w:r>
      <w:r>
        <w:rPr>
          <w:rFonts w:hint="default" w:ascii="Times New Roman" w:hAnsi="Times New Roman" w:eastAsia="仿宋_GB2312" w:cs="Times New Roman"/>
          <w:color w:val="333333"/>
          <w:kern w:val="0"/>
          <w:sz w:val="32"/>
          <w:szCs w:val="32"/>
          <w:lang w:eastAsia="zh-CN"/>
        </w:rPr>
        <w:t>优。</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2.主要绩效</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333333"/>
          <w:kern w:val="0"/>
          <w:sz w:val="32"/>
          <w:szCs w:val="32"/>
        </w:rPr>
        <w:t>本项目不属于投资建设类项目，主要内容为我单位管理的集中办公区、住宅区的安保、保洁、绿化人员</w:t>
      </w:r>
      <w:r>
        <w:rPr>
          <w:rFonts w:hint="eastAsia" w:ascii="Times New Roman" w:hAnsi="Times New Roman" w:eastAsia="仿宋_GB2312" w:cs="Times New Roman"/>
          <w:color w:val="333333"/>
          <w:kern w:val="0"/>
          <w:sz w:val="32"/>
          <w:szCs w:val="32"/>
          <w:lang w:eastAsia="zh-CN"/>
        </w:rPr>
        <w:t>服务</w:t>
      </w:r>
      <w:r>
        <w:rPr>
          <w:rFonts w:hint="default" w:ascii="Times New Roman" w:hAnsi="Times New Roman" w:eastAsia="仿宋_GB2312" w:cs="Times New Roman"/>
          <w:color w:val="333333"/>
          <w:kern w:val="0"/>
          <w:sz w:val="32"/>
          <w:szCs w:val="32"/>
        </w:rPr>
        <w:t>费用及机关食堂、会议服务、水电维修等人员</w:t>
      </w:r>
      <w:r>
        <w:rPr>
          <w:rFonts w:hint="eastAsia" w:ascii="Times New Roman" w:hAnsi="Times New Roman" w:eastAsia="仿宋_GB2312" w:cs="Times New Roman"/>
          <w:color w:val="333333"/>
          <w:kern w:val="0"/>
          <w:sz w:val="32"/>
          <w:szCs w:val="32"/>
          <w:lang w:eastAsia="zh-CN"/>
        </w:rPr>
        <w:t>服务费用，劳务派遣人员的</w:t>
      </w:r>
      <w:r>
        <w:rPr>
          <w:rFonts w:hint="default" w:ascii="Times New Roman" w:hAnsi="Times New Roman" w:eastAsia="仿宋_GB2312" w:cs="Times New Roman"/>
          <w:color w:val="333333"/>
          <w:kern w:val="0"/>
          <w:sz w:val="32"/>
          <w:szCs w:val="32"/>
        </w:rPr>
        <w:t>工资、社保等支出。机关事务管理服务中心202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年度完成工作效益较好，保证了区委、区政府各项工作的顺利开展</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（二）具体绩效分析</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color w:val="333333"/>
          <w:kern w:val="0"/>
          <w:sz w:val="32"/>
          <w:szCs w:val="32"/>
        </w:rPr>
        <w:t>具体详见附件1</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sz w:val="32"/>
          <w:szCs w:val="32"/>
        </w:rPr>
        <w:t>项目支出绩效评价共性指标体系框架</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 w:cs="Times New Roman"/>
          <w:sz w:val="32"/>
          <w:szCs w:val="32"/>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四、成本效益分析。</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（一）项目经济性分析</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1.项目成本控制情况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根据昆明市盘龙区财政局《关于下达盘龙区202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年部门预算的批复》（盘财〔202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〕1号）下达机关事务管理服务中心202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年“机关后勤服务综合管理费”</w:t>
      </w:r>
      <w:r>
        <w:rPr>
          <w:rFonts w:hint="default" w:ascii="Times New Roman" w:hAnsi="Times New Roman" w:eastAsia="仿宋_GB2312" w:cs="Times New Roman"/>
          <w:color w:val="333333"/>
          <w:kern w:val="0"/>
          <w:sz w:val="32"/>
          <w:szCs w:val="32"/>
          <w:lang w:val="en-US" w:eastAsia="zh-CN"/>
        </w:rPr>
        <w:t>1160.24万</w:t>
      </w:r>
      <w:r>
        <w:rPr>
          <w:rFonts w:hint="default" w:ascii="Times New Roman" w:hAnsi="Times New Roman" w:eastAsia="仿宋_GB2312" w:cs="Times New Roman"/>
          <w:color w:val="333333"/>
          <w:kern w:val="0"/>
          <w:sz w:val="32"/>
          <w:szCs w:val="32"/>
        </w:rPr>
        <w:t>元，</w:t>
      </w:r>
      <w:r>
        <w:rPr>
          <w:rFonts w:hint="default" w:ascii="Times New Roman" w:hAnsi="Times New Roman" w:eastAsia="仿宋_GB2312" w:cs="Times New Roman"/>
          <w:color w:val="333333"/>
          <w:kern w:val="0"/>
          <w:sz w:val="32"/>
          <w:szCs w:val="32"/>
          <w:lang w:val="en-US" w:eastAsia="zh-CN"/>
        </w:rPr>
        <w:t>2022年实际收到财政拨款1077.9万元</w:t>
      </w:r>
      <w:r>
        <w:rPr>
          <w:rFonts w:hint="default" w:ascii="Times New Roman" w:hAnsi="Times New Roman" w:eastAsia="仿宋_GB2312" w:cs="Times New Roman"/>
          <w:color w:val="333333"/>
          <w:kern w:val="0"/>
          <w:sz w:val="32"/>
          <w:szCs w:val="32"/>
        </w:rPr>
        <w:t>，用于安保、保洁、绿化人员</w:t>
      </w:r>
      <w:r>
        <w:rPr>
          <w:rFonts w:hint="eastAsia" w:ascii="Times New Roman" w:hAnsi="Times New Roman" w:eastAsia="仿宋_GB2312" w:cs="Times New Roman"/>
          <w:color w:val="333333"/>
          <w:kern w:val="0"/>
          <w:sz w:val="32"/>
          <w:szCs w:val="32"/>
          <w:lang w:eastAsia="zh-CN"/>
        </w:rPr>
        <w:t>服务</w:t>
      </w:r>
      <w:r>
        <w:rPr>
          <w:rFonts w:hint="default" w:ascii="Times New Roman" w:hAnsi="Times New Roman" w:eastAsia="仿宋_GB2312" w:cs="Times New Roman"/>
          <w:color w:val="333333"/>
          <w:kern w:val="0"/>
          <w:sz w:val="32"/>
          <w:szCs w:val="32"/>
        </w:rPr>
        <w:t>费用及机关食堂、会议服务、水电维修等人员的</w:t>
      </w:r>
      <w:r>
        <w:rPr>
          <w:rFonts w:hint="eastAsia" w:ascii="Times New Roman" w:hAnsi="Times New Roman" w:eastAsia="仿宋_GB2312" w:cs="Times New Roman"/>
          <w:color w:val="333333"/>
          <w:kern w:val="0"/>
          <w:sz w:val="32"/>
          <w:szCs w:val="32"/>
          <w:lang w:eastAsia="zh-CN"/>
        </w:rPr>
        <w:t>服务费用，劳务派遣人员的</w:t>
      </w:r>
      <w:r>
        <w:rPr>
          <w:rFonts w:hint="default" w:ascii="Times New Roman" w:hAnsi="Times New Roman" w:eastAsia="仿宋_GB2312" w:cs="Times New Roman"/>
          <w:color w:val="333333"/>
          <w:kern w:val="0"/>
          <w:sz w:val="32"/>
          <w:szCs w:val="32"/>
        </w:rPr>
        <w:t>工资、社保等支出。机关事务管理服务中心相关财务资料显示资金支出</w:t>
      </w:r>
      <w:r>
        <w:rPr>
          <w:rFonts w:hint="default" w:ascii="Times New Roman" w:hAnsi="Times New Roman" w:eastAsia="仿宋_GB2312" w:cs="Times New Roman"/>
          <w:color w:val="333333"/>
          <w:kern w:val="0"/>
          <w:sz w:val="32"/>
          <w:szCs w:val="32"/>
          <w:lang w:val="en-US" w:eastAsia="zh-CN"/>
        </w:rPr>
        <w:t>1077.9万</w:t>
      </w:r>
      <w:r>
        <w:rPr>
          <w:rFonts w:hint="default" w:ascii="Times New Roman" w:hAnsi="Times New Roman" w:eastAsia="仿宋_GB2312" w:cs="Times New Roman"/>
          <w:color w:val="333333"/>
          <w:kern w:val="0"/>
          <w:sz w:val="32"/>
          <w:szCs w:val="32"/>
        </w:rPr>
        <w:t>元，项目资金使用控制在预算范围内。</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2.项目的效率性分析</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根据相关的项目资料显示，截止202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年12月31日，本单位各项工作均有序进行。</w:t>
      </w:r>
      <w:bookmarkStart w:id="0" w:name="_Toc28106"/>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（二）项目的效益性分析</w:t>
      </w:r>
      <w:bookmarkEnd w:id="0"/>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1.经济效益</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机关各办公区、住宅区</w:t>
      </w:r>
      <w:r>
        <w:rPr>
          <w:rFonts w:hint="eastAsia" w:ascii="Times New Roman" w:hAnsi="Times New Roman" w:eastAsia="仿宋_GB2312" w:cs="Times New Roman"/>
          <w:sz w:val="32"/>
          <w:szCs w:val="32"/>
          <w:lang w:val="en-US" w:eastAsia="zh-CN"/>
        </w:rPr>
        <w:t>安保</w:t>
      </w:r>
      <w:r>
        <w:rPr>
          <w:rFonts w:hint="default" w:ascii="Times New Roman" w:hAnsi="Times New Roman" w:eastAsia="仿宋_GB2312" w:cs="Times New Roman"/>
          <w:sz w:val="32"/>
          <w:szCs w:val="32"/>
        </w:rPr>
        <w:t>、绿化、维护管理是一项后勤保障工作，其直接和间接的经济效益难以计算。在本项目的实施过程中，其直接和间接的经济效益主要体现在：</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盘龙区机关事务管理服务中心的</w:t>
      </w:r>
      <w:r>
        <w:rPr>
          <w:rFonts w:hint="eastAsia" w:ascii="Times New Roman" w:hAnsi="Times New Roman" w:eastAsia="仿宋_GB2312" w:cs="Times New Roman"/>
          <w:sz w:val="32"/>
          <w:szCs w:val="32"/>
          <w:lang w:val="en-US" w:eastAsia="zh-CN"/>
        </w:rPr>
        <w:t>安保</w:t>
      </w:r>
      <w:r>
        <w:rPr>
          <w:rFonts w:hint="default" w:ascii="Times New Roman" w:hAnsi="Times New Roman" w:eastAsia="仿宋_GB2312" w:cs="Times New Roman"/>
          <w:sz w:val="32"/>
          <w:szCs w:val="32"/>
        </w:rPr>
        <w:t>、保洁、绿化、餐饮服务、会议服务、车队驾驶员服务费等采取购买服务的方式，聘请专业的</w:t>
      </w:r>
      <w:r>
        <w:rPr>
          <w:rFonts w:hint="eastAsia" w:ascii="Times New Roman" w:hAnsi="Times New Roman" w:eastAsia="仿宋_GB2312" w:cs="Times New Roman"/>
          <w:sz w:val="32"/>
          <w:szCs w:val="32"/>
          <w:lang w:val="en-US" w:eastAsia="zh-CN"/>
        </w:rPr>
        <w:t>安保</w:t>
      </w:r>
      <w:r>
        <w:rPr>
          <w:rFonts w:hint="default" w:ascii="Times New Roman" w:hAnsi="Times New Roman" w:eastAsia="仿宋_GB2312" w:cs="Times New Roman"/>
          <w:sz w:val="32"/>
          <w:szCs w:val="32"/>
        </w:rPr>
        <w:t>公司及物业公司。通过公司完善的用人管理模式和业务管理模式，最大限度地降低机关事务管理服务中心人力资源利用成本和风险。如：工资薪酬的发放、社会保险的代收代缴、合同的签订、续订和解除，相关问题和争议的处理、日常一系列的人事管理等全部由专业公司负责。机关事务管理服务中心不但提高了管理服务水平，还有效地降低人员运行成本。</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2.社会效益</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机关各办公区、住宅区</w:t>
      </w:r>
      <w:r>
        <w:rPr>
          <w:rFonts w:hint="eastAsia" w:ascii="Times New Roman" w:hAnsi="Times New Roman" w:eastAsia="仿宋_GB2312" w:cs="Times New Roman"/>
          <w:sz w:val="32"/>
          <w:szCs w:val="32"/>
          <w:lang w:val="en-US" w:eastAsia="zh-CN"/>
        </w:rPr>
        <w:t>安保</w:t>
      </w:r>
      <w:r>
        <w:rPr>
          <w:rFonts w:hint="default" w:ascii="Times New Roman" w:hAnsi="Times New Roman" w:eastAsia="仿宋_GB2312" w:cs="Times New Roman"/>
          <w:sz w:val="32"/>
          <w:szCs w:val="32"/>
        </w:rPr>
        <w:t>、绿化、维护管理工作是区委、区政府各项工作正常运行的重要保障，社会效益主要体现在以下几方面：</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（1）有效的</w:t>
      </w:r>
      <w:r>
        <w:rPr>
          <w:rFonts w:hint="eastAsia" w:ascii="Times New Roman" w:hAnsi="Times New Roman" w:eastAsia="仿宋_GB2312" w:cs="Times New Roman"/>
          <w:sz w:val="32"/>
          <w:szCs w:val="32"/>
          <w:lang w:val="en-US" w:eastAsia="zh-CN"/>
        </w:rPr>
        <w:t>安保</w:t>
      </w:r>
      <w:r>
        <w:rPr>
          <w:rFonts w:hint="default" w:ascii="Times New Roman" w:hAnsi="Times New Roman" w:eastAsia="仿宋_GB2312" w:cs="Times New Roman"/>
          <w:sz w:val="32"/>
          <w:szCs w:val="32"/>
        </w:rPr>
        <w:t>工作是单位各项工作得以正常运行的必要条件。</w:t>
      </w:r>
      <w:r>
        <w:rPr>
          <w:rFonts w:hint="eastAsia" w:ascii="Times New Roman" w:hAnsi="Times New Roman" w:eastAsia="仿宋_GB2312" w:cs="Times New Roman"/>
          <w:sz w:val="32"/>
          <w:szCs w:val="32"/>
          <w:lang w:eastAsia="zh-CN"/>
        </w:rPr>
        <w:t>安保</w:t>
      </w:r>
      <w:r>
        <w:rPr>
          <w:rFonts w:hint="default" w:ascii="Times New Roman" w:hAnsi="Times New Roman" w:eastAsia="仿宋_GB2312" w:cs="Times New Roman"/>
          <w:sz w:val="32"/>
          <w:szCs w:val="32"/>
        </w:rPr>
        <w:t>是保护国家和人民的财产及人身安全，维护单位正常治安秩序</w:t>
      </w:r>
      <w:r>
        <w:rPr>
          <w:rFonts w:hint="eastAsia" w:ascii="Times New Roman" w:hAnsi="Times New Roman" w:eastAsia="仿宋_GB2312" w:cs="Times New Roman"/>
          <w:sz w:val="32"/>
          <w:szCs w:val="32"/>
          <w:lang w:eastAsia="zh-CN"/>
        </w:rPr>
        <w:t>的重要力量</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安保</w:t>
      </w:r>
      <w:r>
        <w:rPr>
          <w:rFonts w:hint="default" w:ascii="Times New Roman" w:hAnsi="Times New Roman" w:eastAsia="仿宋_GB2312" w:cs="Times New Roman"/>
          <w:sz w:val="32"/>
          <w:szCs w:val="32"/>
        </w:rPr>
        <w:t>工作做好了，</w:t>
      </w:r>
      <w:r>
        <w:rPr>
          <w:rFonts w:hint="eastAsia" w:ascii="Times New Roman" w:hAnsi="Times New Roman" w:eastAsia="仿宋_GB2312" w:cs="Times New Roman"/>
          <w:sz w:val="32"/>
          <w:szCs w:val="32"/>
          <w:lang w:val="en-US" w:eastAsia="zh-CN"/>
        </w:rPr>
        <w:t>才</w:t>
      </w:r>
      <w:r>
        <w:rPr>
          <w:rFonts w:hint="default" w:ascii="Times New Roman" w:hAnsi="Times New Roman" w:eastAsia="仿宋_GB2312" w:cs="Times New Roman"/>
          <w:sz w:val="32"/>
          <w:szCs w:val="32"/>
        </w:rPr>
        <w:t>能有效</w:t>
      </w:r>
      <w:r>
        <w:rPr>
          <w:rFonts w:hint="eastAsia" w:ascii="Times New Roman" w:hAnsi="Times New Roman" w:eastAsia="仿宋_GB2312" w:cs="Times New Roman"/>
          <w:sz w:val="32"/>
          <w:szCs w:val="32"/>
          <w:lang w:eastAsia="zh-CN"/>
        </w:rPr>
        <w:t>地</w:t>
      </w:r>
      <w:r>
        <w:rPr>
          <w:rFonts w:hint="default" w:ascii="Times New Roman" w:hAnsi="Times New Roman" w:eastAsia="仿宋_GB2312" w:cs="Times New Roman"/>
          <w:sz w:val="32"/>
          <w:szCs w:val="32"/>
        </w:rPr>
        <w:t>预防事故和案件的发生，减少和消除事故、案件对单位各项工作的干扰和破坏，维护工作、会议等活动的有序开展，为机关单位创造一个安全、有序的办公环境。</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（2）提升了工作环境品位，为办公人员提供清洁、优美、舒适、安全的生活和工作环境。实施专业化物业保洁、绿化，可以营造和维持整洁优美、方便舒适、安全健康的办公环境。</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加强对办公楼管理维护有利于维护政府办公楼的整体形象，还可以延长房屋的物理寿命，排除安全隐患。良好的办公楼管理维护能够延长房屋的物理寿命，降低办公楼的物理损耗速度，避免了办公楼使用价值的超前损耗，起到了保值、增值的作用。另外，优秀的办公楼管理维护还使得物业的设备及功能等始终保持着与社会发展的同步性，延长房屋的经济寿命。</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（4）机关后勤保障工作有利于增加就业。后勤保障工作就业容量大,对扩大就业具有重要作用。目前, 后勤保障工作吸纳的劳动力中大部分来自水源区搬迁群众、农村剩余劳动力</w:t>
      </w:r>
      <w:r>
        <w:rPr>
          <w:rFonts w:hint="eastAsia"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,对于缓解农村剩余劳动力向非农产业转移和产业结构调整中的就业矛盾</w:t>
      </w:r>
      <w:r>
        <w:rPr>
          <w:rFonts w:hint="eastAsia" w:ascii="Times New Roman" w:hAnsi="Times New Roman" w:eastAsia="仿宋_GB2312" w:cs="Times New Roman"/>
          <w:sz w:val="32"/>
          <w:szCs w:val="32"/>
          <w:lang w:eastAsia="zh-CN"/>
        </w:rPr>
        <w:t>调整</w:t>
      </w:r>
      <w:r>
        <w:rPr>
          <w:rFonts w:hint="default" w:ascii="Times New Roman" w:hAnsi="Times New Roman" w:eastAsia="仿宋_GB2312" w:cs="Times New Roman"/>
          <w:sz w:val="32"/>
          <w:szCs w:val="32"/>
        </w:rPr>
        <w:t>作出了重要贡献，对增加就业将起到积极的</w:t>
      </w:r>
      <w:r>
        <w:rPr>
          <w:rFonts w:hint="default" w:ascii="Times New Roman" w:hAnsi="Times New Roman" w:eastAsia="仿宋_GB2312" w:cs="Times New Roman"/>
          <w:b w:val="0"/>
          <w:bCs w:val="0"/>
          <w:sz w:val="32"/>
          <w:szCs w:val="32"/>
        </w:rPr>
        <w:t>推动作用</w:t>
      </w:r>
      <w:r>
        <w:rPr>
          <w:rFonts w:hint="default" w:ascii="Times New Roman" w:hAnsi="Times New Roman" w:eastAsia="仿宋_GB2312" w:cs="Times New Roman"/>
          <w:sz w:val="32"/>
          <w:szCs w:val="32"/>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3.可持续影响</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本</w:t>
      </w:r>
      <w:r>
        <w:rPr>
          <w:rFonts w:hint="default" w:ascii="Times New Roman" w:hAnsi="Times New Roman" w:eastAsia="仿宋_GB2312" w:cs="Times New Roman"/>
          <w:b w:val="0"/>
          <w:bCs w:val="0"/>
          <w:color w:val="333333"/>
          <w:kern w:val="0"/>
          <w:sz w:val="32"/>
          <w:szCs w:val="32"/>
        </w:rPr>
        <w:t>项目的实施</w:t>
      </w:r>
      <w:r>
        <w:rPr>
          <w:rFonts w:hint="default" w:ascii="Times New Roman" w:hAnsi="Times New Roman" w:eastAsia="仿宋_GB2312" w:cs="Times New Roman"/>
          <w:color w:val="333333"/>
          <w:kern w:val="0"/>
          <w:sz w:val="32"/>
          <w:szCs w:val="32"/>
        </w:rPr>
        <w:t>，促进了区委、区政府各项事业健康有序发展，保障了区委、区政府工作的延续性。发挥了党政机关在平安建设、环境美化、食品安全、文明交通、促进就业等方面的示范带头作用，为社会各界作出了表率。通过积极探索，不断优化政府购买服务的流程、模式等，为建设节约型政府及节约型社会奠定了基础。</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五、主要经验及做法、存在的问题和建议</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（一）主要经验及做法</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themeColor="text1"/>
          <w:kern w:val="0"/>
          <w:sz w:val="32"/>
          <w:szCs w:val="32"/>
          <w14:textFill>
            <w14:solidFill>
              <w14:schemeClr w14:val="tx1"/>
            </w14:solidFill>
          </w14:textFill>
        </w:rPr>
        <w:t>机关事务管理服务中心根据</w:t>
      </w:r>
      <w:r>
        <w:rPr>
          <w:rFonts w:hint="default" w:ascii="Times New Roman" w:hAnsi="Times New Roman" w:eastAsia="仿宋_GB2312" w:cs="Times New Roman"/>
          <w:color w:val="000000" w:themeColor="text1"/>
          <w:sz w:val="32"/>
          <w:szCs w:val="32"/>
          <w14:textFill>
            <w14:solidFill>
              <w14:schemeClr w14:val="tx1"/>
            </w14:solidFill>
          </w14:textFill>
        </w:rPr>
        <w:t>《昆明市盘龙区财政局关于开展202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年度区级预算支出绩效自评工作的通知》（盘财绩〔202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14</w:t>
      </w:r>
      <w:r>
        <w:rPr>
          <w:rFonts w:hint="default" w:ascii="Times New Roman" w:hAnsi="Times New Roman" w:eastAsia="仿宋_GB2312" w:cs="Times New Roman"/>
          <w:color w:val="000000" w:themeColor="text1"/>
          <w:sz w:val="32"/>
          <w:szCs w:val="32"/>
          <w14:textFill>
            <w14:solidFill>
              <w14:schemeClr w14:val="tx1"/>
            </w14:solidFill>
          </w14:textFill>
        </w:rPr>
        <w:t>号）</w:t>
      </w:r>
      <w:r>
        <w:rPr>
          <w:rFonts w:hint="default" w:ascii="Times New Roman" w:hAnsi="Times New Roman" w:eastAsia="仿宋_GB2312" w:cs="Times New Roman"/>
          <w:color w:val="000000" w:themeColor="text1"/>
          <w:kern w:val="0"/>
          <w:sz w:val="32"/>
          <w:szCs w:val="32"/>
          <w14:textFill>
            <w14:solidFill>
              <w14:schemeClr w14:val="tx1"/>
            </w14:solidFill>
          </w14:textFill>
        </w:rPr>
        <w:t>精神，成立了自评小组，通过前期调研工</w:t>
      </w:r>
      <w:r>
        <w:rPr>
          <w:rFonts w:hint="default" w:ascii="Times New Roman" w:hAnsi="Times New Roman" w:eastAsia="仿宋_GB2312" w:cs="Times New Roman"/>
          <w:color w:val="333333"/>
          <w:kern w:val="0"/>
          <w:sz w:val="32"/>
          <w:szCs w:val="32"/>
        </w:rPr>
        <w:t>作，充分了解评价项目有关情况；通过查看资金使用情况，核实202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年机关后勤服务综合管理费的各项支出的合法性、合规性；通过分析目标完成情况，查找存在的问题及总结好的经验方法，较好</w:t>
      </w:r>
      <w:r>
        <w:rPr>
          <w:rFonts w:hint="eastAsia" w:ascii="Times New Roman" w:hAnsi="Times New Roman" w:eastAsia="仿宋_GB2312" w:cs="Times New Roman"/>
          <w:color w:val="333333"/>
          <w:kern w:val="0"/>
          <w:sz w:val="32"/>
          <w:szCs w:val="32"/>
          <w:lang w:eastAsia="zh-CN"/>
        </w:rPr>
        <w:t>地</w:t>
      </w:r>
      <w:r>
        <w:rPr>
          <w:rFonts w:hint="default" w:ascii="Times New Roman" w:hAnsi="Times New Roman" w:eastAsia="仿宋_GB2312" w:cs="Times New Roman"/>
          <w:color w:val="333333"/>
          <w:kern w:val="0"/>
          <w:sz w:val="32"/>
          <w:szCs w:val="32"/>
        </w:rPr>
        <w:t>完成了自评工作</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（二）存在的问题</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1.机关后勤服务综合管理费主要用于安保服务费、物业管理费、其他综合管理等费用支出，目前我单位对这些人员和服务的监管相对薄弱，考核评价体系及相应制度有待进一步完善。</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2.为避免工作中出现矛盾，大部分人员的工资水平差距不大，使得这部分人工作积极性难以提高。</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3.因工资水平整体偏低，致使日常工作中人员流动性较大，部分人员的综合素质不高，在服务质量上和干部职工的要求还有差距</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（三）建议和改进措施</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1.根据不同的服务内容，制定更加科学、合理、细致的考核评价体系，强化对各类服务人员的日常监管，切实提高服务水平。</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2.根据不同工作岗位的重要性、工作量、专业技术水平等，制定更加合理的薪资标准，不断激励并倡导所有人员不断学习进步。</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r>
        <w:rPr>
          <w:rFonts w:hint="default" w:ascii="Times New Roman" w:hAnsi="Times New Roman" w:eastAsia="仿宋_GB2312" w:cs="Times New Roman"/>
          <w:color w:val="333333"/>
          <w:kern w:val="0"/>
          <w:sz w:val="32"/>
          <w:szCs w:val="32"/>
        </w:rPr>
        <w:t>3.积极探索向社会购买服务的模式，继续扩大机关后勤服务社会化程度。</w:t>
      </w:r>
    </w:p>
    <w:p>
      <w:pPr>
        <w:spacing w:line="440" w:lineRule="exact"/>
        <w:rPr>
          <w:rFonts w:hint="default" w:ascii="Times New Roman" w:hAnsi="Times New Roman" w:eastAsia="黑体" w:cs="Times New Roman"/>
        </w:rPr>
      </w:pPr>
    </w:p>
    <w:p>
      <w:pPr>
        <w:widowControl/>
        <w:jc w:val="center"/>
        <w:rPr>
          <w:rFonts w:ascii="方正小标宋_GBK" w:eastAsia="方正小标宋_GBK"/>
          <w:sz w:val="28"/>
          <w:szCs w:val="28"/>
        </w:rPr>
      </w:pPr>
      <w:r>
        <w:rPr>
          <w:rFonts w:hint="default" w:ascii="Times New Roman" w:hAnsi="Times New Roman" w:cs="Times New Roman"/>
          <w:szCs w:val="32"/>
        </w:rPr>
        <w:br w:type="page"/>
      </w:r>
      <w:r>
        <w:rPr>
          <w:rFonts w:hint="eastAsia" w:ascii="方正小标宋_GBK" w:eastAsia="方正小标宋_GBK"/>
          <w:sz w:val="28"/>
          <w:szCs w:val="28"/>
        </w:rPr>
        <w:t>附件</w:t>
      </w:r>
      <w:r>
        <w:rPr>
          <w:rFonts w:hint="eastAsia" w:ascii="方正小标宋_GBK" w:eastAsia="方正小标宋_GBK"/>
          <w:sz w:val="28"/>
          <w:szCs w:val="28"/>
          <w:lang w:val="en-US" w:eastAsia="zh-CN"/>
        </w:rPr>
        <w:t>1</w:t>
      </w:r>
      <w:r>
        <w:rPr>
          <w:rFonts w:hint="eastAsia" w:ascii="方正小标宋_GBK" w:eastAsia="方正小标宋_GBK"/>
          <w:sz w:val="28"/>
          <w:szCs w:val="28"/>
        </w:rPr>
        <w:t>：项目支出绩效评价共性指标体系框架</w:t>
      </w:r>
    </w:p>
    <w:tbl>
      <w:tblPr>
        <w:tblStyle w:val="5"/>
        <w:tblpPr w:leftFromText="180" w:rightFromText="180" w:vertAnchor="text" w:horzAnchor="page" w:tblpX="1201" w:tblpY="383"/>
        <w:tblW w:w="104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970"/>
        <w:gridCol w:w="1143"/>
        <w:gridCol w:w="1091"/>
        <w:gridCol w:w="499"/>
        <w:gridCol w:w="570"/>
        <w:gridCol w:w="2103"/>
        <w:gridCol w:w="1973"/>
        <w:gridCol w:w="1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970"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1143"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1091"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四级指标</w:t>
            </w:r>
          </w:p>
        </w:tc>
        <w:tc>
          <w:tcPr>
            <w:tcW w:w="499"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570"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103"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73"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217" w:type="dxa"/>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846" w:type="dxa"/>
            <w:vMerge w:val="restart"/>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A111.与部门中长期规划目标匹配性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A121.与市政府相关规划、决策匹配性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A122.与部门职责适应性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A131.前期调研情况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考察项目立项是否经过前期调研。</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调研报告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A132.立项程序规范性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A211.绩效目标相关性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A212.绩效目标完整性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A213.目标与预算的匹配性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A221.指标细化分解情况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考察是否将绩效目标细化分解为清晰、可衡量的绩效指标。</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A222.指标与目标的匹配性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考察设定的绩效指标是否与年度工作任务相对应。</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846" w:type="dxa"/>
            <w:vMerge w:val="restart"/>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预算调整文件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B13.预算执行率</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考察项目预算执行的进度。预算执行率=实际支出金额/项目预算金额×100%</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预算执行率95%以上，得满分；低于95%，每下降</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%扣</w:t>
            </w:r>
            <w:r>
              <w:rPr>
                <w:rFonts w:hint="eastAsia" w:ascii="宋体" w:hAnsi="宋体" w:cs="宋体"/>
                <w:color w:val="000000"/>
                <w:kern w:val="0"/>
                <w:sz w:val="18"/>
                <w:szCs w:val="18"/>
                <w:lang w:val="en-US" w:eastAsia="zh-CN"/>
              </w:rPr>
              <w:t>1分</w:t>
            </w:r>
            <w:r>
              <w:rPr>
                <w:rFonts w:hint="eastAsia" w:ascii="宋体" w:hAnsi="宋体" w:cs="宋体"/>
                <w:color w:val="000000"/>
                <w:kern w:val="0"/>
                <w:sz w:val="18"/>
                <w:szCs w:val="18"/>
              </w:rPr>
              <w:t>；预算执行率60%以下，不计分。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73" w:type="dxa"/>
            <w:noWrap w:val="0"/>
            <w:vAlign w:val="top"/>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B231.资金拨付程序完整性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B232财务制度执行有效性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B311.项目实施单位管理制度健全性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B312.管理方监管措施健全性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B321.项目实施单位管理制度执行情况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B322.监管措施执行情况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B323.合同执行情况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B324.台账记录规范性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B33.政府采购规范性</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B331.采购方式合规性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考察采购方式是否符合中央、省、市、区的相关要求。</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B332.采购流程规范性</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考察采购流程是否符合相关规定。</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7"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846" w:type="dxa"/>
            <w:vMerge w:val="restart"/>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C.项目绩效（60%）</w:t>
            </w: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w:t>
            </w:r>
          </w:p>
        </w:tc>
        <w:tc>
          <w:tcPr>
            <w:tcW w:w="1143" w:type="dxa"/>
            <w:vMerge w:val="restart"/>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c11.项目完成情况</w:t>
            </w: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C111.</w:t>
            </w:r>
            <w:r>
              <w:rPr>
                <w:rFonts w:hint="eastAsia" w:ascii="宋体" w:hAnsi="宋体" w:cs="宋体"/>
                <w:color w:val="000000"/>
                <w:kern w:val="0"/>
                <w:sz w:val="18"/>
                <w:szCs w:val="18"/>
                <w:lang w:eastAsia="zh-CN"/>
              </w:rPr>
              <w:t>餐饮服务、会议服务、公务出行服务完成情况</w:t>
            </w:r>
          </w:p>
        </w:tc>
        <w:tc>
          <w:tcPr>
            <w:tcW w:w="499" w:type="dxa"/>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4</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4</w:t>
            </w:r>
            <w:r>
              <w:rPr>
                <w:rFonts w:hint="eastAsia" w:ascii="宋体" w:hAnsi="宋体" w:cs="宋体"/>
                <w:color w:val="000000"/>
                <w:kern w:val="0"/>
                <w:sz w:val="18"/>
                <w:szCs w:val="18"/>
              </w:rPr>
              <w:t>　</w:t>
            </w:r>
          </w:p>
        </w:tc>
        <w:tc>
          <w:tcPr>
            <w:tcW w:w="2103"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我单位对所管理的食堂的服务情况。</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w:t>
            </w:r>
            <w:r>
              <w:rPr>
                <w:rFonts w:hint="eastAsia" w:ascii="宋体" w:hAnsi="宋体" w:cs="宋体"/>
                <w:color w:val="000000"/>
                <w:kern w:val="0"/>
                <w:sz w:val="18"/>
                <w:szCs w:val="18"/>
                <w:lang w:eastAsia="zh-CN"/>
              </w:rPr>
              <w:t>覆盖</w:t>
            </w:r>
            <w:r>
              <w:rPr>
                <w:rFonts w:hint="eastAsia" w:ascii="宋体" w:hAnsi="宋体" w:cs="宋体"/>
                <w:color w:val="000000"/>
                <w:kern w:val="0"/>
                <w:sz w:val="18"/>
                <w:szCs w:val="18"/>
              </w:rPr>
              <w:t>，得满分；每降低1%，扣权重的3%，扣完为止。</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食堂数和送餐覆盖范围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C112.</w:t>
            </w:r>
            <w:r>
              <w:rPr>
                <w:rFonts w:hint="eastAsia" w:ascii="宋体" w:hAnsi="宋体" w:cs="宋体"/>
                <w:color w:val="000000"/>
                <w:kern w:val="0"/>
                <w:sz w:val="18"/>
                <w:szCs w:val="18"/>
                <w:lang w:eastAsia="zh-CN"/>
              </w:rPr>
              <w:t>安保服务</w:t>
            </w:r>
          </w:p>
        </w:tc>
        <w:tc>
          <w:tcPr>
            <w:tcW w:w="499" w:type="dxa"/>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4</w:t>
            </w:r>
          </w:p>
        </w:tc>
        <w:tc>
          <w:tcPr>
            <w:tcW w:w="570" w:type="dxa"/>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4</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我单位对所负责管辖的各办公区、住宅区的安保服务情况</w:t>
            </w:r>
            <w:r>
              <w:rPr>
                <w:rFonts w:hint="eastAsia" w:ascii="宋体" w:hAnsi="宋体" w:cs="宋体"/>
                <w:color w:val="000000"/>
                <w:kern w:val="0"/>
                <w:sz w:val="18"/>
                <w:szCs w:val="18"/>
              </w:rPr>
              <w:t>。</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不存在安全隐患</w:t>
            </w:r>
            <w:r>
              <w:rPr>
                <w:rFonts w:hint="eastAsia" w:ascii="宋体" w:hAnsi="宋体" w:cs="宋体"/>
                <w:color w:val="000000"/>
                <w:kern w:val="0"/>
                <w:sz w:val="18"/>
                <w:szCs w:val="18"/>
              </w:rPr>
              <w:t>，得满分；存在一</w:t>
            </w:r>
            <w:r>
              <w:rPr>
                <w:rFonts w:hint="eastAsia" w:ascii="宋体" w:hAnsi="宋体" w:cs="宋体"/>
                <w:color w:val="000000"/>
                <w:kern w:val="0"/>
                <w:sz w:val="18"/>
                <w:szCs w:val="18"/>
                <w:lang w:eastAsia="zh-CN"/>
              </w:rPr>
              <w:t>一处安全隐患</w:t>
            </w:r>
            <w:r>
              <w:rPr>
                <w:rFonts w:hint="eastAsia" w:ascii="宋体" w:hAnsi="宋体" w:cs="宋体"/>
                <w:color w:val="000000"/>
                <w:kern w:val="0"/>
                <w:sz w:val="18"/>
                <w:szCs w:val="18"/>
              </w:rPr>
              <w:t>，扣权重的10%，扣完为止。</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安保服务质量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C113.</w:t>
            </w:r>
            <w:r>
              <w:rPr>
                <w:rFonts w:hint="eastAsia" w:ascii="宋体" w:hAnsi="宋体" w:cs="宋体"/>
                <w:color w:val="000000"/>
                <w:kern w:val="0"/>
                <w:sz w:val="18"/>
                <w:szCs w:val="18"/>
                <w:lang w:eastAsia="zh-CN"/>
              </w:rPr>
              <w:t>物业保洁绿化服务</w:t>
            </w:r>
          </w:p>
        </w:tc>
        <w:tc>
          <w:tcPr>
            <w:tcW w:w="499" w:type="dxa"/>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4</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4</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我单位对所负责管辖的各办公区、住宅区的绿化保洁服务情况</w:t>
            </w:r>
            <w:r>
              <w:rPr>
                <w:rFonts w:hint="eastAsia" w:ascii="宋体" w:hAnsi="宋体" w:cs="宋体"/>
                <w:color w:val="000000"/>
                <w:kern w:val="0"/>
                <w:sz w:val="18"/>
                <w:szCs w:val="18"/>
              </w:rPr>
              <w:t>。</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全部合格，得满分；存在一次</w:t>
            </w:r>
            <w:r>
              <w:rPr>
                <w:rFonts w:hint="eastAsia" w:ascii="宋体" w:hAnsi="宋体" w:cs="宋体"/>
                <w:color w:val="000000"/>
                <w:kern w:val="0"/>
                <w:sz w:val="18"/>
                <w:szCs w:val="18"/>
                <w:lang w:eastAsia="zh-CN"/>
              </w:rPr>
              <w:t>不合格</w:t>
            </w:r>
            <w:r>
              <w:rPr>
                <w:rFonts w:hint="eastAsia" w:ascii="宋体" w:hAnsi="宋体" w:cs="宋体"/>
                <w:color w:val="000000"/>
                <w:kern w:val="0"/>
                <w:sz w:val="18"/>
                <w:szCs w:val="18"/>
              </w:rPr>
              <w:t>，扣权重的10%，扣完为止。</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绿化保洁服务质量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C114.</w:t>
            </w:r>
            <w:r>
              <w:rPr>
                <w:rFonts w:hint="eastAsia" w:ascii="宋体" w:hAnsi="宋体" w:cs="宋体"/>
                <w:color w:val="000000"/>
                <w:kern w:val="0"/>
                <w:sz w:val="18"/>
                <w:szCs w:val="18"/>
                <w:lang w:eastAsia="zh-CN"/>
              </w:rPr>
              <w:t>水电设施设备修缮服务</w:t>
            </w:r>
          </w:p>
        </w:tc>
        <w:tc>
          <w:tcPr>
            <w:tcW w:w="499" w:type="dxa"/>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4</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4</w:t>
            </w:r>
            <w:r>
              <w:rPr>
                <w:rFonts w:hint="eastAsia" w:ascii="宋体" w:hAnsi="宋体" w:cs="宋体"/>
                <w:color w:val="000000"/>
                <w:kern w:val="0"/>
                <w:sz w:val="18"/>
                <w:szCs w:val="18"/>
              </w:rPr>
              <w:t>　</w:t>
            </w:r>
          </w:p>
        </w:tc>
        <w:tc>
          <w:tcPr>
            <w:tcW w:w="2103"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考察我单位水电设施设备修缮的及时性。</w:t>
            </w:r>
          </w:p>
        </w:tc>
        <w:tc>
          <w:tcPr>
            <w:tcW w:w="1973" w:type="dxa"/>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eastAsia="zh-CN"/>
              </w:rPr>
              <w:t>及时处理，得满分；不及时处理</w:t>
            </w:r>
            <w:r>
              <w:rPr>
                <w:rFonts w:hint="eastAsia" w:ascii="宋体" w:hAnsi="宋体" w:cs="宋体"/>
                <w:color w:val="000000"/>
                <w:kern w:val="0"/>
                <w:sz w:val="18"/>
                <w:szCs w:val="18"/>
                <w:lang w:val="en-US" w:eastAsia="zh-CN"/>
              </w:rPr>
              <w:t>1次，扣1分，扣完为止。</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服务情况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w:t>
            </w:r>
            <w:r>
              <w:rPr>
                <w:rFonts w:hint="eastAsia" w:ascii="宋体" w:hAnsi="宋体" w:cs="宋体"/>
                <w:color w:val="000000"/>
                <w:kern w:val="0"/>
                <w:sz w:val="18"/>
                <w:szCs w:val="18"/>
                <w:lang w:val="en-US" w:eastAsia="zh-CN"/>
              </w:rPr>
              <w:t>115</w:t>
            </w:r>
            <w:r>
              <w:rPr>
                <w:rFonts w:hint="eastAsia" w:ascii="宋体" w:hAnsi="宋体" w:cs="宋体"/>
                <w:color w:val="000000"/>
                <w:kern w:val="0"/>
                <w:sz w:val="18"/>
                <w:szCs w:val="18"/>
              </w:rPr>
              <w:t>.</w:t>
            </w:r>
            <w:r>
              <w:rPr>
                <w:rFonts w:hint="eastAsia" w:ascii="宋体" w:hAnsi="宋体" w:cs="宋体"/>
                <w:color w:val="000000"/>
                <w:kern w:val="0"/>
                <w:sz w:val="18"/>
                <w:szCs w:val="18"/>
                <w:lang w:eastAsia="zh-CN"/>
              </w:rPr>
              <w:t>综合管理服务</w:t>
            </w:r>
          </w:p>
        </w:tc>
        <w:tc>
          <w:tcPr>
            <w:tcW w:w="499" w:type="dxa"/>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4</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　</w:t>
            </w:r>
          </w:p>
        </w:tc>
        <w:tc>
          <w:tcPr>
            <w:tcW w:w="2103"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我单位消防设施更换、化粪池清理、电梯、配电室、发电机等系统维保服务是否及时。</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及时处理</w:t>
            </w:r>
            <w:r>
              <w:rPr>
                <w:rFonts w:hint="eastAsia" w:ascii="宋体" w:hAnsi="宋体" w:cs="宋体"/>
                <w:color w:val="000000"/>
                <w:kern w:val="0"/>
                <w:sz w:val="18"/>
                <w:szCs w:val="18"/>
              </w:rPr>
              <w:t>，得满分；每降低1%，扣</w:t>
            </w:r>
            <w:r>
              <w:rPr>
                <w:rFonts w:hint="eastAsia" w:ascii="宋体" w:hAnsi="宋体" w:cs="宋体"/>
                <w:color w:val="000000"/>
                <w:kern w:val="0"/>
                <w:sz w:val="18"/>
                <w:szCs w:val="18"/>
                <w:lang w:val="en-US" w:eastAsia="zh-CN"/>
              </w:rPr>
              <w:t>1分</w:t>
            </w:r>
            <w:r>
              <w:rPr>
                <w:rFonts w:hint="eastAsia" w:ascii="宋体" w:hAnsi="宋体" w:cs="宋体"/>
                <w:color w:val="000000"/>
                <w:kern w:val="0"/>
                <w:sz w:val="18"/>
                <w:szCs w:val="18"/>
              </w:rPr>
              <w:t>，扣完为止。</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服务及时性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vMerge w:val="continue"/>
            <w:noWrap w:val="0"/>
            <w:vAlign w:val="center"/>
          </w:tcPr>
          <w:p>
            <w:pPr>
              <w:widowControl/>
              <w:jc w:val="left"/>
              <w:rPr>
                <w:rFonts w:ascii="宋体" w:hAnsi="宋体" w:cs="宋体"/>
                <w:color w:val="000000"/>
                <w:kern w:val="0"/>
                <w:sz w:val="18"/>
                <w:szCs w:val="18"/>
              </w:rPr>
            </w:pP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C1</w:t>
            </w:r>
            <w:r>
              <w:rPr>
                <w:rFonts w:hint="eastAsia" w:ascii="宋体" w:hAnsi="宋体" w:cs="宋体"/>
                <w:color w:val="000000"/>
                <w:kern w:val="0"/>
                <w:sz w:val="18"/>
                <w:szCs w:val="18"/>
                <w:lang w:val="en-US" w:eastAsia="zh-CN"/>
              </w:rPr>
              <w:t>16</w:t>
            </w:r>
            <w:r>
              <w:rPr>
                <w:rFonts w:hint="eastAsia" w:ascii="宋体" w:hAnsi="宋体" w:cs="宋体"/>
                <w:color w:val="000000"/>
                <w:kern w:val="0"/>
                <w:sz w:val="18"/>
                <w:szCs w:val="18"/>
              </w:rPr>
              <w:t>.</w:t>
            </w:r>
            <w:r>
              <w:rPr>
                <w:rFonts w:hint="eastAsia" w:ascii="宋体" w:hAnsi="宋体" w:cs="宋体"/>
                <w:color w:val="000000"/>
                <w:kern w:val="0"/>
                <w:sz w:val="18"/>
                <w:szCs w:val="18"/>
                <w:lang w:eastAsia="zh-CN"/>
              </w:rPr>
              <w:t>劳务派遣支付情况</w:t>
            </w:r>
          </w:p>
        </w:tc>
        <w:tc>
          <w:tcPr>
            <w:tcW w:w="499" w:type="dxa"/>
            <w:noWrap w:val="0"/>
            <w:vAlign w:val="center"/>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4</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我单位支付劳务派遣人员工资、社保的及时性。</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全部及时，得满分；存在一次未及时</w:t>
            </w:r>
            <w:r>
              <w:rPr>
                <w:rFonts w:hint="eastAsia" w:ascii="宋体" w:hAnsi="宋体" w:cs="宋体"/>
                <w:color w:val="000000"/>
                <w:kern w:val="0"/>
                <w:sz w:val="18"/>
                <w:szCs w:val="18"/>
                <w:lang w:eastAsia="zh-CN"/>
              </w:rPr>
              <w:t>支付</w:t>
            </w:r>
            <w:r>
              <w:rPr>
                <w:rFonts w:hint="eastAsia" w:ascii="宋体" w:hAnsi="宋体" w:cs="宋体"/>
                <w:color w:val="000000"/>
                <w:kern w:val="0"/>
                <w:sz w:val="18"/>
                <w:szCs w:val="18"/>
              </w:rPr>
              <w:t>的扣</w:t>
            </w:r>
            <w:r>
              <w:rPr>
                <w:rFonts w:hint="eastAsia" w:ascii="宋体" w:hAnsi="宋体" w:cs="宋体"/>
                <w:color w:val="000000"/>
                <w:kern w:val="0"/>
                <w:sz w:val="18"/>
                <w:szCs w:val="18"/>
                <w:lang w:val="en-US" w:eastAsia="zh-CN"/>
              </w:rPr>
              <w:t>1分</w:t>
            </w:r>
            <w:r>
              <w:rPr>
                <w:rFonts w:hint="eastAsia" w:ascii="宋体" w:hAnsi="宋体" w:cs="宋体"/>
                <w:color w:val="000000"/>
                <w:kern w:val="0"/>
                <w:sz w:val="18"/>
                <w:szCs w:val="18"/>
              </w:rPr>
              <w:t>，扣完为止。</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支付及时性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C12.节约成本情况</w:t>
            </w:r>
          </w:p>
        </w:tc>
        <w:tc>
          <w:tcPr>
            <w:tcW w:w="1091" w:type="dxa"/>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C121.节约成本</w:t>
            </w:r>
          </w:p>
        </w:tc>
        <w:tc>
          <w:tcPr>
            <w:tcW w:w="499" w:type="dxa"/>
            <w:noWrap w:val="0"/>
            <w:vAlign w:val="center"/>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6</w:t>
            </w:r>
          </w:p>
        </w:tc>
        <w:tc>
          <w:tcPr>
            <w:tcW w:w="570" w:type="dxa"/>
            <w:noWrap w:val="0"/>
            <w:vAlign w:val="center"/>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6</w:t>
            </w:r>
          </w:p>
        </w:tc>
        <w:tc>
          <w:tcPr>
            <w:tcW w:w="2103"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考察我单位资金使用是否在预算批复范围内。</w:t>
            </w:r>
          </w:p>
        </w:tc>
        <w:tc>
          <w:tcPr>
            <w:tcW w:w="1973" w:type="dxa"/>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eastAsia="zh-CN"/>
              </w:rPr>
              <w:t>在预算批复范围内，得满分，每超过</w:t>
            </w:r>
            <w:r>
              <w:rPr>
                <w:rFonts w:hint="eastAsia" w:ascii="宋体" w:hAnsi="宋体" w:cs="宋体"/>
                <w:color w:val="000000"/>
                <w:kern w:val="0"/>
                <w:sz w:val="18"/>
                <w:szCs w:val="18"/>
                <w:lang w:val="en-US" w:eastAsia="zh-CN"/>
              </w:rPr>
              <w:t>1万元扣1分，扣完为止。</w:t>
            </w:r>
          </w:p>
        </w:tc>
        <w:tc>
          <w:tcPr>
            <w:tcW w:w="1217" w:type="dxa"/>
            <w:noWrap w:val="0"/>
            <w:vAlign w:val="center"/>
          </w:tcPr>
          <w:p>
            <w:pPr>
              <w:widowControl/>
              <w:jc w:val="left"/>
              <w:rPr>
                <w:rFonts w:hint="eastAsia" w:ascii="宋体" w:hAnsi="宋体" w:cs="宋体"/>
                <w:color w:val="000000"/>
                <w:kern w:val="0"/>
                <w:sz w:val="18"/>
                <w:szCs w:val="18"/>
                <w:lang w:eastAsia="zh-CN"/>
              </w:rPr>
            </w:pPr>
            <w:r>
              <w:rPr>
                <w:rFonts w:hint="eastAsia" w:ascii="宋体" w:hAnsi="宋体" w:cs="宋体"/>
                <w:color w:val="000000"/>
                <w:kern w:val="0"/>
                <w:sz w:val="18"/>
                <w:szCs w:val="18"/>
                <w:lang w:eastAsia="zh-CN"/>
              </w:rPr>
              <w:t>成本控制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restart"/>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C2.项目效益（30%）</w:t>
            </w: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C21.社会效益</w:t>
            </w:r>
          </w:p>
        </w:tc>
        <w:tc>
          <w:tcPr>
            <w:tcW w:w="1091"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C211.</w:t>
            </w:r>
            <w:r>
              <w:rPr>
                <w:rFonts w:hint="eastAsia" w:ascii="宋体" w:hAnsi="宋体" w:cs="宋体"/>
                <w:color w:val="000000"/>
                <w:kern w:val="0"/>
                <w:sz w:val="18"/>
                <w:szCs w:val="18"/>
                <w:lang w:eastAsia="zh-CN"/>
              </w:rPr>
              <w:t>提供</w:t>
            </w:r>
            <w:r>
              <w:rPr>
                <w:rFonts w:hint="eastAsia" w:ascii="宋体" w:hAnsi="宋体" w:cs="宋体"/>
                <w:color w:val="000000"/>
                <w:kern w:val="0"/>
                <w:sz w:val="18"/>
                <w:szCs w:val="18"/>
                <w:lang w:val="en-US" w:eastAsia="zh-CN"/>
              </w:rPr>
              <w:t>180余个</w:t>
            </w:r>
            <w:r>
              <w:rPr>
                <w:rFonts w:hint="eastAsia" w:ascii="宋体" w:hAnsi="宋体" w:cs="宋体"/>
                <w:color w:val="000000"/>
                <w:kern w:val="0"/>
                <w:sz w:val="18"/>
                <w:szCs w:val="18"/>
                <w:lang w:eastAsia="zh-CN"/>
              </w:rPr>
              <w:t>就业岗位</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13</w:t>
            </w:r>
            <w:r>
              <w:rPr>
                <w:rFonts w:hint="eastAsia" w:ascii="宋体" w:hAnsi="宋体" w:cs="宋体"/>
                <w:color w:val="000000"/>
                <w:kern w:val="0"/>
                <w:sz w:val="18"/>
                <w:szCs w:val="18"/>
              </w:rPr>
              <w:t>　</w:t>
            </w:r>
          </w:p>
        </w:tc>
        <w:tc>
          <w:tcPr>
            <w:tcW w:w="210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我单位为促进就业提供的劳动岗位</w:t>
            </w:r>
            <w:r>
              <w:rPr>
                <w:rFonts w:hint="eastAsia" w:ascii="宋体" w:hAnsi="宋体" w:cs="宋体"/>
                <w:color w:val="000000"/>
                <w:kern w:val="0"/>
                <w:sz w:val="18"/>
                <w:szCs w:val="18"/>
              </w:rPr>
              <w:t>。</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满足</w:t>
            </w:r>
            <w:r>
              <w:rPr>
                <w:rFonts w:hint="eastAsia" w:ascii="宋体" w:hAnsi="宋体" w:cs="宋体"/>
                <w:color w:val="000000"/>
                <w:kern w:val="0"/>
                <w:sz w:val="18"/>
                <w:szCs w:val="18"/>
                <w:lang w:val="en-US" w:eastAsia="zh-CN"/>
              </w:rPr>
              <w:t>180余个岗位，得满分，每减少1个扣减1分，扣完为止</w:t>
            </w:r>
            <w:r>
              <w:rPr>
                <w:rFonts w:hint="eastAsia" w:ascii="宋体" w:hAnsi="宋体" w:cs="宋体"/>
                <w:color w:val="000000"/>
                <w:kern w:val="0"/>
                <w:sz w:val="18"/>
                <w:szCs w:val="18"/>
              </w:rPr>
              <w:t>。</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提供岗位情况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5" w:hRule="atLeast"/>
        </w:trPr>
        <w:tc>
          <w:tcPr>
            <w:tcW w:w="846" w:type="dxa"/>
            <w:vMerge w:val="continue"/>
            <w:noWrap w:val="0"/>
            <w:vAlign w:val="center"/>
          </w:tcPr>
          <w:p>
            <w:pPr>
              <w:widowControl/>
              <w:jc w:val="left"/>
              <w:rPr>
                <w:rFonts w:ascii="宋体" w:hAnsi="宋体" w:cs="宋体"/>
                <w:color w:val="000000"/>
                <w:kern w:val="0"/>
                <w:sz w:val="18"/>
                <w:szCs w:val="18"/>
              </w:rPr>
            </w:pPr>
          </w:p>
        </w:tc>
        <w:tc>
          <w:tcPr>
            <w:tcW w:w="970" w:type="dxa"/>
            <w:vMerge w:val="continue"/>
            <w:noWrap w:val="0"/>
            <w:vAlign w:val="center"/>
          </w:tcPr>
          <w:p>
            <w:pPr>
              <w:widowControl/>
              <w:jc w:val="left"/>
              <w:rPr>
                <w:rFonts w:ascii="宋体" w:hAnsi="宋体" w:cs="宋体"/>
                <w:color w:val="000000"/>
                <w:kern w:val="0"/>
                <w:sz w:val="18"/>
                <w:szCs w:val="18"/>
              </w:rPr>
            </w:pPr>
          </w:p>
        </w:tc>
        <w:tc>
          <w:tcPr>
            <w:tcW w:w="114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C22.生态效益</w:t>
            </w:r>
          </w:p>
        </w:tc>
        <w:tc>
          <w:tcPr>
            <w:tcW w:w="1091"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C221.</w:t>
            </w:r>
            <w:r>
              <w:rPr>
                <w:rFonts w:hint="eastAsia" w:ascii="宋体" w:hAnsi="宋体" w:cs="宋体"/>
                <w:color w:val="000000"/>
                <w:kern w:val="0"/>
                <w:sz w:val="18"/>
                <w:szCs w:val="18"/>
                <w:lang w:eastAsia="zh-CN"/>
              </w:rPr>
              <w:t>保障良好的工作、生活环境情况</w:t>
            </w:r>
          </w:p>
        </w:tc>
        <w:tc>
          <w:tcPr>
            <w:tcW w:w="499"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70" w:type="dxa"/>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15</w:t>
            </w:r>
            <w:r>
              <w:rPr>
                <w:rFonts w:hint="eastAsia" w:ascii="宋体" w:hAnsi="宋体" w:cs="宋体"/>
                <w:color w:val="000000"/>
                <w:kern w:val="0"/>
                <w:sz w:val="18"/>
                <w:szCs w:val="18"/>
              </w:rPr>
              <w:t>　</w:t>
            </w:r>
          </w:p>
        </w:tc>
        <w:tc>
          <w:tcPr>
            <w:tcW w:w="2103" w:type="dxa"/>
            <w:noWrap w:val="0"/>
            <w:vAlign w:val="center"/>
          </w:tcPr>
          <w:p>
            <w:pPr>
              <w:widowControl/>
              <w:jc w:val="left"/>
              <w:rPr>
                <w:rFonts w:hint="default" w:ascii="宋体" w:hAnsi="宋体" w:cs="宋体"/>
                <w:color w:val="000000"/>
                <w:kern w:val="0"/>
                <w:sz w:val="18"/>
                <w:szCs w:val="18"/>
                <w:lang w:val="en-US"/>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我单位安保、保洁等为职工提供的良好、优美的工作、生活环境。</w:t>
            </w:r>
          </w:p>
        </w:tc>
        <w:tc>
          <w:tcPr>
            <w:tcW w:w="1973" w:type="dxa"/>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高于</w:t>
            </w:r>
            <w:r>
              <w:rPr>
                <w:rFonts w:hint="eastAsia" w:ascii="宋体" w:hAnsi="宋体" w:cs="宋体"/>
                <w:color w:val="000000"/>
                <w:kern w:val="0"/>
                <w:sz w:val="18"/>
                <w:szCs w:val="18"/>
                <w:lang w:val="en-US" w:eastAsia="zh-CN"/>
              </w:rPr>
              <w:t>90%</w:t>
            </w:r>
            <w:r>
              <w:rPr>
                <w:rFonts w:hint="eastAsia" w:ascii="宋体" w:hAnsi="宋体" w:cs="宋体"/>
                <w:color w:val="000000"/>
                <w:kern w:val="0"/>
                <w:sz w:val="18"/>
                <w:szCs w:val="18"/>
              </w:rPr>
              <w:t>，得满分；每</w:t>
            </w:r>
            <w:r>
              <w:rPr>
                <w:rFonts w:hint="eastAsia" w:ascii="宋体" w:hAnsi="宋体" w:cs="宋体"/>
                <w:color w:val="000000"/>
                <w:kern w:val="0"/>
                <w:sz w:val="18"/>
                <w:szCs w:val="18"/>
                <w:lang w:eastAsia="zh-CN"/>
              </w:rPr>
              <w:t>降低</w:t>
            </w:r>
            <w:r>
              <w:rPr>
                <w:rFonts w:hint="eastAsia" w:ascii="宋体" w:hAnsi="宋体" w:cs="宋体"/>
                <w:color w:val="000000"/>
                <w:kern w:val="0"/>
                <w:sz w:val="18"/>
                <w:szCs w:val="18"/>
                <w:lang w:val="en-US" w:eastAsia="zh-CN"/>
              </w:rPr>
              <w:t>1%扣减1分，扣完为止</w:t>
            </w:r>
            <w:r>
              <w:rPr>
                <w:rFonts w:hint="eastAsia" w:ascii="宋体" w:hAnsi="宋体" w:cs="宋体"/>
                <w:color w:val="000000"/>
                <w:kern w:val="0"/>
                <w:sz w:val="18"/>
                <w:szCs w:val="18"/>
              </w:rPr>
              <w:t>。</w:t>
            </w:r>
          </w:p>
        </w:tc>
        <w:tc>
          <w:tcPr>
            <w:tcW w:w="1217" w:type="dxa"/>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单位、社会人员满意度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6"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70"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1143"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091"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499"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570" w:type="dxa"/>
            <w:noWrap w:val="0"/>
            <w:vAlign w:val="center"/>
          </w:tcPr>
          <w:p>
            <w:pPr>
              <w:widowControl/>
              <w:jc w:val="left"/>
              <w:rPr>
                <w:rFonts w:hint="default" w:ascii="宋体" w:hAnsi="宋体" w:eastAsia="宋体" w:cs="宋体"/>
                <w:b/>
                <w:bCs/>
                <w:color w:val="000000"/>
                <w:kern w:val="0"/>
                <w:sz w:val="18"/>
                <w:szCs w:val="18"/>
                <w:lang w:val="en-US" w:eastAsia="zh-CN"/>
              </w:rPr>
            </w:pPr>
            <w:r>
              <w:rPr>
                <w:rFonts w:hint="eastAsia" w:ascii="宋体" w:hAnsi="宋体" w:cs="宋体"/>
                <w:b/>
                <w:bCs/>
                <w:color w:val="000000"/>
                <w:kern w:val="0"/>
                <w:sz w:val="18"/>
                <w:szCs w:val="18"/>
              </w:rPr>
              <w:t>　</w:t>
            </w:r>
            <w:r>
              <w:rPr>
                <w:rFonts w:hint="eastAsia" w:ascii="宋体" w:hAnsi="宋体" w:cs="宋体"/>
                <w:b/>
                <w:bCs/>
                <w:color w:val="000000"/>
                <w:kern w:val="0"/>
                <w:sz w:val="18"/>
                <w:szCs w:val="18"/>
                <w:lang w:val="en-US" w:eastAsia="zh-CN"/>
              </w:rPr>
              <w:t>94</w:t>
            </w:r>
          </w:p>
        </w:tc>
        <w:tc>
          <w:tcPr>
            <w:tcW w:w="2103"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73"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217" w:type="dxa"/>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B3F13302-4C21-435C-89B3-7A7E35348C4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6315E5F-2810-4948-9CC7-077BB268D201}"/>
  </w:font>
  <w:font w:name="Cambria">
    <w:panose1 w:val="02040503050406030204"/>
    <w:charset w:val="00"/>
    <w:family w:val="roman"/>
    <w:pitch w:val="default"/>
    <w:sig w:usb0="E00002FF" w:usb1="400004FF" w:usb2="00000000" w:usb3="00000000" w:csb0="2000019F" w:csb1="00000000"/>
  </w:font>
  <w:font w:name="PMingLiU">
    <w:panose1 w:val="02020500000000000000"/>
    <w:charset w:val="88"/>
    <w:family w:val="roman"/>
    <w:pitch w:val="default"/>
    <w:sig w:usb0="A00002FF" w:usb1="28CFFCFA" w:usb2="00000016" w:usb3="00000000" w:csb0="00100001" w:csb1="00000000"/>
    <w:embedRegular r:id="rId3" w:fontKey="{14F84EBB-E3BB-4185-8AA2-967406D3DF5D}"/>
  </w:font>
  <w:font w:name="方正小标宋简体">
    <w:panose1 w:val="03000509000000000000"/>
    <w:charset w:val="86"/>
    <w:family w:val="auto"/>
    <w:pitch w:val="default"/>
    <w:sig w:usb0="00000001" w:usb1="080E0000" w:usb2="00000000" w:usb3="00000000" w:csb0="00040000" w:csb1="00000000"/>
    <w:embedRegular r:id="rId4" w:fontKey="{87F7E6C7-A392-4297-8E0B-8616A2C1BA12}"/>
  </w:font>
  <w:font w:name="方正小标宋_GBK">
    <w:panose1 w:val="02000000000000000000"/>
    <w:charset w:val="86"/>
    <w:family w:val="script"/>
    <w:pitch w:val="default"/>
    <w:sig w:usb0="A00002BF" w:usb1="38CF7CFA" w:usb2="00082016" w:usb3="00000000" w:csb0="00040001" w:csb1="00000000"/>
    <w:embedRegular r:id="rId5" w:fontKey="{72A09785-763B-4417-BA60-EF8DC375B22E}"/>
  </w:font>
  <w:font w:name="楷体_GB2312">
    <w:panose1 w:val="02010609030101010101"/>
    <w:charset w:val="86"/>
    <w:family w:val="modern"/>
    <w:pitch w:val="default"/>
    <w:sig w:usb0="00000001" w:usb1="080E0000" w:usb2="00000000" w:usb3="00000000" w:csb0="00040000" w:csb1="00000000"/>
    <w:embedRegular r:id="rId6" w:fontKey="{64738715-CFC5-40E7-9E94-7B0874486442}"/>
  </w:font>
  <w:font w:name="仿宋_GB2312">
    <w:panose1 w:val="02010609030101010101"/>
    <w:charset w:val="86"/>
    <w:family w:val="modern"/>
    <w:pitch w:val="default"/>
    <w:sig w:usb0="00000001" w:usb1="080E0000" w:usb2="00000000" w:usb3="00000000" w:csb0="00040000" w:csb1="00000000"/>
    <w:embedRegular r:id="rId7" w:fontKey="{FCA3402D-C251-450C-87E3-4B0B8CF435C3}"/>
  </w:font>
  <w:font w:name="楷体">
    <w:panose1 w:val="02010609060101010101"/>
    <w:charset w:val="86"/>
    <w:family w:val="modern"/>
    <w:pitch w:val="default"/>
    <w:sig w:usb0="800002BF" w:usb1="38CF7CFA" w:usb2="00000016" w:usb3="00000000" w:csb0="00040001" w:csb1="00000000"/>
    <w:embedRegular r:id="rId8" w:fontKey="{45DAA1B4-32C4-4175-AA31-29C46ECF1202}"/>
  </w:font>
  <w:font w:name="仿宋">
    <w:panose1 w:val="02010609060101010101"/>
    <w:charset w:val="86"/>
    <w:family w:val="modern"/>
    <w:pitch w:val="default"/>
    <w:sig w:usb0="800002BF" w:usb1="38CF7CFA" w:usb2="00000016" w:usb3="00000000" w:csb0="00040001" w:csb1="00000000"/>
    <w:embedRegular r:id="rId9" w:fontKey="{444C9941-A2DC-46FF-8859-25A4CC3A419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hZTE2NGFjYmU3ODUwM2I0NWMwOWQ5ODI3YjQwMjcifQ=="/>
  </w:docVars>
  <w:rsids>
    <w:rsidRoot w:val="00000000"/>
    <w:rsid w:val="01760DF9"/>
    <w:rsid w:val="038C575E"/>
    <w:rsid w:val="084168DD"/>
    <w:rsid w:val="09B85E54"/>
    <w:rsid w:val="0B865EC2"/>
    <w:rsid w:val="1B7D2CDE"/>
    <w:rsid w:val="25567A63"/>
    <w:rsid w:val="25705690"/>
    <w:rsid w:val="2ED63B91"/>
    <w:rsid w:val="34AB1E25"/>
    <w:rsid w:val="3BA93EEF"/>
    <w:rsid w:val="3CBD713E"/>
    <w:rsid w:val="40AF6003"/>
    <w:rsid w:val="428A1178"/>
    <w:rsid w:val="4CFF7A9A"/>
    <w:rsid w:val="51C54D64"/>
    <w:rsid w:val="558B5F0F"/>
    <w:rsid w:val="55A04D1F"/>
    <w:rsid w:val="62782E58"/>
    <w:rsid w:val="63E254E9"/>
    <w:rsid w:val="6F4F7468"/>
    <w:rsid w:val="74E92546"/>
    <w:rsid w:val="7C696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8">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9710</Words>
  <Characters>10196</Characters>
  <Lines>0</Lines>
  <Paragraphs>0</Paragraphs>
  <TotalTime>5</TotalTime>
  <ScaleCrop>false</ScaleCrop>
  <LinksUpToDate>false</LinksUpToDate>
  <CharactersWithSpaces>10392</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2023-04-18T06:53:00Z</dcterms:created>
  <dc:creator>Administrator</dc:creator>
  <cp:lastModifiedBy>我可以给你讲一个故事吗</cp:lastModifiedBy>
  <cp:lastPrinted>2023-04-24T07:07:00Z</cp:lastPrinted>
  <dcterms:modified xsi:type="dcterms:W3CDTF">2023-09-28T02:20:22Z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F744BE5E26A640918EADDF4E3224F4CC_12</vt:lpwstr>
  </property>
</Properties>
</file>