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水电</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default" w:ascii="Times New Roman" w:hAnsi="Times New Roman" w:eastAsia="黑体" w:cs="Times New Roman"/>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盘龙区机关事务管理服务中心</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盘龙区机关事务管理服务中心</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lang w:eastAsia="zh-CN"/>
        </w:rPr>
        <w:t>盘龙区机关事务管理服务中心</w:t>
      </w:r>
      <w:r>
        <w:rPr>
          <w:rFonts w:ascii="Times New Roman" w:hAnsi="Times New Roman" w:eastAsia="黑体"/>
          <w:b/>
          <w:bCs/>
          <w:sz w:val="28"/>
          <w:szCs w:val="28"/>
        </w:rPr>
        <w:t xml:space="preserve"> </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水电项目</w:t>
      </w:r>
    </w:p>
    <w:p>
      <w:pPr>
        <w:adjustRightInd w:val="0"/>
        <w:snapToGrid w:val="0"/>
        <w:spacing w:line="360" w:lineRule="auto"/>
        <w:ind w:left="126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2023年4月25日</w:t>
      </w:r>
    </w:p>
    <w:p>
      <w:pPr>
        <w:spacing w:line="360" w:lineRule="auto"/>
        <w:ind w:left="1218" w:leftChars="580"/>
        <w:rPr>
          <w:rFonts w:ascii="Times New Roman" w:hAnsi="Times New Roman" w:eastAsia="黑体"/>
          <w:b/>
          <w:bCs/>
          <w:sz w:val="28"/>
          <w:szCs w:val="28"/>
        </w:rPr>
      </w:pPr>
    </w:p>
    <w:p>
      <w:pPr>
        <w:jc w:val="center"/>
        <w:sectPr>
          <w:pgSz w:w="11906" w:h="16838"/>
          <w:pgMar w:top="1440" w:right="1800" w:bottom="1440" w:left="1800" w:header="851" w:footer="992" w:gutter="0"/>
          <w:cols w:space="720" w:num="1"/>
          <w:titlePg/>
          <w:docGrid w:type="lines" w:linePitch="312" w:charSpace="0"/>
        </w:sect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p>
    <w:p>
      <w:pPr>
        <w:jc w:val="both"/>
        <w:rPr>
          <w:rFonts w:ascii="Times New Roman" w:hAnsi="Times New Roman" w:eastAsia="黑体" w:cs="黑体"/>
          <w:b/>
          <w:bCs/>
          <w:sz w:val="28"/>
          <w:szCs w:val="28"/>
        </w:rPr>
      </w:pPr>
    </w:p>
    <w:p>
      <w:pPr>
        <w:pStyle w:val="5"/>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700"/>
        <w:gridCol w:w="1252"/>
        <w:gridCol w:w="2909"/>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700"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252"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909"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组长</w:t>
            </w:r>
          </w:p>
        </w:tc>
        <w:tc>
          <w:tcPr>
            <w:tcW w:w="70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杨艳</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90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副组长</w:t>
            </w:r>
          </w:p>
        </w:tc>
        <w:tc>
          <w:tcPr>
            <w:tcW w:w="70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闫鑫</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90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70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和娟</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90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700"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兰剑</w:t>
            </w:r>
          </w:p>
        </w:tc>
        <w:tc>
          <w:tcPr>
            <w:tcW w:w="1252"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909"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房产基建科</w:t>
            </w:r>
          </w:p>
        </w:tc>
        <w:tc>
          <w:tcPr>
            <w:tcW w:w="1621" w:type="dxa"/>
            <w:noWrap w:val="0"/>
            <w:vAlign w:val="top"/>
          </w:tcPr>
          <w:p>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spacing w:after="0" w:line="360" w:lineRule="auto"/>
              <w:jc w:val="both"/>
              <w:rPr>
                <w:rFonts w:ascii="Times New Roman" w:hAnsi="Times New Roman" w:eastAsia="黑体" w:cs="黑体"/>
                <w:kern w:val="2"/>
                <w:sz w:val="24"/>
                <w:szCs w:val="24"/>
                <w:lang w:val="zh-TW"/>
              </w:rPr>
            </w:pPr>
          </w:p>
          <w:p>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5"/>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tabs>
          <w:tab w:val="left" w:pos="2047"/>
        </w:tabs>
        <w:bidi w:val="0"/>
        <w:ind w:firstLine="1260" w:firstLineChars="600"/>
        <w:jc w:val="left"/>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hint="eastAsia" w:ascii="黑体" w:hAnsi="黑体" w:eastAsia="黑体"/>
          <w:szCs w:val="32"/>
        </w:rPr>
        <w:sectPr>
          <w:pgSz w:w="11906" w:h="16838"/>
          <w:pgMar w:top="2041" w:right="1531" w:bottom="1928" w:left="1531" w:header="851" w:footer="992" w:gutter="0"/>
          <w:cols w:space="425" w:num="1"/>
          <w:docGrid w:type="lines" w:linePitch="312" w:charSpace="0"/>
        </w:sectPr>
      </w:pPr>
      <w:r>
        <w:rPr>
          <w:rFonts w:hint="eastAsia" w:ascii="黑体" w:hAnsi="黑体" w:eastAsia="黑体"/>
          <w:szCs w:val="32"/>
        </w:rPr>
        <w:t>五、附件</w:t>
      </w:r>
      <w:r>
        <w:rPr>
          <w:rFonts w:hint="eastAsia" w:ascii="黑体" w:hAnsi="黑体" w:eastAsia="黑体"/>
          <w:szCs w:val="32"/>
        </w:rPr>
        <w:tab/>
      </w: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1" w:name="_GoBack"/>
      <w:bookmarkEnd w:id="1"/>
      <w:r>
        <w:rPr>
          <w:rFonts w:hint="eastAsia" w:ascii="方正小标宋简体" w:hAnsi="方正小标宋简体" w:eastAsia="方正小标宋简体" w:cs="方正小标宋简体"/>
          <w:sz w:val="44"/>
          <w:szCs w:val="44"/>
          <w:lang w:eastAsia="zh-CN"/>
        </w:rPr>
        <w:t>水电</w:t>
      </w:r>
      <w:r>
        <w:rPr>
          <w:rFonts w:hint="eastAsia" w:ascii="方正小标宋简体" w:hAnsi="方正小标宋简体" w:eastAsia="方正小标宋简体" w:cs="方正小标宋简体"/>
          <w:sz w:val="44"/>
          <w:szCs w:val="44"/>
        </w:rPr>
        <w:t>项目支出绩效自评报告</w:t>
      </w:r>
    </w:p>
    <w:p>
      <w:pPr>
        <w:keepNext w:val="0"/>
        <w:keepLines w:val="0"/>
        <w:pageBreakBefore w:val="0"/>
        <w:kinsoku/>
        <w:wordWrap/>
        <w:overflowPunct/>
        <w:autoSpaceDE/>
        <w:autoSpaceDN/>
        <w:bidi w:val="0"/>
        <w:adjustRightInd/>
        <w:snapToGrid/>
        <w:spacing w:line="560" w:lineRule="exact"/>
        <w:ind w:firstLine="640" w:firstLineChars="200"/>
        <w:jc w:val="center"/>
        <w:textAlignment w:val="auto"/>
        <w:rPr>
          <w:rFonts w:hint="default" w:ascii="Times New Roman" w:hAnsi="Times New Roman" w:eastAsia="黑体" w:cs="Times New Roman"/>
          <w:sz w:val="32"/>
          <w:szCs w:val="32"/>
        </w:rPr>
      </w:pPr>
    </w:p>
    <w:p>
      <w:pPr>
        <w:keepNext w:val="0"/>
        <w:keepLines w:val="0"/>
        <w:pageBreakBefore w:val="0"/>
        <w:kinsoku/>
        <w:wordWrap/>
        <w:overflowPunct/>
        <w:autoSpaceDE/>
        <w:autoSpaceDN/>
        <w:bidi w:val="0"/>
        <w:adjustRightInd/>
        <w:snapToGrid/>
        <w:spacing w:line="560" w:lineRule="exact"/>
        <w:ind w:firstLine="640" w:firstLineChars="200"/>
        <w:jc w:val="center"/>
        <w:textAlignment w:val="auto"/>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摘要</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（一）项目立项背景及目的</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围绕区委、区政府中心工作，切实履行各项职责，高效服务，保障区委、区政府的各项工作高效有序运转。根据《中共昆明市盘龙区委机构编制委员会关于撤销盘龙区政府采购中心并调整盘龙区机关事务管理服务中心机构编制相关事项的批复》（盘机编复</w:t>
      </w:r>
      <w:r>
        <w:rPr>
          <w:rFonts w:hint="default" w:ascii="Times New Roman" w:hAnsi="Times New Roman" w:cs="Times New Roman"/>
          <w:color w:val="333333"/>
          <w:kern w:val="0"/>
          <w:sz w:val="32"/>
          <w:szCs w:val="32"/>
        </w:rPr>
        <w:t>﹝</w:t>
      </w:r>
      <w:r>
        <w:rPr>
          <w:rFonts w:hint="default" w:ascii="Times New Roman" w:hAnsi="Times New Roman" w:eastAsia="仿宋_GB2312" w:cs="Times New Roman"/>
          <w:color w:val="333333"/>
          <w:kern w:val="0"/>
          <w:sz w:val="32"/>
          <w:szCs w:val="32"/>
        </w:rPr>
        <w:t>2020</w:t>
      </w:r>
      <w:r>
        <w:rPr>
          <w:rFonts w:hint="default" w:ascii="Times New Roman" w:hAnsi="Times New Roman" w:eastAsia="宋体" w:cs="Times New Roman"/>
          <w:color w:val="333333"/>
          <w:kern w:val="0"/>
          <w:sz w:val="32"/>
          <w:szCs w:val="32"/>
        </w:rPr>
        <w:t>﹞</w:t>
      </w:r>
      <w:r>
        <w:rPr>
          <w:rFonts w:hint="default" w:ascii="Times New Roman" w:hAnsi="Times New Roman" w:eastAsia="仿宋_GB2312" w:cs="Times New Roman"/>
          <w:color w:val="333333"/>
          <w:kern w:val="0"/>
          <w:sz w:val="32"/>
          <w:szCs w:val="32"/>
        </w:rPr>
        <w:t>1号）文件精神，区机关事务管理服务中心主要承担区级机关</w:t>
      </w:r>
      <w:r>
        <w:rPr>
          <w:rFonts w:hint="eastAsia" w:ascii="Times New Roman" w:hAnsi="Times New Roman" w:eastAsia="仿宋_GB2312" w:cs="Times New Roman"/>
          <w:color w:val="333333"/>
          <w:kern w:val="0"/>
          <w:sz w:val="32"/>
          <w:szCs w:val="32"/>
          <w:lang w:eastAsia="zh-CN"/>
        </w:rPr>
        <w:t>水电保障服务工作</w:t>
      </w:r>
      <w:r>
        <w:rPr>
          <w:rFonts w:hint="default" w:ascii="Times New Roman" w:hAnsi="Times New Roman" w:eastAsia="仿宋_GB2312" w:cs="Times New Roman"/>
          <w:sz w:val="32"/>
          <w:szCs w:val="32"/>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lang w:eastAsia="zh-CN"/>
        </w:rPr>
      </w:pPr>
      <w:r>
        <w:rPr>
          <w:rFonts w:hint="eastAsia" w:ascii="楷体_GB2312" w:hAnsi="楷体_GB2312" w:eastAsia="楷体_GB2312" w:cs="楷体_GB2312"/>
          <w:sz w:val="32"/>
          <w:szCs w:val="32"/>
          <w:lang w:eastAsia="zh-CN"/>
        </w:rPr>
        <w:t>（二）预算收支执行情况</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lang w:val="en-US" w:eastAsia="zh-CN"/>
        </w:rPr>
        <w:t>2022年</w:t>
      </w:r>
      <w:r>
        <w:rPr>
          <w:rFonts w:hint="eastAsia" w:ascii="Times New Roman" w:hAnsi="Times New Roman" w:eastAsia="仿宋_GB2312" w:cs="Times New Roman"/>
          <w:color w:val="333333"/>
          <w:kern w:val="0"/>
          <w:sz w:val="32"/>
          <w:szCs w:val="32"/>
          <w:lang w:val="en-US" w:eastAsia="zh-CN"/>
        </w:rPr>
        <w:t>水电</w:t>
      </w:r>
      <w:r>
        <w:rPr>
          <w:rFonts w:hint="default" w:ascii="Times New Roman" w:hAnsi="Times New Roman" w:eastAsia="仿宋_GB2312" w:cs="Times New Roman"/>
          <w:color w:val="333333"/>
          <w:kern w:val="0"/>
          <w:sz w:val="32"/>
          <w:szCs w:val="32"/>
          <w:lang w:val="en-US" w:eastAsia="zh-CN"/>
        </w:rPr>
        <w:t>项目预算批复数为200万元，2022年水电项目一般公共预算财政拨款收入为157.51万元，实际支出为157.51万元，预算执行率为78.76%。</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（一）评分结果</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根据制定的绩效指标考评体系，本次绩效考核得分</w:t>
      </w:r>
      <w:r>
        <w:rPr>
          <w:rFonts w:hint="default" w:ascii="Times New Roman" w:hAnsi="Times New Roman" w:eastAsia="仿宋_GB2312" w:cs="Times New Roman"/>
          <w:color w:val="333333"/>
          <w:kern w:val="0"/>
          <w:sz w:val="32"/>
          <w:szCs w:val="32"/>
          <w:lang w:val="en-US" w:eastAsia="zh-CN"/>
        </w:rPr>
        <w:t>94</w:t>
      </w:r>
      <w:r>
        <w:rPr>
          <w:rFonts w:hint="default" w:ascii="Times New Roman" w:hAnsi="Times New Roman" w:eastAsia="仿宋_GB2312" w:cs="Times New Roman"/>
          <w:color w:val="333333"/>
          <w:kern w:val="0"/>
          <w:sz w:val="32"/>
          <w:szCs w:val="32"/>
        </w:rPr>
        <w:t>分，绩效评价等级为优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（二）主要结论</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color w:val="333333"/>
          <w:kern w:val="0"/>
          <w:sz w:val="32"/>
          <w:szCs w:val="32"/>
        </w:rPr>
        <w:t>本项目不属于投资建设类项目，主要内容为我单位管理的集中办公区、住宅区的水、电费用支出。机关事务管理服务中心202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年度完成工作效益较好，保证了区委、区政府各项工作的顺利开展</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三、经验、问题和建议</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w:t>
      </w:r>
      <w:r>
        <w:rPr>
          <w:rFonts w:hint="default" w:ascii="Times New Roman" w:hAnsi="Times New Roman" w:eastAsia="仿宋_GB2312" w:cs="Times New Roman"/>
          <w:color w:val="333333"/>
          <w:kern w:val="0"/>
          <w:sz w:val="32"/>
          <w:szCs w:val="32"/>
          <w:lang w:eastAsia="zh-CN"/>
        </w:rPr>
        <w:t>水电</w:t>
      </w:r>
      <w:r>
        <w:rPr>
          <w:rFonts w:hint="default" w:ascii="Times New Roman" w:hAnsi="Times New Roman" w:eastAsia="仿宋_GB2312" w:cs="Times New Roman"/>
          <w:color w:val="333333"/>
          <w:kern w:val="0"/>
          <w:sz w:val="32"/>
          <w:szCs w:val="32"/>
        </w:rPr>
        <w:t>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存在的问题</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水电费</w:t>
      </w:r>
      <w:r>
        <w:rPr>
          <w:rFonts w:hint="default" w:ascii="Times New Roman" w:hAnsi="Times New Roman" w:eastAsia="仿宋_GB2312" w:cs="Times New Roman"/>
          <w:color w:val="333333"/>
          <w:kern w:val="0"/>
          <w:sz w:val="32"/>
          <w:szCs w:val="32"/>
          <w:lang w:eastAsia="zh-CN"/>
        </w:rPr>
        <w:t>使用</w:t>
      </w:r>
      <w:r>
        <w:rPr>
          <w:rFonts w:hint="default" w:ascii="Times New Roman" w:hAnsi="Times New Roman" w:eastAsia="仿宋_GB2312" w:cs="Times New Roman"/>
          <w:color w:val="333333"/>
          <w:kern w:val="0"/>
          <w:sz w:val="32"/>
          <w:szCs w:val="32"/>
        </w:rPr>
        <w:t>成本较高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改进措施及建议</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1.提高我们的服务水平和服务质量，让</w:t>
      </w:r>
      <w:r>
        <w:rPr>
          <w:rFonts w:hint="default" w:ascii="Times New Roman" w:hAnsi="Times New Roman" w:eastAsia="仿宋_GB2312" w:cs="Times New Roman"/>
          <w:color w:val="333333"/>
          <w:kern w:val="0"/>
          <w:sz w:val="32"/>
          <w:szCs w:val="32"/>
          <w:lang w:eastAsia="zh-CN"/>
        </w:rPr>
        <w:t>工作</w:t>
      </w:r>
      <w:r>
        <w:rPr>
          <w:rFonts w:hint="default" w:ascii="Times New Roman" w:hAnsi="Times New Roman" w:eastAsia="仿宋_GB2312" w:cs="Times New Roman"/>
          <w:color w:val="333333"/>
          <w:kern w:val="0"/>
          <w:sz w:val="32"/>
          <w:szCs w:val="32"/>
        </w:rPr>
        <w:t>人员和住宅区居民提升满意度。</w:t>
      </w:r>
    </w:p>
    <w:p>
      <w:pPr>
        <w:keepNext w:val="0"/>
        <w:keepLines w:val="0"/>
        <w:pageBreakBefore w:val="0"/>
        <w:tabs>
          <w:tab w:val="left" w:pos="5743"/>
        </w:tabs>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2.进一步控制水电费成本，降低水电费成本</w:t>
      </w:r>
      <w:r>
        <w:rPr>
          <w:rFonts w:hint="default" w:ascii="Times New Roman" w:hAnsi="Times New Roman" w:eastAsia="仿宋_GB2312" w:cs="Times New Roman"/>
          <w:color w:val="333333"/>
          <w:kern w:val="0"/>
          <w:sz w:val="32"/>
          <w:szCs w:val="32"/>
          <w:lang w:eastAsia="zh-CN"/>
        </w:rPr>
        <w:t>，建设资源节约型社会。</w:t>
      </w:r>
      <w:r>
        <w:rPr>
          <w:rFonts w:hint="default" w:ascii="Times New Roman" w:hAnsi="Times New Roman" w:eastAsia="仿宋_GB2312" w:cs="Times New Roman"/>
          <w:color w:val="333333"/>
          <w:kern w:val="0"/>
          <w:sz w:val="32"/>
          <w:szCs w:val="32"/>
          <w:lang w:eastAsia="zh-CN"/>
        </w:rPr>
        <w:tab/>
      </w:r>
    </w:p>
    <w:p>
      <w:pPr>
        <w:keepNext w:val="0"/>
        <w:keepLines w:val="0"/>
        <w:pageBreakBefore w:val="0"/>
        <w:tabs>
          <w:tab w:val="left" w:pos="5743"/>
        </w:tabs>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p>
    <w:p>
      <w:pPr>
        <w:keepNext w:val="0"/>
        <w:keepLines w:val="0"/>
        <w:pageBreakBefore w:val="0"/>
        <w:tabs>
          <w:tab w:val="left" w:pos="5743"/>
        </w:tabs>
        <w:kinsoku/>
        <w:wordWrap/>
        <w:overflowPunct/>
        <w:autoSpaceDE/>
        <w:autoSpaceDN/>
        <w:bidi w:val="0"/>
        <w:adjustRightInd/>
        <w:snapToGrid/>
        <w:spacing w:line="560" w:lineRule="exact"/>
        <w:jc w:val="left"/>
        <w:textAlignment w:val="auto"/>
        <w:rPr>
          <w:rFonts w:hint="default" w:ascii="Times New Roman" w:hAnsi="Times New Roman" w:eastAsia="仿宋_GB2312" w:cs="Times New Roman"/>
          <w:color w:val="333333"/>
          <w:kern w:val="0"/>
          <w:sz w:val="32"/>
          <w:szCs w:val="32"/>
          <w:lang w:eastAsia="zh-CN"/>
        </w:rPr>
      </w:pPr>
    </w:p>
    <w:p>
      <w:pPr>
        <w:keepNext w:val="0"/>
        <w:keepLines w:val="0"/>
        <w:pageBreakBefore w:val="0"/>
        <w:tabs>
          <w:tab w:val="left" w:pos="5743"/>
        </w:tabs>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p>
    <w:p>
      <w:pPr>
        <w:keepNext w:val="0"/>
        <w:keepLines w:val="0"/>
        <w:pageBreakBefore w:val="0"/>
        <w:tabs>
          <w:tab w:val="left" w:pos="5743"/>
        </w:tabs>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p>
    <w:p>
      <w:pPr>
        <w:keepNext w:val="0"/>
        <w:keepLines w:val="0"/>
        <w:pageBreakBefore w:val="0"/>
        <w:kinsoku/>
        <w:wordWrap/>
        <w:overflowPunct/>
        <w:autoSpaceDE/>
        <w:autoSpaceDN/>
        <w:bidi w:val="0"/>
        <w:adjustRightInd/>
        <w:snapToGrid/>
        <w:spacing w:line="560" w:lineRule="exact"/>
        <w:ind w:firstLine="640" w:firstLineChars="200"/>
        <w:jc w:val="center"/>
        <w:textAlignment w:val="auto"/>
        <w:rPr>
          <w:rFonts w:hint="default" w:ascii="Times New Roman" w:hAnsi="Times New Roman" w:eastAsia="黑体" w:cs="Times New Roman"/>
          <w:sz w:val="32"/>
          <w:szCs w:val="32"/>
        </w:rPr>
      </w:pPr>
    </w:p>
    <w:p>
      <w:pPr>
        <w:keepNext w:val="0"/>
        <w:keepLines w:val="0"/>
        <w:pageBreakBefore w:val="0"/>
        <w:kinsoku/>
        <w:wordWrap/>
        <w:overflowPunct/>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w:t>
      </w:r>
      <w:r>
        <w:rPr>
          <w:rFonts w:hint="eastAsia" w:ascii="方正小标宋简体" w:hAnsi="方正小标宋简体" w:eastAsia="方正小标宋简体" w:cs="方正小标宋简体"/>
          <w:sz w:val="44"/>
          <w:szCs w:val="44"/>
          <w:lang w:eastAsia="zh-CN"/>
        </w:rPr>
        <w:t>水电</w:t>
      </w:r>
      <w:r>
        <w:rPr>
          <w:rFonts w:hint="eastAsia" w:ascii="方正小标宋简体" w:hAnsi="方正小标宋简体" w:eastAsia="方正小标宋简体" w:cs="方正小标宋简体"/>
          <w:sz w:val="44"/>
          <w:szCs w:val="44"/>
        </w:rPr>
        <w:t>项目支出绩效自评报告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一、项目基本情况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（一）项目概况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1.立项背景及目的</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紧紧围绕区委、区政府中心工作，切实履行各项职责，高效服务，力促发展，保障了区委、区政府各项工作高效有序运转。通过完善水电支付及水电维护、保养等各项工作职责及服务流程，狠抓日常工作落实及服务监管，为区委、区政府提供了</w:t>
      </w:r>
      <w:r>
        <w:rPr>
          <w:rFonts w:hint="eastAsia" w:ascii="Times New Roman" w:hAnsi="Times New Roman" w:eastAsia="仿宋_GB2312" w:cs="Times New Roman"/>
          <w:color w:val="333333"/>
          <w:kern w:val="0"/>
          <w:sz w:val="32"/>
          <w:szCs w:val="32"/>
          <w:lang w:eastAsia="zh-CN"/>
        </w:rPr>
        <w:t>水电</w:t>
      </w:r>
      <w:r>
        <w:rPr>
          <w:rFonts w:hint="default" w:ascii="Times New Roman" w:hAnsi="Times New Roman" w:eastAsia="仿宋_GB2312" w:cs="Times New Roman"/>
          <w:color w:val="333333"/>
          <w:kern w:val="0"/>
          <w:sz w:val="32"/>
          <w:szCs w:val="32"/>
        </w:rPr>
        <w:t>后勤保障服务。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为确保区委、区政府后勤服务正常开展，上级机关交办事项办理到位，需申请水电</w:t>
      </w:r>
      <w:r>
        <w:rPr>
          <w:rFonts w:hint="eastAsia" w:ascii="Times New Roman" w:hAnsi="Times New Roman" w:eastAsia="仿宋_GB2312" w:cs="Times New Roman"/>
          <w:color w:val="333333"/>
          <w:kern w:val="0"/>
          <w:sz w:val="32"/>
          <w:szCs w:val="32"/>
          <w:lang w:eastAsia="zh-CN"/>
        </w:rPr>
        <w:t>专项经费</w:t>
      </w:r>
      <w:r>
        <w:rPr>
          <w:rFonts w:hint="default" w:ascii="Times New Roman" w:hAnsi="Times New Roman" w:eastAsia="仿宋_GB2312" w:cs="Times New Roman"/>
          <w:color w:val="333333"/>
          <w:kern w:val="0"/>
          <w:sz w:val="32"/>
          <w:szCs w:val="32"/>
          <w:lang w:val="en-US" w:eastAsia="zh-CN"/>
        </w:rPr>
        <w:t>200万</w:t>
      </w:r>
      <w:r>
        <w:rPr>
          <w:rFonts w:hint="default" w:ascii="Times New Roman" w:hAnsi="Times New Roman" w:eastAsia="仿宋_GB2312" w:cs="Times New Roman"/>
          <w:color w:val="333333"/>
          <w:kern w:val="0"/>
          <w:sz w:val="32"/>
          <w:szCs w:val="32"/>
        </w:rPr>
        <w:t>元，用于各办公区、住宅区水电费支出</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2.项目实施情况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根据各办公区、住宅区实际用水用电量，按期完成水电费缴纳工作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3.资金来源及使用情况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我单位项目经费来源</w:t>
      </w:r>
      <w:r>
        <w:rPr>
          <w:rFonts w:hint="default" w:ascii="Times New Roman" w:hAnsi="Times New Roman" w:eastAsia="仿宋_GB2312" w:cs="Times New Roman"/>
          <w:color w:val="333333"/>
          <w:kern w:val="0"/>
          <w:sz w:val="32"/>
          <w:szCs w:val="32"/>
        </w:rPr>
        <w:t>根据《</w:t>
      </w:r>
      <w:r>
        <w:rPr>
          <w:rFonts w:hint="default" w:ascii="Times New Roman" w:hAnsi="Times New Roman" w:eastAsia="仿宋_GB2312" w:cs="Times New Roman"/>
          <w:color w:val="333333"/>
          <w:kern w:val="0"/>
          <w:sz w:val="32"/>
          <w:szCs w:val="32"/>
          <w:lang w:eastAsia="zh-CN"/>
        </w:rPr>
        <w:t>昆明市盘龙区财政局关于批复</w:t>
      </w:r>
      <w:r>
        <w:rPr>
          <w:rFonts w:hint="default" w:ascii="Times New Roman" w:hAnsi="Times New Roman" w:eastAsia="仿宋_GB2312" w:cs="Times New Roman"/>
          <w:color w:val="333333"/>
          <w:kern w:val="0"/>
          <w:sz w:val="32"/>
          <w:szCs w:val="32"/>
          <w:lang w:val="en-US" w:eastAsia="zh-CN"/>
        </w:rPr>
        <w:t>2022年部门预算的通知</w:t>
      </w:r>
      <w:r>
        <w:rPr>
          <w:rFonts w:hint="default" w:ascii="Times New Roman" w:hAnsi="Times New Roman" w:eastAsia="仿宋_GB2312" w:cs="Times New Roman"/>
          <w:color w:val="333333"/>
          <w:kern w:val="0"/>
          <w:sz w:val="32"/>
          <w:szCs w:val="32"/>
        </w:rPr>
        <w:t>》（盘财〔</w:t>
      </w:r>
      <w:r>
        <w:rPr>
          <w:rFonts w:hint="default" w:ascii="Times New Roman" w:hAnsi="Times New Roman" w:eastAsia="仿宋_GB2312" w:cs="Times New Roman"/>
          <w:color w:val="333333"/>
          <w:kern w:val="0"/>
          <w:sz w:val="32"/>
          <w:szCs w:val="32"/>
          <w:lang w:val="en-US" w:eastAsia="zh-CN"/>
        </w:rPr>
        <w:t>2022</w:t>
      </w:r>
      <w:r>
        <w:rPr>
          <w:rFonts w:hint="default" w:ascii="Times New Roman" w:hAnsi="Times New Roman" w:eastAsia="仿宋_GB2312" w:cs="Times New Roman"/>
          <w:color w:val="333333"/>
          <w:kern w:val="0"/>
          <w:sz w:val="32"/>
          <w:szCs w:val="32"/>
        </w:rPr>
        <w:t>〕1号）文件安排</w:t>
      </w:r>
      <w:r>
        <w:rPr>
          <w:rFonts w:hint="eastAsia" w:ascii="Times New Roman" w:hAnsi="Times New Roman" w:eastAsia="仿宋_GB2312" w:cs="Times New Roman"/>
          <w:color w:val="333333"/>
          <w:kern w:val="0"/>
          <w:sz w:val="32"/>
          <w:szCs w:val="32"/>
          <w:lang w:eastAsia="zh-CN"/>
        </w:rPr>
        <w:t>水电</w:t>
      </w:r>
      <w:r>
        <w:rPr>
          <w:rFonts w:hint="default" w:ascii="Times New Roman" w:hAnsi="Times New Roman" w:eastAsia="仿宋_GB2312" w:cs="Times New Roman"/>
          <w:color w:val="333333"/>
          <w:kern w:val="0"/>
          <w:sz w:val="32"/>
          <w:szCs w:val="32"/>
        </w:rPr>
        <w:t>项目资金</w:t>
      </w:r>
      <w:r>
        <w:rPr>
          <w:rFonts w:hint="default" w:ascii="Times New Roman" w:hAnsi="Times New Roman" w:eastAsia="仿宋_GB2312" w:cs="Times New Roman"/>
          <w:color w:val="333333"/>
          <w:kern w:val="0"/>
          <w:sz w:val="32"/>
          <w:szCs w:val="32"/>
          <w:lang w:val="en-US" w:eastAsia="zh-CN"/>
        </w:rPr>
        <w:t>200</w:t>
      </w:r>
      <w:r>
        <w:rPr>
          <w:rFonts w:hint="default" w:ascii="Times New Roman" w:hAnsi="Times New Roman" w:eastAsia="仿宋_GB2312" w:cs="Times New Roman"/>
          <w:color w:val="333333"/>
          <w:kern w:val="0"/>
          <w:sz w:val="32"/>
          <w:szCs w:val="32"/>
        </w:rPr>
        <w:t>万元，资金来源全部为区级财政拨款。截</w:t>
      </w:r>
      <w:r>
        <w:rPr>
          <w:rFonts w:hint="default" w:ascii="Times New Roman" w:hAnsi="Times New Roman" w:eastAsia="仿宋_GB2312" w:cs="Times New Roman"/>
          <w:color w:val="333333"/>
          <w:kern w:val="0"/>
          <w:sz w:val="32"/>
          <w:szCs w:val="32"/>
          <w:lang w:eastAsia="zh-CN"/>
        </w:rPr>
        <w:t>止</w:t>
      </w:r>
      <w:r>
        <w:rPr>
          <w:rFonts w:hint="default" w:ascii="Times New Roman" w:hAnsi="Times New Roman" w:eastAsia="仿宋_GB2312" w:cs="Times New Roman"/>
          <w:color w:val="333333"/>
          <w:kern w:val="0"/>
          <w:sz w:val="32"/>
          <w:szCs w:val="32"/>
        </w:rPr>
        <w:t>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w:t>
      </w:r>
      <w:r>
        <w:rPr>
          <w:rFonts w:hint="eastAsia" w:ascii="Times New Roman" w:hAnsi="Times New Roman" w:eastAsia="仿宋_GB2312" w:cs="Times New Roman"/>
          <w:color w:val="333333"/>
          <w:kern w:val="0"/>
          <w:sz w:val="32"/>
          <w:szCs w:val="32"/>
          <w:lang w:eastAsia="zh-CN"/>
        </w:rPr>
        <w:t>水电</w:t>
      </w:r>
      <w:r>
        <w:rPr>
          <w:rFonts w:hint="default" w:ascii="Times New Roman" w:hAnsi="Times New Roman" w:eastAsia="仿宋_GB2312" w:cs="Times New Roman"/>
          <w:color w:val="333333"/>
          <w:kern w:val="0"/>
          <w:sz w:val="32"/>
          <w:szCs w:val="32"/>
          <w:lang w:eastAsia="zh-CN"/>
        </w:rPr>
        <w:t>专项</w:t>
      </w:r>
      <w:r>
        <w:rPr>
          <w:rFonts w:hint="default" w:ascii="Times New Roman" w:hAnsi="Times New Roman" w:eastAsia="仿宋_GB2312" w:cs="Times New Roman"/>
          <w:color w:val="333333"/>
          <w:kern w:val="0"/>
          <w:sz w:val="32"/>
          <w:szCs w:val="32"/>
        </w:rPr>
        <w:t>经费</w:t>
      </w:r>
      <w:r>
        <w:rPr>
          <w:rFonts w:hint="default" w:ascii="Times New Roman" w:hAnsi="Times New Roman" w:eastAsia="仿宋_GB2312" w:cs="Times New Roman"/>
          <w:color w:val="333333"/>
          <w:kern w:val="0"/>
          <w:sz w:val="32"/>
          <w:szCs w:val="32"/>
          <w:lang w:eastAsia="zh-CN"/>
        </w:rPr>
        <w:t>已支出</w:t>
      </w:r>
      <w:r>
        <w:rPr>
          <w:rFonts w:hint="default" w:ascii="Times New Roman" w:hAnsi="Times New Roman" w:eastAsia="仿宋_GB2312" w:cs="Times New Roman"/>
          <w:color w:val="333333"/>
          <w:kern w:val="0"/>
          <w:sz w:val="32"/>
          <w:szCs w:val="32"/>
          <w:lang w:val="en-US" w:eastAsia="zh-CN"/>
        </w:rPr>
        <w:t>157.51万元</w:t>
      </w:r>
      <w:r>
        <w:rPr>
          <w:rFonts w:hint="default" w:ascii="Times New Roman" w:hAnsi="Times New Roman" w:eastAsia="仿宋_GB2312" w:cs="Times New Roman"/>
          <w:color w:val="333333"/>
          <w:kern w:val="0"/>
          <w:sz w:val="32"/>
          <w:szCs w:val="32"/>
        </w:rPr>
        <w:t>，主要用于支付</w:t>
      </w:r>
      <w:r>
        <w:rPr>
          <w:rFonts w:hint="default" w:ascii="Times New Roman" w:hAnsi="Times New Roman" w:eastAsia="仿宋_GB2312" w:cs="Times New Roman"/>
          <w:color w:val="333333"/>
          <w:kern w:val="0"/>
          <w:sz w:val="32"/>
          <w:szCs w:val="32"/>
          <w:lang w:eastAsia="zh-CN"/>
        </w:rPr>
        <w:t>各办公区、住宅区水电费。</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4.组织及管理情况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我单位负责</w:t>
      </w:r>
      <w:r>
        <w:rPr>
          <w:rFonts w:hint="default" w:ascii="Times New Roman" w:hAnsi="Times New Roman" w:eastAsia="仿宋_GB2312" w:cs="Times New Roman"/>
          <w:color w:val="333333"/>
          <w:kern w:val="0"/>
          <w:sz w:val="32"/>
          <w:szCs w:val="32"/>
          <w:lang w:eastAsia="zh-CN"/>
        </w:rPr>
        <w:t>各办公区、住宅区</w:t>
      </w:r>
      <w:r>
        <w:rPr>
          <w:rFonts w:hint="default" w:ascii="Times New Roman" w:hAnsi="Times New Roman" w:eastAsia="仿宋_GB2312" w:cs="Times New Roman"/>
          <w:color w:val="333333"/>
          <w:kern w:val="0"/>
          <w:sz w:val="32"/>
          <w:szCs w:val="32"/>
        </w:rPr>
        <w:t>的水、电费缴付工作，该项工作基本以委托银行代收</w:t>
      </w:r>
      <w:r>
        <w:rPr>
          <w:rFonts w:hint="eastAsia" w:ascii="Times New Roman" w:hAnsi="Times New Roman" w:eastAsia="仿宋_GB2312" w:cs="Times New Roman"/>
          <w:color w:val="333333"/>
          <w:kern w:val="0"/>
          <w:sz w:val="32"/>
          <w:szCs w:val="32"/>
          <w:lang w:eastAsia="zh-CN"/>
        </w:rPr>
        <w:t>方式进行</w:t>
      </w:r>
      <w:r>
        <w:rPr>
          <w:rFonts w:hint="default" w:ascii="Times New Roman" w:hAnsi="Times New Roman" w:eastAsia="仿宋_GB2312" w:cs="Times New Roman"/>
          <w:color w:val="333333"/>
          <w:kern w:val="0"/>
          <w:sz w:val="32"/>
          <w:szCs w:val="32"/>
        </w:rPr>
        <w:t>。通过对资金支付、付款单据等相关原始资料的检查，本项目资金拨付审批手续完整，支出依据合规，未发现虚列套取、截留、挤占、挪用情况和超标准开支的情况</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1.总目标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确保区委、区政府后勤服务正常开展，上级机关交办事项办理到位，为各办公区、住宅区提供水、电维护、保养等</w:t>
      </w:r>
      <w:r>
        <w:rPr>
          <w:rFonts w:hint="eastAsia" w:ascii="Times New Roman" w:hAnsi="Times New Roman" w:eastAsia="仿宋_GB2312" w:cs="Times New Roman"/>
          <w:color w:val="333333"/>
          <w:kern w:val="0"/>
          <w:sz w:val="32"/>
          <w:szCs w:val="32"/>
          <w:lang w:eastAsia="zh-CN"/>
        </w:rPr>
        <w:t>水电</w:t>
      </w:r>
      <w:r>
        <w:rPr>
          <w:rFonts w:hint="default" w:ascii="Times New Roman" w:hAnsi="Times New Roman" w:eastAsia="仿宋_GB2312" w:cs="Times New Roman"/>
          <w:color w:val="333333"/>
          <w:kern w:val="0"/>
          <w:sz w:val="32"/>
          <w:szCs w:val="32"/>
        </w:rPr>
        <w:t>后勤管理服务</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完成集中办公区、机关住宅区的水电费缴纳工作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本次绩效评价开始前，评价组对项目开展情况、资金使用管理情况、财务账务处理等进行前期调研，掌握项目运行的第一手资料，为该项目绩效评价工作的开展打下坚实的基础</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评价组对</w:t>
      </w:r>
      <w:r>
        <w:rPr>
          <w:rFonts w:hint="default" w:ascii="Times New Roman" w:hAnsi="Times New Roman" w:eastAsia="仿宋_GB2312" w:cs="Times New Roman"/>
          <w:sz w:val="32"/>
          <w:szCs w:val="32"/>
        </w:rPr>
        <w:t>《盘龙区区级部门预算绩效自评管理暂行办法》和《昆明市盘龙区财政局关于开展202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年度区级预算支出绩效自评工作的通知》</w:t>
      </w:r>
      <w:r>
        <w:rPr>
          <w:rFonts w:hint="default" w:ascii="Times New Roman" w:hAnsi="Times New Roman" w:eastAsia="仿宋_GB2312" w:cs="Times New Roman"/>
          <w:color w:val="333333"/>
          <w:kern w:val="0"/>
          <w:sz w:val="32"/>
          <w:szCs w:val="32"/>
        </w:rPr>
        <w:t>进行了认真研究，以确保绩效评价工作符合区财政局的相关要求</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r>
        <w:rPr>
          <w:rFonts w:hint="default" w:ascii="Times New Roman" w:hAnsi="Times New Roman" w:eastAsia="仿宋_GB2312"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此次评价采用</w:t>
      </w:r>
      <w:r>
        <w:rPr>
          <w:rFonts w:hint="default" w:ascii="Times New Roman" w:hAnsi="Times New Roman" w:eastAsia="仿宋_GB2312" w:cs="Times New Roman"/>
          <w:color w:val="333333"/>
          <w:kern w:val="0"/>
          <w:sz w:val="32"/>
          <w:szCs w:val="32"/>
          <w:lang w:eastAsia="zh-CN"/>
        </w:rPr>
        <w:t>比较分析法、访谈法、抽查法</w:t>
      </w:r>
      <w:r>
        <w:rPr>
          <w:rFonts w:hint="default" w:ascii="Times New Roman" w:hAnsi="Times New Roman" w:eastAsia="仿宋_GB2312" w:cs="Times New Roman"/>
          <w:color w:val="333333"/>
          <w:kern w:val="0"/>
          <w:sz w:val="32"/>
          <w:szCs w:val="32"/>
        </w:rPr>
        <w:t>等方式进行</w:t>
      </w:r>
      <w:r>
        <w:rPr>
          <w:rFonts w:hint="eastAsia" w:ascii="Times New Roman" w:hAnsi="Times New Roman" w:eastAsia="仿宋_GB2312" w:cs="Times New Roman"/>
          <w:color w:val="333333"/>
          <w:kern w:val="0"/>
          <w:sz w:val="32"/>
          <w:szCs w:val="32"/>
          <w:lang w:eastAsia="zh-CN"/>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抽查法：抽查全部资金到位情况等。</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年决算资料进行相关数据采集和填报</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.数据分析和撰写报告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r>
        <w:rPr>
          <w:rFonts w:hint="default" w:ascii="Times New Roman" w:hAnsi="Times New Roman" w:eastAsia="仿宋_GB2312" w:cs="Times New Roman"/>
          <w:color w:val="333333"/>
          <w:kern w:val="0"/>
          <w:sz w:val="32"/>
          <w:szCs w:val="32"/>
          <w:lang w:eastAsia="zh-CN"/>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由于该项目为经常性类项目，故以本单位实际开展日常工作情况为绩效效果进行考评，且资金管理由本单位进行统一管理。</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综上，根据《盘龙区区级部门预算绩效自评管理暂行办法》，项目绩效评价得分为</w:t>
      </w:r>
      <w:r>
        <w:rPr>
          <w:rFonts w:hint="default" w:ascii="Times New Roman" w:hAnsi="Times New Roman" w:eastAsia="仿宋_GB2312" w:cs="Times New Roman"/>
          <w:color w:val="333333"/>
          <w:kern w:val="0"/>
          <w:sz w:val="32"/>
          <w:szCs w:val="32"/>
          <w:lang w:val="en-US" w:eastAsia="zh-CN"/>
        </w:rPr>
        <w:t>94</w:t>
      </w:r>
      <w:r>
        <w:rPr>
          <w:rFonts w:hint="default" w:ascii="Times New Roman" w:hAnsi="Times New Roman" w:eastAsia="仿宋_GB2312" w:cs="Times New Roman"/>
          <w:color w:val="333333"/>
          <w:kern w:val="0"/>
          <w:sz w:val="32"/>
          <w:szCs w:val="32"/>
        </w:rPr>
        <w:t>分，自评结果为优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2.主要绩效</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本项目不属于投资建设类项目，主要内容为我单位管理的集中办公区、住宅区的</w:t>
      </w:r>
      <w:r>
        <w:rPr>
          <w:rFonts w:hint="eastAsia" w:ascii="Times New Roman" w:hAnsi="Times New Roman" w:eastAsia="仿宋_GB2312" w:cs="Times New Roman"/>
          <w:color w:val="333333"/>
          <w:kern w:val="0"/>
          <w:sz w:val="32"/>
          <w:szCs w:val="32"/>
          <w:lang w:eastAsia="zh-CN"/>
        </w:rPr>
        <w:t>水电费用</w:t>
      </w:r>
      <w:r>
        <w:rPr>
          <w:rFonts w:hint="default" w:ascii="Times New Roman" w:hAnsi="Times New Roman" w:eastAsia="仿宋_GB2312" w:cs="Times New Roman"/>
          <w:color w:val="333333"/>
          <w:kern w:val="0"/>
          <w:sz w:val="32"/>
          <w:szCs w:val="32"/>
        </w:rPr>
        <w:t>等支出。机关事务管理服务中心202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年度完成工作效益较好，保证了区委、区政府各项工作的顺利开展</w:t>
      </w:r>
      <w:r>
        <w:rPr>
          <w:rFonts w:hint="default" w:ascii="Times New Roman" w:hAnsi="Times New Roman" w:eastAsia="仿宋" w:cs="Times New Roman"/>
          <w:sz w:val="32"/>
          <w:szCs w:val="32"/>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具体详见附件1</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sz w:val="32"/>
          <w:szCs w:val="32"/>
        </w:rPr>
        <w:t>项目支出绩效评价共性指标体系框架</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 w:cs="Times New Roman"/>
          <w:sz w:val="32"/>
          <w:szCs w:val="32"/>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（一）项目经济性分析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1.项目成本控制情况</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根据昆明市盘龙区财政局《关于下达盘龙区202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年部门预算的批复》（盘财〔202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〕1号）下达机关事务管理服务中心202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w:t>
      </w:r>
      <w:r>
        <w:rPr>
          <w:rFonts w:hint="default" w:ascii="Times New Roman" w:hAnsi="Times New Roman" w:eastAsia="仿宋_GB2312" w:cs="Times New Roman"/>
          <w:color w:val="333333"/>
          <w:kern w:val="0"/>
          <w:sz w:val="32"/>
          <w:szCs w:val="32"/>
          <w:lang w:eastAsia="zh-CN"/>
        </w:rPr>
        <w:t>水电专项经费</w:t>
      </w:r>
      <w:r>
        <w:rPr>
          <w:rFonts w:hint="default" w:ascii="Times New Roman" w:hAnsi="Times New Roman" w:eastAsia="仿宋_GB2312" w:cs="Times New Roman"/>
          <w:color w:val="333333"/>
          <w:kern w:val="0"/>
          <w:sz w:val="32"/>
          <w:szCs w:val="32"/>
        </w:rPr>
        <w:t>”</w:t>
      </w:r>
      <w:r>
        <w:rPr>
          <w:rFonts w:hint="default" w:ascii="Times New Roman" w:hAnsi="Times New Roman" w:eastAsia="仿宋_GB2312" w:cs="Times New Roman"/>
          <w:color w:val="333333"/>
          <w:kern w:val="0"/>
          <w:sz w:val="32"/>
          <w:szCs w:val="32"/>
          <w:lang w:val="en-US" w:eastAsia="zh-CN"/>
        </w:rPr>
        <w:t>200万</w:t>
      </w:r>
      <w:r>
        <w:rPr>
          <w:rFonts w:hint="default" w:ascii="Times New Roman" w:hAnsi="Times New Roman" w:eastAsia="仿宋_GB2312" w:cs="Times New Roman"/>
          <w:color w:val="333333"/>
          <w:kern w:val="0"/>
          <w:sz w:val="32"/>
          <w:szCs w:val="32"/>
        </w:rPr>
        <w:t>元，</w:t>
      </w:r>
      <w:r>
        <w:rPr>
          <w:rFonts w:hint="default" w:ascii="Times New Roman" w:hAnsi="Times New Roman" w:eastAsia="仿宋_GB2312" w:cs="Times New Roman"/>
          <w:color w:val="333333"/>
          <w:kern w:val="0"/>
          <w:sz w:val="32"/>
          <w:szCs w:val="32"/>
          <w:lang w:val="en-US" w:eastAsia="zh-CN"/>
        </w:rPr>
        <w:t>2022年实际收到财政拨款157.51万元</w:t>
      </w:r>
      <w:r>
        <w:rPr>
          <w:rFonts w:hint="default" w:ascii="Times New Roman" w:hAnsi="Times New Roman" w:eastAsia="仿宋_GB2312" w:cs="Times New Roman"/>
          <w:color w:val="333333"/>
          <w:kern w:val="0"/>
          <w:sz w:val="32"/>
          <w:szCs w:val="32"/>
        </w:rPr>
        <w:t>，用于</w:t>
      </w:r>
      <w:r>
        <w:rPr>
          <w:rFonts w:hint="default" w:ascii="Times New Roman" w:hAnsi="Times New Roman" w:eastAsia="仿宋_GB2312" w:cs="Times New Roman"/>
          <w:color w:val="333333"/>
          <w:kern w:val="0"/>
          <w:sz w:val="32"/>
          <w:szCs w:val="32"/>
          <w:lang w:eastAsia="zh-CN"/>
        </w:rPr>
        <w:t>各办公区、住宅区的水电</w:t>
      </w:r>
      <w:r>
        <w:rPr>
          <w:rFonts w:hint="default" w:ascii="Times New Roman" w:hAnsi="Times New Roman" w:eastAsia="仿宋_GB2312" w:cs="Times New Roman"/>
          <w:color w:val="333333"/>
          <w:kern w:val="0"/>
          <w:sz w:val="32"/>
          <w:szCs w:val="32"/>
        </w:rPr>
        <w:t>支出。机关事务管理服务中心相关财务资料显示资金支出</w:t>
      </w:r>
      <w:r>
        <w:rPr>
          <w:rFonts w:hint="default" w:ascii="Times New Roman" w:hAnsi="Times New Roman" w:eastAsia="仿宋_GB2312" w:cs="Times New Roman"/>
          <w:color w:val="333333"/>
          <w:kern w:val="0"/>
          <w:sz w:val="32"/>
          <w:szCs w:val="32"/>
          <w:lang w:val="en-US" w:eastAsia="zh-CN"/>
        </w:rPr>
        <w:t>157.51万</w:t>
      </w:r>
      <w:r>
        <w:rPr>
          <w:rFonts w:hint="default" w:ascii="Times New Roman" w:hAnsi="Times New Roman" w:eastAsia="仿宋_GB2312" w:cs="Times New Roman"/>
          <w:color w:val="333333"/>
          <w:kern w:val="0"/>
          <w:sz w:val="32"/>
          <w:szCs w:val="32"/>
        </w:rPr>
        <w:t>元，项目资金使用控制在预算范围内。</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2.项目的效率性分析</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根据相关的项目资料显示，截止202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年12月31日，本单位各项工作均有序进行。</w:t>
      </w:r>
      <w:bookmarkStart w:id="0" w:name="_Toc28106"/>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（二）项目的效益性分析</w:t>
      </w:r>
      <w:bookmarkEnd w:id="0"/>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1.经济效益</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机关各办公区、住宅区交纳水电费是一项经常性后勤保障工作，其直接和间接的经济效益难以计算。在本项目的实施过程中，在确保正常办公及生活的情况下，节约用水、用电</w:t>
      </w:r>
      <w:r>
        <w:rPr>
          <w:rFonts w:hint="eastAsia" w:ascii="Times New Roman" w:hAnsi="Times New Roman" w:eastAsia="仿宋_GB2312" w:cs="Times New Roman"/>
          <w:sz w:val="32"/>
          <w:szCs w:val="32"/>
          <w:lang w:eastAsia="zh-CN"/>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2.社会效益</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为各办公区办公人员及住宅区居民提供高效、快捷、安全的服务</w:t>
      </w:r>
      <w:r>
        <w:rPr>
          <w:rFonts w:hint="eastAsia" w:ascii="Times New Roman" w:hAnsi="Times New Roman" w:eastAsia="仿宋_GB2312" w:cs="Times New Roman"/>
          <w:color w:val="333333"/>
          <w:kern w:val="0"/>
          <w:sz w:val="32"/>
          <w:szCs w:val="32"/>
          <w:lang w:eastAsia="zh-CN"/>
        </w:rPr>
        <w:t>。</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3.可持续影响</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本项目的实施，保障了区委、区政府</w:t>
      </w:r>
      <w:r>
        <w:rPr>
          <w:rFonts w:hint="eastAsia" w:ascii="Times New Roman" w:hAnsi="Times New Roman" w:eastAsia="仿宋_GB2312" w:cs="Times New Roman"/>
          <w:color w:val="333333"/>
          <w:kern w:val="0"/>
          <w:sz w:val="32"/>
          <w:szCs w:val="32"/>
          <w:lang w:eastAsia="zh-CN"/>
        </w:rPr>
        <w:t>水电费有序支出</w:t>
      </w:r>
      <w:r>
        <w:rPr>
          <w:rFonts w:hint="default" w:ascii="Times New Roman" w:hAnsi="Times New Roman" w:eastAsia="仿宋_GB2312" w:cs="Times New Roman"/>
          <w:color w:val="333333"/>
          <w:kern w:val="0"/>
          <w:sz w:val="32"/>
          <w:szCs w:val="32"/>
        </w:rPr>
        <w:t>，不断优化工作流程、模式等，为建设节约型政府及节约型社会奠定了基础。</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五、主要经验及做法、存在的问题和建议</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000000" w:themeColor="text1"/>
          <w:kern w:val="0"/>
          <w:sz w:val="32"/>
          <w:szCs w:val="32"/>
          <w14:textFill>
            <w14:solidFill>
              <w14:schemeClr w14:val="tx1"/>
            </w14:solidFill>
          </w14:textFill>
        </w:rPr>
        <w:t>机关事务管理服务中心根据</w:t>
      </w:r>
      <w:r>
        <w:rPr>
          <w:rFonts w:hint="default" w:ascii="Times New Roman" w:hAnsi="Times New Roman" w:eastAsia="仿宋_GB2312" w:cs="Times New Roman"/>
          <w:color w:val="000000" w:themeColor="text1"/>
          <w:sz w:val="32"/>
          <w:szCs w:val="32"/>
          <w14:textFill>
            <w14:solidFill>
              <w14:schemeClr w14:val="tx1"/>
            </w14:solidFill>
          </w14:textFill>
        </w:rPr>
        <w:t>《昆明市盘龙区财政局关于开展202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年度区级预算支出绩效自评工作的通知》（盘财绩〔202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14:textFill>
            <w14:solidFill>
              <w14:schemeClr w14:val="tx1"/>
            </w14:solidFill>
          </w14:textFill>
        </w:rPr>
        <w:t>号）</w:t>
      </w:r>
      <w:r>
        <w:rPr>
          <w:rFonts w:hint="default" w:ascii="Times New Roman" w:hAnsi="Times New Roman" w:eastAsia="仿宋_GB2312" w:cs="Times New Roman"/>
          <w:color w:val="000000" w:themeColor="text1"/>
          <w:kern w:val="0"/>
          <w:sz w:val="32"/>
          <w:szCs w:val="32"/>
          <w14:textFill>
            <w14:solidFill>
              <w14:schemeClr w14:val="tx1"/>
            </w14:solidFill>
          </w14:textFill>
        </w:rPr>
        <w:t>精神，成立了自评小组，通过前期调研工</w:t>
      </w:r>
      <w:r>
        <w:rPr>
          <w:rFonts w:hint="default" w:ascii="Times New Roman" w:hAnsi="Times New Roman" w:eastAsia="仿宋_GB2312" w:cs="Times New Roman"/>
          <w:color w:val="333333"/>
          <w:kern w:val="0"/>
          <w:sz w:val="32"/>
          <w:szCs w:val="32"/>
        </w:rPr>
        <w:t>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w:t>
      </w:r>
      <w:r>
        <w:rPr>
          <w:rFonts w:hint="default" w:ascii="Times New Roman" w:hAnsi="Times New Roman" w:eastAsia="仿宋_GB2312" w:cs="Times New Roman"/>
          <w:color w:val="333333"/>
          <w:kern w:val="0"/>
          <w:sz w:val="32"/>
          <w:szCs w:val="32"/>
          <w:lang w:eastAsia="zh-CN"/>
        </w:rPr>
        <w:t>水电</w:t>
      </w:r>
      <w:r>
        <w:rPr>
          <w:rFonts w:hint="default" w:ascii="Times New Roman" w:hAnsi="Times New Roman" w:eastAsia="仿宋_GB2312" w:cs="Times New Roman"/>
          <w:color w:val="333333"/>
          <w:kern w:val="0"/>
          <w:sz w:val="32"/>
          <w:szCs w:val="32"/>
        </w:rPr>
        <w:t>支出的合法性、合规性；通过分析目标完成情况，查找存在的问题及总结好的经验方法，较好的完成了自评工作</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水电费</w:t>
      </w:r>
      <w:r>
        <w:rPr>
          <w:rFonts w:hint="default" w:ascii="Times New Roman" w:hAnsi="Times New Roman" w:eastAsia="仿宋_GB2312" w:cs="Times New Roman"/>
          <w:color w:val="333333"/>
          <w:kern w:val="0"/>
          <w:sz w:val="32"/>
          <w:szCs w:val="32"/>
          <w:lang w:eastAsia="zh-CN"/>
        </w:rPr>
        <w:t>使用</w:t>
      </w:r>
      <w:r>
        <w:rPr>
          <w:rFonts w:hint="default" w:ascii="Times New Roman" w:hAnsi="Times New Roman" w:eastAsia="仿宋_GB2312" w:cs="Times New Roman"/>
          <w:color w:val="333333"/>
          <w:kern w:val="0"/>
          <w:sz w:val="32"/>
          <w:szCs w:val="32"/>
        </w:rPr>
        <w:t>成本较高</w:t>
      </w:r>
      <w:r>
        <w:rPr>
          <w:rFonts w:hint="default" w:ascii="Times New Roman" w:hAnsi="Times New Roman" w:eastAsia="仿宋_GB2312" w:cs="Times New Roman"/>
          <w:color w:val="333333"/>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（三）建议和改进措施</w:t>
      </w:r>
    </w:p>
    <w:p>
      <w:pPr>
        <w:keepNext w:val="0"/>
        <w:keepLines w:val="0"/>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1.提高我们的服务水平和服务质量，让</w:t>
      </w:r>
      <w:r>
        <w:rPr>
          <w:rFonts w:hint="default" w:ascii="Times New Roman" w:hAnsi="Times New Roman" w:eastAsia="仿宋_GB2312" w:cs="Times New Roman"/>
          <w:color w:val="333333"/>
          <w:kern w:val="0"/>
          <w:sz w:val="32"/>
          <w:szCs w:val="32"/>
          <w:lang w:eastAsia="zh-CN"/>
        </w:rPr>
        <w:t>工作</w:t>
      </w:r>
      <w:r>
        <w:rPr>
          <w:rFonts w:hint="default" w:ascii="Times New Roman" w:hAnsi="Times New Roman" w:eastAsia="仿宋_GB2312" w:cs="Times New Roman"/>
          <w:color w:val="333333"/>
          <w:kern w:val="0"/>
          <w:sz w:val="32"/>
          <w:szCs w:val="32"/>
        </w:rPr>
        <w:t>人员和住宅区居民提升满意度。</w:t>
      </w:r>
    </w:p>
    <w:p>
      <w:pPr>
        <w:keepNext w:val="0"/>
        <w:keepLines w:val="0"/>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color w:val="333333"/>
          <w:kern w:val="0"/>
          <w:sz w:val="32"/>
          <w:szCs w:val="32"/>
        </w:rPr>
        <w:t>2.进一步控制水电费成本，降低水电费成本</w:t>
      </w:r>
      <w:r>
        <w:rPr>
          <w:rFonts w:hint="default" w:ascii="Times New Roman" w:hAnsi="Times New Roman" w:eastAsia="仿宋_GB2312" w:cs="Times New Roman"/>
          <w:color w:val="333333"/>
          <w:kern w:val="0"/>
          <w:sz w:val="32"/>
          <w:szCs w:val="32"/>
          <w:lang w:eastAsia="zh-CN"/>
        </w:rPr>
        <w:t>，建设资源节约型社会。</w:t>
      </w: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both"/>
        <w:rPr>
          <w:rFonts w:hint="eastAsia" w:ascii="方正小标宋_GBK" w:eastAsia="方正小标宋_GBK"/>
          <w:sz w:val="28"/>
          <w:szCs w:val="28"/>
        </w:rPr>
      </w:pPr>
    </w:p>
    <w:p>
      <w:pPr>
        <w:widowControl/>
        <w:jc w:val="center"/>
        <w:rPr>
          <w:rFonts w:ascii="方正小标宋_GBK" w:eastAsia="方正小标宋_GBK"/>
          <w:sz w:val="28"/>
          <w:szCs w:val="28"/>
        </w:rPr>
      </w:pPr>
      <w:r>
        <w:rPr>
          <w:rFonts w:hint="eastAsia" w:ascii="方正小标宋_GBK" w:eastAsia="方正小标宋_GBK"/>
          <w:sz w:val="28"/>
          <w:szCs w:val="28"/>
        </w:rPr>
        <w:t>附件</w:t>
      </w:r>
      <w:r>
        <w:rPr>
          <w:rFonts w:hint="eastAsia" w:ascii="方正小标宋_GBK" w:eastAsia="方正小标宋_GBK"/>
          <w:sz w:val="28"/>
          <w:szCs w:val="28"/>
          <w:lang w:val="en-US" w:eastAsia="zh-CN"/>
        </w:rPr>
        <w:t>1</w:t>
      </w:r>
      <w:r>
        <w:rPr>
          <w:rFonts w:hint="eastAsia" w:ascii="方正小标宋_GBK" w:eastAsia="方正小标宋_GBK"/>
          <w:sz w:val="28"/>
          <w:szCs w:val="28"/>
        </w:rPr>
        <w:t>：项目支出绩效评价共性指标体系框架</w:t>
      </w:r>
    </w:p>
    <w:tbl>
      <w:tblPr>
        <w:tblStyle w:val="3"/>
        <w:tblpPr w:leftFromText="180" w:rightFromText="180" w:vertAnchor="text" w:horzAnchor="page" w:tblpX="1201" w:tblpY="383"/>
        <w:tblW w:w="10412" w:type="dxa"/>
        <w:tblInd w:w="0" w:type="dxa"/>
        <w:tblLayout w:type="autofit"/>
        <w:tblCellMar>
          <w:top w:w="0" w:type="dxa"/>
          <w:left w:w="108" w:type="dxa"/>
          <w:bottom w:w="0" w:type="dxa"/>
          <w:right w:w="108" w:type="dxa"/>
        </w:tblCellMar>
      </w:tblPr>
      <w:tblGrid>
        <w:gridCol w:w="846"/>
        <w:gridCol w:w="970"/>
        <w:gridCol w:w="1143"/>
        <w:gridCol w:w="1091"/>
        <w:gridCol w:w="499"/>
        <w:gridCol w:w="570"/>
        <w:gridCol w:w="2103"/>
        <w:gridCol w:w="1973"/>
        <w:gridCol w:w="1217"/>
      </w:tblGrid>
      <w:tr>
        <w:tblPrEx>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900" w:hRule="atLeast"/>
        </w:trPr>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CellMar>
            <w:top w:w="0" w:type="dxa"/>
            <w:left w:w="108" w:type="dxa"/>
            <w:bottom w:w="0" w:type="dxa"/>
            <w:right w:w="108" w:type="dxa"/>
          </w:tblCellMar>
        </w:tblPrEx>
        <w:trPr>
          <w:trHeight w:val="105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CellMar>
            <w:top w:w="0" w:type="dxa"/>
            <w:left w:w="108" w:type="dxa"/>
            <w:bottom w:w="0" w:type="dxa"/>
            <w:right w:w="108" w:type="dxa"/>
          </w:tblCellMar>
        </w:tblPrEx>
        <w:trPr>
          <w:trHeight w:val="91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CellMar>
            <w:top w:w="0" w:type="dxa"/>
            <w:left w:w="108" w:type="dxa"/>
            <w:bottom w:w="0" w:type="dxa"/>
            <w:right w:w="108" w:type="dxa"/>
          </w:tblCellMar>
        </w:tblPrEx>
        <w:trPr>
          <w:trHeight w:val="10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CellMar>
            <w:top w:w="0" w:type="dxa"/>
            <w:left w:w="108" w:type="dxa"/>
            <w:bottom w:w="0" w:type="dxa"/>
            <w:right w:w="108" w:type="dxa"/>
          </w:tblCellMar>
        </w:tblPrEx>
        <w:trPr>
          <w:trHeight w:val="82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79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88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CellMar>
            <w:top w:w="0" w:type="dxa"/>
            <w:left w:w="108" w:type="dxa"/>
            <w:bottom w:w="0" w:type="dxa"/>
            <w:right w:w="108" w:type="dxa"/>
          </w:tblCellMar>
        </w:tblPrEx>
        <w:trPr>
          <w:trHeight w:val="720" w:hRule="atLeast"/>
        </w:trPr>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CellMar>
            <w:top w:w="0" w:type="dxa"/>
            <w:left w:w="108" w:type="dxa"/>
            <w:bottom w:w="0" w:type="dxa"/>
            <w:right w:w="108" w:type="dxa"/>
          </w:tblCellMar>
        </w:tblPrEx>
        <w:trPr>
          <w:trHeight w:val="81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CellMar>
            <w:top w:w="0" w:type="dxa"/>
            <w:left w:w="108" w:type="dxa"/>
            <w:bottom w:w="0" w:type="dxa"/>
            <w:right w:w="108" w:type="dxa"/>
          </w:tblCellMar>
        </w:tblPrEx>
        <w:trPr>
          <w:trHeight w:val="123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w:t>
            </w:r>
            <w:r>
              <w:rPr>
                <w:rFonts w:hint="eastAsia" w:ascii="宋体" w:hAnsi="宋体" w:cs="宋体"/>
                <w:color w:val="000000"/>
                <w:kern w:val="0"/>
                <w:sz w:val="18"/>
                <w:szCs w:val="18"/>
                <w:lang w:val="en-US" w:eastAsia="zh-CN"/>
              </w:rPr>
              <w:t>0</w:t>
            </w:r>
            <w:r>
              <w:rPr>
                <w:rFonts w:hint="eastAsia" w:ascii="宋体" w:hAnsi="宋体" w:cs="宋体"/>
                <w:color w:val="000000"/>
                <w:kern w:val="0"/>
                <w:sz w:val="18"/>
                <w:szCs w:val="18"/>
              </w:rPr>
              <w:t>%以上，得满分；低于9</w:t>
            </w:r>
            <w:r>
              <w:rPr>
                <w:rFonts w:hint="eastAsia" w:ascii="宋体" w:hAnsi="宋体" w:cs="宋体"/>
                <w:color w:val="000000"/>
                <w:kern w:val="0"/>
                <w:sz w:val="18"/>
                <w:szCs w:val="18"/>
                <w:lang w:val="en-US" w:eastAsia="zh-CN"/>
              </w:rPr>
              <w:t>0</w:t>
            </w:r>
            <w:r>
              <w:rPr>
                <w:rFonts w:hint="eastAsia" w:ascii="宋体" w:hAnsi="宋体" w:cs="宋体"/>
                <w:color w:val="000000"/>
                <w:kern w:val="0"/>
                <w:sz w:val="18"/>
                <w:szCs w:val="18"/>
              </w:rPr>
              <w:t>%，每下降</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%扣</w:t>
            </w:r>
            <w:r>
              <w:rPr>
                <w:rFonts w:hint="eastAsia" w:ascii="宋体" w:hAnsi="宋体" w:cs="宋体"/>
                <w:color w:val="000000"/>
                <w:kern w:val="0"/>
                <w:sz w:val="18"/>
                <w:szCs w:val="18"/>
                <w:lang w:val="en-US" w:eastAsia="zh-CN"/>
              </w:rPr>
              <w:t>0.5分</w:t>
            </w:r>
            <w:r>
              <w:rPr>
                <w:rFonts w:hint="eastAsia" w:ascii="宋体" w:hAnsi="宋体" w:cs="宋体"/>
                <w:color w:val="000000"/>
                <w:kern w:val="0"/>
                <w:sz w:val="18"/>
                <w:szCs w:val="18"/>
              </w:rPr>
              <w:t>；预算执行率60%以下，不计分。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97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22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3"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CellMar>
            <w:top w:w="0" w:type="dxa"/>
            <w:left w:w="108" w:type="dxa"/>
            <w:bottom w:w="0" w:type="dxa"/>
            <w:right w:w="108" w:type="dxa"/>
          </w:tblCellMar>
        </w:tblPrEx>
        <w:trPr>
          <w:trHeight w:val="75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CellMar>
            <w:top w:w="0" w:type="dxa"/>
            <w:left w:w="108" w:type="dxa"/>
            <w:bottom w:w="0" w:type="dxa"/>
            <w:right w:w="108" w:type="dxa"/>
          </w:tblCellMar>
        </w:tblPrEx>
        <w:trPr>
          <w:trHeight w:val="75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CellMar>
            <w:top w:w="0" w:type="dxa"/>
            <w:left w:w="108" w:type="dxa"/>
            <w:bottom w:w="0" w:type="dxa"/>
            <w:right w:w="108" w:type="dxa"/>
          </w:tblCellMar>
        </w:tblPrEx>
        <w:trPr>
          <w:trHeight w:val="120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CellMar>
            <w:top w:w="0" w:type="dxa"/>
            <w:left w:w="108" w:type="dxa"/>
            <w:bottom w:w="0" w:type="dxa"/>
            <w:right w:w="108" w:type="dxa"/>
          </w:tblCellMar>
        </w:tblPrEx>
        <w:trPr>
          <w:trHeight w:val="97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CellMar>
            <w:top w:w="0" w:type="dxa"/>
            <w:left w:w="108" w:type="dxa"/>
            <w:bottom w:w="0" w:type="dxa"/>
            <w:right w:w="108" w:type="dxa"/>
          </w:tblCellMar>
        </w:tblPrEx>
        <w:trPr>
          <w:trHeight w:val="88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CellMar>
            <w:top w:w="0" w:type="dxa"/>
            <w:left w:w="108" w:type="dxa"/>
            <w:bottom w:w="0" w:type="dxa"/>
            <w:right w:w="108" w:type="dxa"/>
          </w:tblCellMar>
        </w:tblPrEx>
        <w:trPr>
          <w:trHeight w:val="94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CellMar>
            <w:top w:w="0" w:type="dxa"/>
            <w:left w:w="108" w:type="dxa"/>
            <w:bottom w:w="0" w:type="dxa"/>
            <w:right w:w="108" w:type="dxa"/>
          </w:tblCellMar>
        </w:tblPrEx>
        <w:trPr>
          <w:trHeight w:val="88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CellMar>
            <w:top w:w="0" w:type="dxa"/>
            <w:left w:w="108" w:type="dxa"/>
            <w:bottom w:w="0" w:type="dxa"/>
            <w:right w:w="108" w:type="dxa"/>
          </w:tblCellMar>
        </w:tblPrEx>
        <w:trPr>
          <w:trHeight w:val="7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1200" w:hRule="atLeast"/>
        </w:trPr>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c11.项目完成情况</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C111.</w:t>
            </w:r>
            <w:r>
              <w:rPr>
                <w:rFonts w:hint="eastAsia" w:ascii="宋体" w:hAnsi="宋体" w:cs="宋体"/>
                <w:color w:val="000000"/>
                <w:kern w:val="0"/>
                <w:sz w:val="18"/>
                <w:szCs w:val="18"/>
                <w:lang w:eastAsia="zh-CN"/>
              </w:rPr>
              <w:t>水电项目完成情况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13</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我单位对所管理的各办公区住宅区水电服务情况。</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全部及时支付得满分，未及时支付</w:t>
            </w:r>
            <w:r>
              <w:rPr>
                <w:rFonts w:hint="eastAsia" w:ascii="宋体" w:hAnsi="宋体" w:cs="宋体"/>
                <w:color w:val="000000"/>
                <w:kern w:val="0"/>
                <w:sz w:val="18"/>
                <w:szCs w:val="18"/>
                <w:lang w:val="en-US" w:eastAsia="zh-CN"/>
              </w:rPr>
              <w:t>1次扣2分，扣完为止</w:t>
            </w:r>
            <w:r>
              <w:rPr>
                <w:rFonts w:hint="eastAsia" w:ascii="宋体" w:hAnsi="宋体" w:cs="宋体"/>
                <w:color w:val="000000"/>
                <w:kern w:val="0"/>
                <w:sz w:val="18"/>
                <w:szCs w:val="18"/>
              </w:rPr>
              <w:t>。</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水电费支付情况</w:t>
            </w:r>
          </w:p>
        </w:tc>
      </w:tr>
      <w:tr>
        <w:tblPrEx>
          <w:tblCellMar>
            <w:top w:w="0" w:type="dxa"/>
            <w:left w:w="108" w:type="dxa"/>
            <w:bottom w:w="0" w:type="dxa"/>
            <w:right w:w="108" w:type="dxa"/>
          </w:tblCellMar>
        </w:tblPrEx>
        <w:trPr>
          <w:trHeight w:val="7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C12.节约成本情况</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C121.节约成本</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考察我单位资金使用是否在预算批复范围内。</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在预算批复范围内，得满分，每超过</w:t>
            </w:r>
            <w:r>
              <w:rPr>
                <w:rFonts w:hint="eastAsia" w:ascii="宋体" w:hAnsi="宋体" w:cs="宋体"/>
                <w:color w:val="000000"/>
                <w:kern w:val="0"/>
                <w:sz w:val="18"/>
                <w:szCs w:val="18"/>
                <w:lang w:val="en-US" w:eastAsia="zh-CN"/>
              </w:rPr>
              <w:t>1万元扣1分，扣完为止。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lang w:eastAsia="zh-CN"/>
              </w:rPr>
            </w:pPr>
            <w:r>
              <w:rPr>
                <w:rFonts w:hint="eastAsia" w:ascii="宋体" w:hAnsi="宋体" w:cs="宋体"/>
                <w:color w:val="000000"/>
                <w:kern w:val="0"/>
                <w:sz w:val="18"/>
                <w:szCs w:val="18"/>
                <w:lang w:eastAsia="zh-CN"/>
              </w:rPr>
              <w:t>成本控制</w:t>
            </w:r>
          </w:p>
        </w:tc>
      </w:tr>
      <w:tr>
        <w:tblPrEx>
          <w:tblCellMar>
            <w:top w:w="0" w:type="dxa"/>
            <w:left w:w="108" w:type="dxa"/>
            <w:bottom w:w="0" w:type="dxa"/>
            <w:right w:w="108" w:type="dxa"/>
          </w:tblCellMar>
        </w:tblPrEx>
        <w:trPr>
          <w:trHeight w:val="271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C211.</w:t>
            </w:r>
            <w:r>
              <w:rPr>
                <w:rFonts w:hint="eastAsia" w:ascii="宋体" w:hAnsi="宋体" w:cs="宋体"/>
                <w:color w:val="000000"/>
                <w:kern w:val="0"/>
                <w:sz w:val="18"/>
                <w:szCs w:val="18"/>
                <w:lang w:eastAsia="zh-CN"/>
              </w:rPr>
              <w:t>提供就业岗位</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13</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我单位为促进就业提供的劳动岗位情况</w:t>
            </w:r>
            <w:r>
              <w:rPr>
                <w:rFonts w:hint="eastAsia" w:ascii="宋体" w:hAnsi="宋体" w:cs="宋体"/>
                <w:color w:val="000000"/>
                <w:kern w:val="0"/>
                <w:sz w:val="18"/>
                <w:szCs w:val="18"/>
              </w:rPr>
              <w:t>。</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提供就业岗位得满分。每减少</w:t>
            </w:r>
            <w:r>
              <w:rPr>
                <w:rFonts w:hint="eastAsia" w:ascii="宋体" w:hAnsi="宋体" w:cs="宋体"/>
                <w:color w:val="000000"/>
                <w:kern w:val="0"/>
                <w:sz w:val="18"/>
                <w:szCs w:val="18"/>
                <w:lang w:val="en-US" w:eastAsia="zh-CN"/>
              </w:rPr>
              <w:t>10%扣减2分，扣完为止。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提供就业岗位情况</w:t>
            </w:r>
          </w:p>
        </w:tc>
      </w:tr>
      <w:tr>
        <w:tblPrEx>
          <w:tblCellMar>
            <w:top w:w="0" w:type="dxa"/>
            <w:left w:w="108" w:type="dxa"/>
            <w:bottom w:w="0" w:type="dxa"/>
            <w:right w:w="108" w:type="dxa"/>
          </w:tblCellMar>
        </w:tblPrEx>
        <w:trPr>
          <w:trHeight w:val="232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C22.生态效益</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C221.</w:t>
            </w:r>
            <w:r>
              <w:rPr>
                <w:rFonts w:hint="eastAsia" w:ascii="宋体" w:hAnsi="宋体" w:cs="宋体"/>
                <w:color w:val="000000"/>
                <w:kern w:val="0"/>
                <w:sz w:val="18"/>
                <w:szCs w:val="18"/>
                <w:lang w:eastAsia="zh-CN"/>
              </w:rPr>
              <w:t>保障良好的工作、生活环境情况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cs="宋体"/>
                <w:color w:val="000000"/>
                <w:kern w:val="0"/>
                <w:sz w:val="18"/>
                <w:szCs w:val="18"/>
                <w:lang w:val="en-US"/>
              </w:rPr>
            </w:pPr>
            <w:r>
              <w:rPr>
                <w:rFonts w:hint="eastAsia" w:ascii="宋体" w:hAnsi="宋体" w:cs="宋体"/>
                <w:color w:val="000000"/>
                <w:kern w:val="0"/>
                <w:sz w:val="18"/>
                <w:szCs w:val="18"/>
                <w:lang w:val="en-US" w:eastAsia="zh-CN"/>
              </w:rPr>
              <w:t>14</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cs="宋体"/>
                <w:color w:val="000000"/>
                <w:kern w:val="0"/>
                <w:sz w:val="18"/>
                <w:szCs w:val="18"/>
                <w:lang w:val="en-US"/>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我单位职工和社会人员对食堂服务的满意度。</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高于</w:t>
            </w:r>
            <w:r>
              <w:rPr>
                <w:rFonts w:hint="eastAsia" w:ascii="宋体" w:hAnsi="宋体" w:cs="宋体"/>
                <w:color w:val="000000"/>
                <w:kern w:val="0"/>
                <w:sz w:val="18"/>
                <w:szCs w:val="18"/>
                <w:lang w:val="en-US" w:eastAsia="zh-CN"/>
              </w:rPr>
              <w:t>95%</w:t>
            </w:r>
            <w:r>
              <w:rPr>
                <w:rFonts w:hint="eastAsia" w:ascii="宋体" w:hAnsi="宋体" w:cs="宋体"/>
                <w:color w:val="000000"/>
                <w:kern w:val="0"/>
                <w:sz w:val="18"/>
                <w:szCs w:val="18"/>
              </w:rPr>
              <w:t>，得满分；每</w:t>
            </w:r>
            <w:r>
              <w:rPr>
                <w:rFonts w:hint="eastAsia" w:ascii="宋体" w:hAnsi="宋体" w:cs="宋体"/>
                <w:color w:val="000000"/>
                <w:kern w:val="0"/>
                <w:sz w:val="18"/>
                <w:szCs w:val="18"/>
                <w:lang w:eastAsia="zh-CN"/>
              </w:rPr>
              <w:t>降低</w:t>
            </w:r>
            <w:r>
              <w:rPr>
                <w:rFonts w:hint="eastAsia" w:ascii="宋体" w:hAnsi="宋体" w:cs="宋体"/>
                <w:color w:val="000000"/>
                <w:kern w:val="0"/>
                <w:sz w:val="18"/>
                <w:szCs w:val="18"/>
                <w:lang w:val="en-US" w:eastAsia="zh-CN"/>
              </w:rPr>
              <w:t>1%扣减1分，扣完为止</w:t>
            </w:r>
            <w:r>
              <w:rPr>
                <w:rFonts w:hint="eastAsia" w:ascii="宋体" w:hAnsi="宋体" w:cs="宋体"/>
                <w:color w:val="000000"/>
                <w:kern w:val="0"/>
                <w:sz w:val="18"/>
                <w:szCs w:val="18"/>
              </w:rPr>
              <w:t>。</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单位、社会人员满意度</w:t>
            </w:r>
          </w:p>
        </w:tc>
      </w:tr>
      <w:tr>
        <w:tblPrEx>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eastAsia="宋体" w:cs="宋体"/>
                <w:b/>
                <w:bCs/>
                <w:color w:val="000000"/>
                <w:kern w:val="0"/>
                <w:sz w:val="18"/>
                <w:szCs w:val="18"/>
                <w:lang w:val="en-US" w:eastAsia="zh-CN"/>
              </w:rPr>
            </w:pPr>
            <w:r>
              <w:rPr>
                <w:rFonts w:hint="eastAsia" w:ascii="宋体" w:hAnsi="宋体" w:cs="宋体"/>
                <w:b/>
                <w:bCs/>
                <w:color w:val="000000"/>
                <w:kern w:val="0"/>
                <w:sz w:val="18"/>
                <w:szCs w:val="18"/>
              </w:rPr>
              <w:t>　</w:t>
            </w:r>
            <w:r>
              <w:rPr>
                <w:rFonts w:hint="eastAsia" w:ascii="宋体" w:hAnsi="宋体" w:cs="宋体"/>
                <w:b/>
                <w:bCs/>
                <w:color w:val="000000"/>
                <w:kern w:val="0"/>
                <w:sz w:val="18"/>
                <w:szCs w:val="18"/>
                <w:lang w:val="en-US" w:eastAsia="zh-CN"/>
              </w:rPr>
              <w:t>94</w:t>
            </w:r>
          </w:p>
        </w:tc>
        <w:tc>
          <w:tcPr>
            <w:tcW w:w="21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9039E1D9-2014-41C7-865F-2072FA5D6A6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62FE2F1-185A-4E6D-ADC3-E32266BB094A}"/>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A5F69D69-78F8-4BA7-86E2-2E91D0CDB456}"/>
  </w:font>
  <w:font w:name="PMingLiU">
    <w:panose1 w:val="02020500000000000000"/>
    <w:charset w:val="88"/>
    <w:family w:val="roman"/>
    <w:pitch w:val="default"/>
    <w:sig w:usb0="A00002FF" w:usb1="28CFFCFA" w:usb2="00000016" w:usb3="00000000" w:csb0="00100001" w:csb1="00000000"/>
    <w:embedRegular r:id="rId4" w:fontKey="{7B7A5D1F-8006-452F-AE09-CCD3F942D135}"/>
  </w:font>
  <w:font w:name="方正小标宋简体">
    <w:panose1 w:val="03000509000000000000"/>
    <w:charset w:val="86"/>
    <w:family w:val="auto"/>
    <w:pitch w:val="default"/>
    <w:sig w:usb0="00000001" w:usb1="080E0000" w:usb2="00000000" w:usb3="00000000" w:csb0="00040000" w:csb1="00000000"/>
    <w:embedRegular r:id="rId5" w:fontKey="{783BECBA-C91A-4363-94A8-6B1BF64AC513}"/>
  </w:font>
  <w:font w:name="方正小标宋_GBK">
    <w:panose1 w:val="02000000000000000000"/>
    <w:charset w:val="86"/>
    <w:family w:val="script"/>
    <w:pitch w:val="default"/>
    <w:sig w:usb0="A00002BF" w:usb1="38CF7CFA" w:usb2="00082016" w:usb3="00000000" w:csb0="00040001" w:csb1="00000000"/>
    <w:embedRegular r:id="rId6" w:fontKey="{9FC87C87-BB6C-4826-A67A-F28DBAB2FA0C}"/>
  </w:font>
  <w:font w:name="楷体_GB2312">
    <w:panose1 w:val="02010609030101010101"/>
    <w:charset w:val="86"/>
    <w:family w:val="modern"/>
    <w:pitch w:val="default"/>
    <w:sig w:usb0="00000001" w:usb1="080E0000" w:usb2="00000000" w:usb3="00000000" w:csb0="00040000" w:csb1="00000000"/>
    <w:embedRegular r:id="rId7" w:fontKey="{59603913-B5D1-4DD9-9D8F-F0DA2FD5DC3C}"/>
  </w:font>
  <w:font w:name="楷体">
    <w:panose1 w:val="02010609060101010101"/>
    <w:charset w:val="86"/>
    <w:family w:val="modern"/>
    <w:pitch w:val="default"/>
    <w:sig w:usb0="800002BF" w:usb1="38CF7CFA" w:usb2="00000016" w:usb3="00000000" w:csb0="00040001" w:csb1="00000000"/>
    <w:embedRegular r:id="rId8" w:fontKey="{DE46375D-C848-4908-BB03-7760B0A08C27}"/>
  </w:font>
  <w:font w:name="仿宋">
    <w:panose1 w:val="02010609060101010101"/>
    <w:charset w:val="86"/>
    <w:family w:val="modern"/>
    <w:pitch w:val="default"/>
    <w:sig w:usb0="800002BF" w:usb1="38CF7CFA" w:usb2="00000016" w:usb3="00000000" w:csb0="00040001" w:csb1="00000000"/>
    <w:embedRegular r:id="rId9" w:fontKey="{CE0F93A1-4441-4CFA-9157-239F3B44443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ZTE2NGFjYmU3ODUwM2I0NWMwOWQ5ODI3YjQwMjcifQ=="/>
  </w:docVars>
  <w:rsids>
    <w:rsidRoot w:val="00000000"/>
    <w:rsid w:val="0BCA5B0E"/>
    <w:rsid w:val="0E392F20"/>
    <w:rsid w:val="13086E9E"/>
    <w:rsid w:val="27872EFC"/>
    <w:rsid w:val="385C1191"/>
    <w:rsid w:val="3ED379A6"/>
    <w:rsid w:val="4231655A"/>
    <w:rsid w:val="45DF10D1"/>
    <w:rsid w:val="4D421364"/>
    <w:rsid w:val="78024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5925</Words>
  <Characters>6304</Characters>
  <Lines>0</Lines>
  <Paragraphs>0</Paragraphs>
  <TotalTime>28</TotalTime>
  <ScaleCrop>false</ScaleCrop>
  <LinksUpToDate>false</LinksUpToDate>
  <CharactersWithSpaces>6495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2023-04-18T06:54:00Z</dcterms:created>
  <dc:creator>Administrator</dc:creator>
  <cp:lastModifiedBy>我可以给你讲一个故事吗</cp:lastModifiedBy>
  <dcterms:modified xsi:type="dcterms:W3CDTF">2023-09-28T02:21:34Z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371D1841BE1545018083E5DEF0F7D560_12</vt:lpwstr>
  </property>
</Properties>
</file>