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lang w:eastAsia="zh-CN"/>
        </w:rPr>
        <w:t>公园综合管理</w:t>
      </w:r>
      <w:r>
        <w:rPr>
          <w:rFonts w:hint="eastAsia" w:ascii="黑体" w:hAnsi="黑体" w:eastAsia="黑体" w:cs="黑体"/>
          <w:bCs/>
          <w:sz w:val="52"/>
          <w:szCs w:val="52"/>
        </w:rPr>
        <w:t>项目支出</w:t>
      </w:r>
    </w:p>
    <w:p>
      <w:pPr>
        <w:jc w:val="center"/>
        <w:rPr>
          <w:rFonts w:ascii="黑体" w:hAnsi="黑体" w:eastAsia="黑体" w:cs="黑体"/>
          <w:bCs/>
          <w:sz w:val="52"/>
          <w:szCs w:val="52"/>
        </w:rPr>
      </w:pPr>
      <w:r>
        <w:rPr>
          <w:rFonts w:hint="eastAsia" w:ascii="黑体" w:hAnsi="黑体" w:eastAsia="黑体" w:cs="黑体"/>
          <w:bCs/>
          <w:sz w:val="52"/>
          <w:szCs w:val="52"/>
        </w:rPr>
        <w:t>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Times New Roman" w:hAnsi="Times New Roman" w:eastAsia="黑体" w:cs="Times New Roman"/>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盘龙区机关事务管理服务中心</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盘龙区机关事务管理服务中心</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盘龙区机关事务管理服务中心</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公园综合管理项目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2023年4月25日</w:t>
      </w:r>
      <w:r>
        <w:rPr>
          <w:rFonts w:ascii="Times New Roman" w:hAnsi="Times New Roman" w:eastAsia="黑体"/>
          <w:b/>
          <w:bCs/>
          <w:sz w:val="28"/>
          <w:szCs w:val="28"/>
        </w:rPr>
        <w:t xml:space="preserve"> </w:t>
      </w:r>
    </w:p>
    <w:p>
      <w:pPr>
        <w:spacing w:line="360" w:lineRule="auto"/>
        <w:ind w:left="1218" w:leftChars="580"/>
        <w:rPr>
          <w:rFonts w:ascii="Times New Roman" w:hAnsi="Times New Roman" w:eastAsia="黑体"/>
          <w:b/>
          <w:bCs/>
          <w:sz w:val="28"/>
          <w:szCs w:val="28"/>
        </w:rPr>
      </w:pPr>
    </w:p>
    <w:p>
      <w:pPr>
        <w:jc w:val="center"/>
        <w:sectPr>
          <w:pgSz w:w="11906" w:h="16838"/>
          <w:pgMar w:top="1440" w:right="1800" w:bottom="1440" w:left="1800" w:header="851" w:footer="992" w:gutter="0"/>
          <w:cols w:space="720" w:num="1"/>
          <w:titlePg/>
          <w:docGrid w:type="lines" w:linePitch="312" w:charSpace="0"/>
        </w:sect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p>
    <w:p>
      <w:pPr>
        <w:pStyle w:val="5"/>
        <w:widowControl w:val="0"/>
        <w:spacing w:after="0" w:line="360" w:lineRule="auto"/>
        <w:ind w:firstLine="480" w:firstLine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988"/>
        <w:gridCol w:w="1252"/>
        <w:gridCol w:w="2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988"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252"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988"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杨艳</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621" w:type="dxa"/>
            <w:noWrap w:val="0"/>
            <w:vAlign w:val="top"/>
          </w:tcPr>
          <w:p>
            <w:pPr>
              <w:pStyle w:val="5"/>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988"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闫鑫</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621" w:type="dxa"/>
            <w:noWrap w:val="0"/>
            <w:vAlign w:val="top"/>
          </w:tcPr>
          <w:p>
            <w:pPr>
              <w:pStyle w:val="5"/>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988"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和娟</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621" w:type="dxa"/>
            <w:noWrap w:val="0"/>
            <w:vAlign w:val="top"/>
          </w:tcPr>
          <w:p>
            <w:pPr>
              <w:pStyle w:val="5"/>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988"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杜云新</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保卫科</w:t>
            </w:r>
          </w:p>
        </w:tc>
        <w:tc>
          <w:tcPr>
            <w:tcW w:w="1621" w:type="dxa"/>
            <w:noWrap w:val="0"/>
            <w:vAlign w:val="top"/>
          </w:tcPr>
          <w:p>
            <w:pPr>
              <w:pStyle w:val="5"/>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6"/>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tabs>
          <w:tab w:val="left" w:pos="991"/>
        </w:tabs>
        <w:spacing w:line="540" w:lineRule="exact"/>
        <w:rPr>
          <w:rFonts w:hint="eastAsia"/>
          <w:lang w:eastAsia="zh-CN"/>
        </w:rPr>
        <w:sectPr>
          <w:pgSz w:w="11906" w:h="16838"/>
          <w:pgMar w:top="2041" w:right="1531" w:bottom="1928" w:left="1531" w:header="851" w:footer="992" w:gutter="0"/>
          <w:cols w:space="425" w:num="1"/>
          <w:docGrid w:type="lines" w:linePitch="312" w:charSpace="0"/>
        </w:sectPr>
      </w:pPr>
      <w:r>
        <w:rPr>
          <w:rFonts w:hint="eastAsia" w:ascii="方正小标宋_GBK" w:hAnsi="黑体" w:eastAsia="方正小标宋_GBK"/>
          <w:szCs w:val="32"/>
          <w:lang w:eastAsia="zh-CN"/>
        </w:rPr>
        <w:tab/>
      </w: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2" w:name="_GoBack"/>
      <w:bookmarkEnd w:id="2"/>
      <w:r>
        <w:rPr>
          <w:rFonts w:hint="eastAsia" w:ascii="方正小标宋简体" w:hAnsi="方正小标宋简体" w:eastAsia="方正小标宋简体" w:cs="方正小标宋简体"/>
          <w:sz w:val="44"/>
          <w:szCs w:val="44"/>
          <w:lang w:eastAsia="zh-CN"/>
        </w:rPr>
        <w:t>公园综合管理</w:t>
      </w:r>
      <w:r>
        <w:rPr>
          <w:rFonts w:hint="eastAsia" w:ascii="方正小标宋简体" w:hAnsi="方正小标宋简体" w:eastAsia="方正小标宋简体" w:cs="方正小标宋简体"/>
          <w:sz w:val="44"/>
          <w:szCs w:val="44"/>
        </w:rPr>
        <w:t>项目支出绩效自评报告</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center"/>
        <w:textAlignment w:val="auto"/>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摘要</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（一）项目立项背景及目的</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sz w:val="32"/>
          <w:szCs w:val="32"/>
        </w:rPr>
        <w:t>按照区政府2019年10月31日专题会议要求，白邑寺公园绿化管养等服务交由我中心负责管理，白邑寺公园绿地绿化面积为32146.81</w:t>
      </w:r>
      <w:r>
        <w:rPr>
          <w:rFonts w:hint="default" w:ascii="Times New Roman" w:hAnsi="Times New Roman" w:cs="Times New Roman"/>
          <w:color w:val="333333"/>
          <w:sz w:val="32"/>
          <w:szCs w:val="32"/>
        </w:rPr>
        <w:t>㎡</w:t>
      </w:r>
      <w:r>
        <w:rPr>
          <w:rFonts w:hint="default" w:ascii="Times New Roman" w:hAnsi="Times New Roman" w:eastAsia="仿宋_GB2312" w:cs="Times New Roman"/>
          <w:color w:val="333333"/>
          <w:sz w:val="32"/>
          <w:szCs w:val="32"/>
        </w:rPr>
        <w:t>。按照区政府2014年第88期会议纪要，田溪公园的日常管理维护工作交由我中心负责管理</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（二）预算收支执行情况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按照区委区政府相关工作安排，我中心负责管理白邑寺公园和田溪公园的综合管理工作。</w:t>
      </w:r>
      <w:r>
        <w:rPr>
          <w:rFonts w:hint="default" w:ascii="Times New Roman" w:hAnsi="Times New Roman" w:eastAsia="仿宋_GB2312" w:cs="Times New Roman"/>
          <w:color w:val="333333"/>
          <w:kern w:val="0"/>
          <w:sz w:val="32"/>
          <w:szCs w:val="32"/>
          <w:lang w:val="en-US" w:eastAsia="zh-CN"/>
        </w:rPr>
        <w:t>2022年公园综合管理项目预算批复数为150.35万元，2022年</w:t>
      </w:r>
      <w:r>
        <w:rPr>
          <w:rFonts w:hint="eastAsia" w:ascii="Times New Roman" w:hAnsi="Times New Roman" w:eastAsia="仿宋_GB2312" w:cs="Times New Roman"/>
          <w:color w:val="333333"/>
          <w:kern w:val="0"/>
          <w:sz w:val="32"/>
          <w:szCs w:val="32"/>
          <w:lang w:val="en-US" w:eastAsia="zh-CN"/>
        </w:rPr>
        <w:t>公园综合管理</w:t>
      </w:r>
      <w:r>
        <w:rPr>
          <w:rFonts w:hint="default" w:ascii="Times New Roman" w:hAnsi="Times New Roman" w:eastAsia="仿宋_GB2312" w:cs="Times New Roman"/>
          <w:color w:val="333333"/>
          <w:kern w:val="0"/>
          <w:sz w:val="32"/>
          <w:szCs w:val="32"/>
          <w:lang w:val="en-US" w:eastAsia="zh-CN"/>
        </w:rPr>
        <w:t>项目一般公共预算财政拨款收入为61.15万元，实际支出为61.15万元，预算执行率为40.67%</w:t>
      </w:r>
      <w:r>
        <w:rPr>
          <w:rFonts w:hint="eastAsia" w:ascii="Times New Roman" w:hAnsi="Times New Roman" w:eastAsia="仿宋_GB2312" w:cs="Times New Roman"/>
          <w:color w:val="333333"/>
          <w:kern w:val="0"/>
          <w:sz w:val="32"/>
          <w:szCs w:val="32"/>
          <w:lang w:val="en-US"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eastAsia" w:ascii="楷体_GB2312" w:hAnsi="楷体_GB2312" w:eastAsia="楷体_GB2312" w:cs="楷体_GB2312"/>
          <w:sz w:val="32"/>
          <w:szCs w:val="32"/>
          <w:lang w:eastAsia="zh-CN"/>
        </w:rPr>
        <w:t>（一）评分结果</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根据制定的绩效指标考评体系，本次绩效考核得分</w:t>
      </w:r>
      <w:r>
        <w:rPr>
          <w:rFonts w:hint="default" w:ascii="Times New Roman" w:hAnsi="Times New Roman" w:eastAsia="仿宋_GB2312" w:cs="Times New Roman"/>
          <w:color w:val="333333"/>
          <w:kern w:val="0"/>
          <w:sz w:val="32"/>
          <w:szCs w:val="32"/>
          <w:lang w:val="en-US" w:eastAsia="zh-CN"/>
        </w:rPr>
        <w:t>90</w:t>
      </w:r>
      <w:r>
        <w:rPr>
          <w:rFonts w:hint="default" w:ascii="Times New Roman" w:hAnsi="Times New Roman" w:eastAsia="仿宋_GB2312" w:cs="Times New Roman"/>
          <w:color w:val="333333"/>
          <w:kern w:val="0"/>
          <w:sz w:val="32"/>
          <w:szCs w:val="32"/>
        </w:rPr>
        <w:t>分，绩效评价等级为优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（二）主要结论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本项目不属于投资建设类项目，主要内容为我单位管理</w:t>
      </w:r>
      <w:r>
        <w:rPr>
          <w:rFonts w:hint="default" w:ascii="Times New Roman" w:hAnsi="Times New Roman" w:eastAsia="仿宋_GB2312" w:cs="Times New Roman"/>
          <w:kern w:val="0"/>
          <w:sz w:val="32"/>
          <w:szCs w:val="32"/>
        </w:rPr>
        <w:t>白邑寺公园、田溪公园绿化管养及基础设施的维修维护等工作</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color w:val="333333"/>
          <w:kern w:val="0"/>
          <w:sz w:val="32"/>
          <w:szCs w:val="32"/>
        </w:rPr>
        <w:t>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三、经验、问题和建议</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w:t>
      </w:r>
      <w:r>
        <w:rPr>
          <w:rFonts w:hint="eastAsia" w:ascii="Times New Roman" w:hAnsi="Times New Roman" w:eastAsia="仿宋_GB2312" w:cs="Times New Roman"/>
          <w:color w:val="333333"/>
          <w:kern w:val="0"/>
          <w:sz w:val="32"/>
          <w:szCs w:val="32"/>
          <w:lang w:eastAsia="zh-CN"/>
        </w:rPr>
        <w:t>公园</w:t>
      </w:r>
      <w:r>
        <w:rPr>
          <w:rFonts w:hint="default" w:ascii="Times New Roman" w:hAnsi="Times New Roman" w:eastAsia="仿宋_GB2312" w:cs="Times New Roman"/>
          <w:color w:val="333333"/>
          <w:kern w:val="0"/>
          <w:sz w:val="32"/>
          <w:szCs w:val="32"/>
        </w:rPr>
        <w:t>综合管理费的各项支出的合法性、合规性；通过分析目标完成情况，查找存在的问题及总结好的经验方法，较好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存在的问题</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白邑寺公园、田溪公园为开放式公园，绿化管养及安保保洁工作压力较大，且原有设施设备老化严重，更换的较多</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改进措施及建议</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w:t>
      </w:r>
      <w:r>
        <w:rPr>
          <w:rFonts w:hint="default" w:ascii="Times New Roman" w:hAnsi="Times New Roman" w:eastAsia="仿宋_GB2312" w:cs="Times New Roman"/>
          <w:color w:val="333333"/>
          <w:kern w:val="0"/>
          <w:sz w:val="32"/>
          <w:szCs w:val="32"/>
          <w:lang w:eastAsia="zh-CN"/>
        </w:rPr>
        <w:t>增加安保、保洁工作人员，保障田溪公园和白邑寺公园的优美环境</w:t>
      </w:r>
      <w:r>
        <w:rPr>
          <w:rFonts w:hint="default" w:ascii="Times New Roman" w:hAnsi="Times New Roman" w:eastAsia="仿宋_GB2312" w:cs="Times New Roman"/>
          <w:color w:val="333333"/>
          <w:kern w:val="0"/>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w:t>
      </w:r>
      <w:r>
        <w:rPr>
          <w:rFonts w:hint="default" w:ascii="Times New Roman" w:hAnsi="Times New Roman" w:eastAsia="仿宋_GB2312" w:cs="Times New Roman"/>
          <w:color w:val="333333"/>
          <w:kern w:val="0"/>
          <w:sz w:val="32"/>
          <w:szCs w:val="32"/>
          <w:lang w:eastAsia="zh-CN"/>
        </w:rPr>
        <w:t>定期检修老化设施设备，及时更换有安全隐患的设施设备，保障游玩人们的设施使用安全</w:t>
      </w:r>
      <w:r>
        <w:rPr>
          <w:rFonts w:hint="default" w:ascii="Times New Roman" w:hAnsi="Times New Roman" w:eastAsia="仿宋_GB2312" w:cs="Times New Roman"/>
          <w:color w:val="333333"/>
          <w:kern w:val="0"/>
          <w:sz w:val="32"/>
          <w:szCs w:val="32"/>
        </w:rPr>
        <w:t>。</w:t>
      </w:r>
    </w:p>
    <w:p>
      <w:pPr>
        <w:keepNext w:val="0"/>
        <w:keepLines w:val="0"/>
        <w:pageBreakBefore w:val="0"/>
        <w:kinsoku/>
        <w:wordWrap/>
        <w:overflowPunct/>
        <w:autoSpaceDE/>
        <w:autoSpaceDN/>
        <w:bidi w:val="0"/>
        <w:adjustRightInd/>
        <w:snapToGrid/>
        <w:spacing w:line="560" w:lineRule="exact"/>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w:t>
      </w:r>
      <w:r>
        <w:rPr>
          <w:rFonts w:hint="eastAsia" w:ascii="方正小标宋简体" w:hAnsi="方正小标宋简体" w:eastAsia="方正小标宋简体" w:cs="方正小标宋简体"/>
          <w:sz w:val="44"/>
          <w:szCs w:val="44"/>
          <w:lang w:eastAsia="zh-CN"/>
        </w:rPr>
        <w:t>公园综合管理</w:t>
      </w:r>
      <w:r>
        <w:rPr>
          <w:rFonts w:hint="eastAsia" w:ascii="方正小标宋简体" w:hAnsi="方正小标宋简体" w:eastAsia="方正小标宋简体" w:cs="方正小标宋简体"/>
          <w:sz w:val="44"/>
          <w:szCs w:val="44"/>
        </w:rPr>
        <w:t>项目支出</w:t>
      </w:r>
    </w:p>
    <w:p>
      <w:pPr>
        <w:keepNext w:val="0"/>
        <w:keepLines w:val="0"/>
        <w:pageBreakBefore w:val="0"/>
        <w:kinsoku/>
        <w:wordWrap/>
        <w:overflowPunct/>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sz w:val="32"/>
          <w:szCs w:val="32"/>
        </w:rPr>
        <w:t>按照区政府2019年10月31日专题会议要求，白邑寺公园绿化管养等服务交由我中心负责管理，白邑寺公园绿地绿化面积为32146.81</w:t>
      </w:r>
      <w:r>
        <w:rPr>
          <w:rFonts w:hint="default" w:ascii="Times New Roman" w:hAnsi="Times New Roman" w:cs="Times New Roman"/>
          <w:color w:val="333333"/>
          <w:sz w:val="32"/>
          <w:szCs w:val="32"/>
        </w:rPr>
        <w:t>㎡</w:t>
      </w:r>
      <w:r>
        <w:rPr>
          <w:rFonts w:hint="default" w:ascii="Times New Roman" w:hAnsi="Times New Roman" w:eastAsia="仿宋_GB2312" w:cs="Times New Roman"/>
          <w:color w:val="333333"/>
          <w:sz w:val="32"/>
          <w:szCs w:val="32"/>
        </w:rPr>
        <w:t>。按照区政府2014年第88期会议纪要，田溪公园的日常管理维护工作交由我中心负责管理</w:t>
      </w:r>
      <w:r>
        <w:rPr>
          <w:rFonts w:hint="default" w:ascii="Times New Roman" w:hAnsi="Times New Roman" w:eastAsia="仿宋_GB2312" w:cs="Times New Roman"/>
          <w:color w:val="333333"/>
          <w:kern w:val="0"/>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按照工作要求，完成了</w:t>
      </w:r>
      <w:r>
        <w:rPr>
          <w:rFonts w:hint="default" w:ascii="Times New Roman" w:hAnsi="Times New Roman" w:eastAsia="仿宋_GB2312" w:cs="Times New Roman"/>
          <w:kern w:val="0"/>
          <w:sz w:val="32"/>
          <w:szCs w:val="32"/>
        </w:rPr>
        <w:t>白邑寺公园、田溪公园绿化管养及基础设施的维修维护等工作</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3.资金来源及使用情况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我单位项目经费来源</w:t>
      </w:r>
      <w:r>
        <w:rPr>
          <w:rFonts w:hint="default" w:ascii="Times New Roman" w:hAnsi="Times New Roman" w:eastAsia="仿宋_GB2312" w:cs="Times New Roman"/>
          <w:color w:val="333333"/>
          <w:kern w:val="0"/>
          <w:sz w:val="32"/>
          <w:szCs w:val="32"/>
        </w:rPr>
        <w:t>根据《</w:t>
      </w:r>
      <w:r>
        <w:rPr>
          <w:rFonts w:hint="default" w:ascii="Times New Roman" w:hAnsi="Times New Roman" w:eastAsia="仿宋_GB2312" w:cs="Times New Roman"/>
          <w:color w:val="333333"/>
          <w:kern w:val="0"/>
          <w:sz w:val="32"/>
          <w:szCs w:val="32"/>
          <w:lang w:eastAsia="zh-CN"/>
        </w:rPr>
        <w:t>昆明市盘龙区财政局关于批复</w:t>
      </w:r>
      <w:r>
        <w:rPr>
          <w:rFonts w:hint="default" w:ascii="Times New Roman" w:hAnsi="Times New Roman" w:eastAsia="仿宋_GB2312" w:cs="Times New Roman"/>
          <w:color w:val="333333"/>
          <w:kern w:val="0"/>
          <w:sz w:val="32"/>
          <w:szCs w:val="32"/>
          <w:lang w:val="en-US" w:eastAsia="zh-CN"/>
        </w:rPr>
        <w:t>2022年部门预算的通知</w:t>
      </w:r>
      <w:r>
        <w:rPr>
          <w:rFonts w:hint="default" w:ascii="Times New Roman" w:hAnsi="Times New Roman" w:eastAsia="仿宋_GB2312" w:cs="Times New Roman"/>
          <w:color w:val="333333"/>
          <w:kern w:val="0"/>
          <w:sz w:val="32"/>
          <w:szCs w:val="32"/>
        </w:rPr>
        <w:t>》（盘财〔</w:t>
      </w:r>
      <w:r>
        <w:rPr>
          <w:rFonts w:hint="default" w:ascii="Times New Roman" w:hAnsi="Times New Roman" w:eastAsia="仿宋_GB2312" w:cs="Times New Roman"/>
          <w:color w:val="333333"/>
          <w:kern w:val="0"/>
          <w:sz w:val="32"/>
          <w:szCs w:val="32"/>
          <w:lang w:val="en-US" w:eastAsia="zh-CN"/>
        </w:rPr>
        <w:t>2022</w:t>
      </w:r>
      <w:r>
        <w:rPr>
          <w:rFonts w:hint="default" w:ascii="Times New Roman" w:hAnsi="Times New Roman" w:eastAsia="仿宋_GB2312" w:cs="Times New Roman"/>
          <w:color w:val="333333"/>
          <w:kern w:val="0"/>
          <w:sz w:val="32"/>
          <w:szCs w:val="32"/>
        </w:rPr>
        <w:t>〕1号）文件安排</w:t>
      </w:r>
      <w:r>
        <w:rPr>
          <w:rFonts w:hint="eastAsia" w:ascii="Times New Roman" w:hAnsi="Times New Roman" w:eastAsia="仿宋_GB2312" w:cs="Times New Roman"/>
          <w:color w:val="333333"/>
          <w:kern w:val="0"/>
          <w:sz w:val="32"/>
          <w:szCs w:val="32"/>
          <w:lang w:eastAsia="zh-CN"/>
        </w:rPr>
        <w:t>公园综合管理</w:t>
      </w:r>
      <w:r>
        <w:rPr>
          <w:rFonts w:hint="default" w:ascii="Times New Roman" w:hAnsi="Times New Roman" w:eastAsia="仿宋_GB2312" w:cs="Times New Roman"/>
          <w:color w:val="333333"/>
          <w:kern w:val="0"/>
          <w:sz w:val="32"/>
          <w:szCs w:val="32"/>
        </w:rPr>
        <w:t>项目资金</w:t>
      </w:r>
      <w:r>
        <w:rPr>
          <w:rFonts w:hint="default" w:ascii="Times New Roman" w:hAnsi="Times New Roman" w:eastAsia="仿宋_GB2312" w:cs="Times New Roman"/>
          <w:color w:val="333333"/>
          <w:kern w:val="0"/>
          <w:sz w:val="32"/>
          <w:szCs w:val="32"/>
          <w:lang w:val="en-US" w:eastAsia="zh-CN"/>
        </w:rPr>
        <w:t>150.35</w:t>
      </w:r>
      <w:r>
        <w:rPr>
          <w:rFonts w:hint="default" w:ascii="Times New Roman" w:hAnsi="Times New Roman" w:eastAsia="仿宋_GB2312" w:cs="Times New Roman"/>
          <w:color w:val="333333"/>
          <w:kern w:val="0"/>
          <w:sz w:val="32"/>
          <w:szCs w:val="32"/>
        </w:rPr>
        <w:t>万元，资金来源全部为区级财政拨款。截</w:t>
      </w:r>
      <w:r>
        <w:rPr>
          <w:rFonts w:hint="default" w:ascii="Times New Roman" w:hAnsi="Times New Roman" w:eastAsia="仿宋_GB2312" w:cs="Times New Roman"/>
          <w:color w:val="333333"/>
          <w:kern w:val="0"/>
          <w:sz w:val="32"/>
          <w:szCs w:val="32"/>
          <w:lang w:eastAsia="zh-CN"/>
        </w:rPr>
        <w:t>止</w:t>
      </w:r>
      <w:r>
        <w:rPr>
          <w:rFonts w:hint="default" w:ascii="Times New Roman" w:hAnsi="Times New Roman" w:eastAsia="仿宋_GB2312" w:cs="Times New Roman"/>
          <w:color w:val="333333"/>
          <w:kern w:val="0"/>
          <w:sz w:val="32"/>
          <w:szCs w:val="32"/>
        </w:rPr>
        <w:t>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w:t>
      </w:r>
      <w:r>
        <w:rPr>
          <w:rFonts w:hint="eastAsia" w:ascii="Times New Roman" w:hAnsi="Times New Roman" w:eastAsia="仿宋_GB2312" w:cs="Times New Roman"/>
          <w:color w:val="333333"/>
          <w:kern w:val="0"/>
          <w:sz w:val="32"/>
          <w:szCs w:val="32"/>
          <w:lang w:eastAsia="zh-CN"/>
        </w:rPr>
        <w:t>公园</w:t>
      </w:r>
      <w:r>
        <w:rPr>
          <w:rFonts w:hint="default" w:ascii="Times New Roman" w:hAnsi="Times New Roman" w:eastAsia="仿宋_GB2312" w:cs="Times New Roman"/>
          <w:color w:val="333333"/>
          <w:kern w:val="0"/>
          <w:sz w:val="32"/>
          <w:szCs w:val="32"/>
          <w:lang w:eastAsia="zh-CN"/>
        </w:rPr>
        <w:t>综合管理专项</w:t>
      </w:r>
      <w:r>
        <w:rPr>
          <w:rFonts w:hint="default" w:ascii="Times New Roman" w:hAnsi="Times New Roman" w:eastAsia="仿宋_GB2312" w:cs="Times New Roman"/>
          <w:color w:val="333333"/>
          <w:kern w:val="0"/>
          <w:sz w:val="32"/>
          <w:szCs w:val="32"/>
        </w:rPr>
        <w:t>经费</w:t>
      </w:r>
      <w:r>
        <w:rPr>
          <w:rFonts w:hint="default" w:ascii="Times New Roman" w:hAnsi="Times New Roman" w:eastAsia="仿宋_GB2312" w:cs="Times New Roman"/>
          <w:color w:val="333333"/>
          <w:kern w:val="0"/>
          <w:sz w:val="32"/>
          <w:szCs w:val="32"/>
          <w:lang w:eastAsia="zh-CN"/>
        </w:rPr>
        <w:t>已支出</w:t>
      </w:r>
      <w:r>
        <w:rPr>
          <w:rFonts w:hint="default" w:ascii="Times New Roman" w:hAnsi="Times New Roman" w:eastAsia="仿宋_GB2312" w:cs="Times New Roman"/>
          <w:color w:val="333333"/>
          <w:kern w:val="0"/>
          <w:sz w:val="32"/>
          <w:szCs w:val="32"/>
          <w:lang w:val="en-US" w:eastAsia="zh-CN"/>
        </w:rPr>
        <w:t>61.15万元</w:t>
      </w:r>
      <w:r>
        <w:rPr>
          <w:rFonts w:hint="default" w:ascii="Times New Roman" w:hAnsi="Times New Roman" w:eastAsia="仿宋_GB2312" w:cs="Times New Roman"/>
          <w:color w:val="333333"/>
          <w:kern w:val="0"/>
          <w:sz w:val="32"/>
          <w:szCs w:val="32"/>
        </w:rPr>
        <w:t>，主要用于支付</w:t>
      </w:r>
      <w:r>
        <w:rPr>
          <w:rFonts w:hint="eastAsia" w:ascii="Times New Roman" w:hAnsi="Times New Roman" w:eastAsia="仿宋_GB2312" w:cs="Times New Roman"/>
          <w:color w:val="333333"/>
          <w:kern w:val="0"/>
          <w:sz w:val="32"/>
          <w:szCs w:val="32"/>
          <w:lang w:val="en-US" w:eastAsia="zh-CN"/>
        </w:rPr>
        <w:t>公园管养费</w:t>
      </w:r>
      <w:r>
        <w:rPr>
          <w:rFonts w:hint="eastAsia" w:ascii="Times New Roman" w:hAnsi="Times New Roman" w:eastAsia="仿宋_GB2312" w:cs="Times New Roman"/>
          <w:color w:val="333333"/>
          <w:kern w:val="0"/>
          <w:sz w:val="32"/>
          <w:szCs w:val="32"/>
          <w:lang w:eastAsia="zh-CN"/>
        </w:rPr>
        <w:t>、基础设施维修维护费</w:t>
      </w:r>
      <w:r>
        <w:rPr>
          <w:rFonts w:hint="default" w:ascii="Times New Roman" w:hAnsi="Times New Roman" w:eastAsia="仿宋_GB2312" w:cs="Times New Roman"/>
          <w:color w:val="333333"/>
          <w:kern w:val="0"/>
          <w:sz w:val="32"/>
          <w:szCs w:val="32"/>
        </w:rPr>
        <w:t>等</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4.组织及管理情况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我中心负责</w:t>
      </w:r>
      <w:r>
        <w:rPr>
          <w:rFonts w:hint="default" w:ascii="Times New Roman" w:hAnsi="Times New Roman" w:eastAsia="仿宋_GB2312" w:cs="Times New Roman"/>
          <w:kern w:val="0"/>
          <w:sz w:val="32"/>
          <w:szCs w:val="32"/>
        </w:rPr>
        <w:t>白邑寺公园、田溪公园绿化管养及公园基础设施维修维护等各项工作</w:t>
      </w:r>
      <w:r>
        <w:rPr>
          <w:rFonts w:hint="default" w:ascii="Times New Roman" w:hAnsi="Times New Roman" w:eastAsia="仿宋_GB2312" w:cs="Times New Roman"/>
          <w:color w:val="333333"/>
          <w:kern w:val="0"/>
          <w:sz w:val="32"/>
          <w:szCs w:val="32"/>
        </w:rPr>
        <w:t>。通过对资金支付、付款单据等相关原始资料的检查，本项目资金拨付审批手续完整，支出依据合规，未发现虚列套取、截留、挤占、挪用情况和超标准开支的情况。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（二）绩效目标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全面完成</w:t>
      </w:r>
      <w:r>
        <w:rPr>
          <w:rFonts w:hint="default" w:ascii="Times New Roman" w:hAnsi="Times New Roman" w:eastAsia="仿宋_GB2312" w:cs="Times New Roman"/>
          <w:kern w:val="0"/>
          <w:sz w:val="32"/>
          <w:szCs w:val="32"/>
        </w:rPr>
        <w:t>白邑寺公园、田溪公园绿化管养及公园基础设施维修维护等各项工作</w:t>
      </w:r>
      <w:r>
        <w:rPr>
          <w:rFonts w:hint="default" w:ascii="Times New Roman" w:hAnsi="Times New Roman" w:eastAsia="仿宋_GB2312" w:cs="Times New Roman"/>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bookmarkStart w:id="0" w:name="_Toc9684"/>
      <w:r>
        <w:rPr>
          <w:rFonts w:hint="default" w:ascii="Times New Roman" w:hAnsi="Times New Roman" w:eastAsia="仿宋_GB2312" w:cs="Times New Roman"/>
          <w:color w:val="333333"/>
          <w:kern w:val="0"/>
          <w:sz w:val="32"/>
          <w:szCs w:val="32"/>
        </w:rPr>
        <w:t>完成该区域绿化管养及基础设施维修维护等各项工作</w:t>
      </w:r>
      <w:bookmarkEnd w:id="0"/>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本次绩效评价开始前，评价组对项目开展情况、资金使用管理情况、财务账务处理等进行前期调研，掌握项目运行的第一手资料，为该项目绩效评价工作的开展打下坚实的基础</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评价组对</w:t>
      </w:r>
      <w:r>
        <w:rPr>
          <w:rFonts w:hint="default" w:ascii="Times New Roman" w:hAnsi="Times New Roman" w:eastAsia="仿宋_GB2312" w:cs="Times New Roman"/>
          <w:sz w:val="32"/>
          <w:szCs w:val="32"/>
        </w:rPr>
        <w:t>《盘龙区区级部门预算绩效自评管理暂行办法》和《昆明市盘龙区财政局关于开展202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w:t>
      </w:r>
      <w:r>
        <w:rPr>
          <w:rFonts w:hint="default" w:ascii="Times New Roman" w:hAnsi="Times New Roman" w:eastAsia="仿宋_GB2312" w:cs="Times New Roman"/>
          <w:color w:val="333333"/>
          <w:kern w:val="0"/>
          <w:sz w:val="32"/>
          <w:szCs w:val="32"/>
        </w:rPr>
        <w:t>进行了认真研究，以确保绩效评价工作符合区财政局的相关要求</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此次评价采用</w:t>
      </w:r>
      <w:r>
        <w:rPr>
          <w:rFonts w:hint="default" w:ascii="Times New Roman" w:hAnsi="Times New Roman" w:eastAsia="仿宋_GB2312" w:cs="Times New Roman"/>
          <w:color w:val="333333"/>
          <w:kern w:val="0"/>
          <w:sz w:val="32"/>
          <w:szCs w:val="32"/>
          <w:lang w:eastAsia="zh-CN"/>
        </w:rPr>
        <w:t>比较分析法、访谈法、抽查法</w:t>
      </w:r>
      <w:r>
        <w:rPr>
          <w:rFonts w:hint="default" w:ascii="Times New Roman" w:hAnsi="Times New Roman" w:eastAsia="仿宋_GB2312" w:cs="Times New Roman"/>
          <w:color w:val="333333"/>
          <w:kern w:val="0"/>
          <w:sz w:val="32"/>
          <w:szCs w:val="32"/>
        </w:rPr>
        <w:t>等方式进行：</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抽查法：抽查全部资金到位情况等。</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年决算资料进行相关数据采集和填报</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2.社会调查</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根据本项目的具体情况，本单位项目组成员针对本项目设计调查问卷，对本项目受益对象随机发放并收回了50份有效调查问卷，平均得分9分</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3.数据分析和撰写报告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由于该项目为</w:t>
      </w:r>
      <w:r>
        <w:rPr>
          <w:rFonts w:hint="default" w:ascii="Times New Roman" w:hAnsi="Times New Roman" w:eastAsia="仿宋_GB2312" w:cs="Times New Roman"/>
          <w:color w:val="333333"/>
          <w:kern w:val="0"/>
          <w:sz w:val="32"/>
          <w:szCs w:val="32"/>
          <w:lang w:eastAsia="zh-CN"/>
        </w:rPr>
        <w:t>经常性</w:t>
      </w:r>
      <w:r>
        <w:rPr>
          <w:rFonts w:hint="default" w:ascii="Times New Roman" w:hAnsi="Times New Roman" w:eastAsia="仿宋_GB2312" w:cs="Times New Roman"/>
          <w:color w:val="333333"/>
          <w:kern w:val="0"/>
          <w:sz w:val="32"/>
          <w:szCs w:val="32"/>
        </w:rPr>
        <w:t>项目，故以本单位实际开展日常工作情况为绩效效果进行考评，且资金管理由本单位进行统一管理</w:t>
      </w:r>
      <w:r>
        <w:rPr>
          <w:rFonts w:hint="default" w:ascii="Times New Roman" w:hAnsi="Times New Roman" w:eastAsia="楷体"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（一）评价结论</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综上，根据《盘龙区区级部门预算绩效自评管理暂行办法》，项目绩效评价得分为90分，自评结果为优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本项目不属于投资建设类项目，主要内容为我单位管理的</w:t>
      </w:r>
      <w:r>
        <w:rPr>
          <w:rFonts w:hint="default" w:ascii="Times New Roman" w:hAnsi="Times New Roman" w:eastAsia="仿宋_GB2312" w:cs="Times New Roman"/>
          <w:kern w:val="0"/>
          <w:sz w:val="32"/>
          <w:szCs w:val="32"/>
        </w:rPr>
        <w:t>白邑寺公园、田溪公园绿化管养及公园基础设施维修维护等各项工作</w:t>
      </w:r>
      <w:r>
        <w:rPr>
          <w:rFonts w:hint="default" w:ascii="Times New Roman" w:hAnsi="Times New Roman" w:eastAsia="仿宋_GB2312" w:cs="Times New Roman"/>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具体详见附件1</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sz w:val="32"/>
          <w:szCs w:val="32"/>
        </w:rPr>
        <w:t>项目支出绩效评价共性指标体系框架</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（一）项目经济性分析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1.项目成本控制情况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根据昆明市盘龙区财政局《关于下达盘龙区202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年部门预算的批复》（盘财〔202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〕1号）下达机关事务管理服务中心202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w:t>
      </w:r>
      <w:r>
        <w:rPr>
          <w:rFonts w:hint="default" w:ascii="Times New Roman" w:hAnsi="Times New Roman" w:eastAsia="仿宋_GB2312" w:cs="Times New Roman"/>
          <w:color w:val="333333"/>
          <w:kern w:val="0"/>
          <w:sz w:val="32"/>
          <w:szCs w:val="32"/>
          <w:lang w:eastAsia="zh-CN"/>
        </w:rPr>
        <w:t>公园综合管理专项经费</w:t>
      </w:r>
      <w:r>
        <w:rPr>
          <w:rFonts w:hint="default" w:ascii="Times New Roman" w:hAnsi="Times New Roman" w:eastAsia="仿宋_GB2312" w:cs="Times New Roman"/>
          <w:color w:val="333333"/>
          <w:kern w:val="0"/>
          <w:sz w:val="32"/>
          <w:szCs w:val="32"/>
        </w:rPr>
        <w:t>”</w:t>
      </w:r>
      <w:r>
        <w:rPr>
          <w:rFonts w:hint="default" w:ascii="Times New Roman" w:hAnsi="Times New Roman" w:eastAsia="仿宋_GB2312" w:cs="Times New Roman"/>
          <w:color w:val="333333"/>
          <w:kern w:val="0"/>
          <w:sz w:val="32"/>
          <w:szCs w:val="32"/>
          <w:lang w:val="en-US" w:eastAsia="zh-CN"/>
        </w:rPr>
        <w:t>150.35万</w:t>
      </w:r>
      <w:r>
        <w:rPr>
          <w:rFonts w:hint="default" w:ascii="Times New Roman" w:hAnsi="Times New Roman" w:eastAsia="仿宋_GB2312" w:cs="Times New Roman"/>
          <w:color w:val="333333"/>
          <w:kern w:val="0"/>
          <w:sz w:val="32"/>
          <w:szCs w:val="32"/>
        </w:rPr>
        <w:t>元，</w:t>
      </w:r>
      <w:r>
        <w:rPr>
          <w:rFonts w:hint="default" w:ascii="Times New Roman" w:hAnsi="Times New Roman" w:eastAsia="仿宋_GB2312" w:cs="Times New Roman"/>
          <w:color w:val="333333"/>
          <w:kern w:val="0"/>
          <w:sz w:val="32"/>
          <w:szCs w:val="32"/>
          <w:lang w:val="en-US" w:eastAsia="zh-CN"/>
        </w:rPr>
        <w:t>2022年实际收到财政拨款61.15万元，</w:t>
      </w:r>
      <w:r>
        <w:rPr>
          <w:rFonts w:hint="default" w:ascii="Times New Roman" w:hAnsi="Times New Roman" w:eastAsia="仿宋_GB2312" w:cs="Times New Roman"/>
          <w:color w:val="333333"/>
          <w:kern w:val="0"/>
          <w:sz w:val="32"/>
          <w:szCs w:val="32"/>
        </w:rPr>
        <w:t>机关事务管理服务中心相关财务资料显示资金支出</w:t>
      </w:r>
      <w:r>
        <w:rPr>
          <w:rFonts w:hint="default" w:ascii="Times New Roman" w:hAnsi="Times New Roman" w:eastAsia="仿宋_GB2312" w:cs="Times New Roman"/>
          <w:color w:val="333333"/>
          <w:kern w:val="0"/>
          <w:sz w:val="32"/>
          <w:szCs w:val="32"/>
          <w:lang w:val="en-US" w:eastAsia="zh-CN"/>
        </w:rPr>
        <w:t>61.15万</w:t>
      </w:r>
      <w:r>
        <w:rPr>
          <w:rFonts w:hint="default" w:ascii="Times New Roman" w:hAnsi="Times New Roman" w:eastAsia="仿宋_GB2312" w:cs="Times New Roman"/>
          <w:color w:val="333333"/>
          <w:kern w:val="0"/>
          <w:sz w:val="32"/>
          <w:szCs w:val="32"/>
        </w:rPr>
        <w:t>元，项目资金使用控制在预算范围内。</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2.项目的效率性分析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根据相关的项目资料显示，截止202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年12月31日，本单位各项工作均有序进行。</w:t>
      </w:r>
      <w:bookmarkStart w:id="1" w:name="_Toc28106"/>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楷体_GB2312" w:cs="Times New Roman"/>
          <w:sz w:val="32"/>
          <w:szCs w:val="32"/>
        </w:rPr>
        <w:t>（二）项目的效益性分析</w:t>
      </w:r>
      <w:bookmarkEnd w:id="1"/>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eastAsia" w:ascii="Times New Roman" w:hAnsi="Times New Roman" w:eastAsia="仿宋_GB2312" w:cs="Times New Roman"/>
          <w:color w:val="333333"/>
          <w:kern w:val="0"/>
          <w:sz w:val="32"/>
          <w:szCs w:val="32"/>
          <w:lang w:val="en-US" w:eastAsia="zh-CN"/>
        </w:rPr>
        <w:t>1</w:t>
      </w:r>
      <w:r>
        <w:rPr>
          <w:rFonts w:hint="default" w:ascii="Times New Roman" w:hAnsi="Times New Roman" w:eastAsia="仿宋_GB2312" w:cs="Times New Roman"/>
          <w:color w:val="333333"/>
          <w:kern w:val="0"/>
          <w:sz w:val="32"/>
          <w:szCs w:val="32"/>
        </w:rPr>
        <w:t>.社会效益</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color w:val="333333"/>
          <w:kern w:val="0"/>
          <w:sz w:val="32"/>
          <w:szCs w:val="32"/>
          <w:lang w:eastAsia="zh-CN"/>
        </w:rPr>
        <w:t>为周边居民提供了优美的公园环境，</w:t>
      </w:r>
      <w:r>
        <w:rPr>
          <w:rFonts w:hint="default" w:ascii="Times New Roman" w:hAnsi="Times New Roman" w:eastAsia="仿宋_GB2312" w:cs="Times New Roman"/>
          <w:color w:val="333333"/>
          <w:kern w:val="0"/>
          <w:sz w:val="32"/>
          <w:szCs w:val="32"/>
        </w:rPr>
        <w:t>提高现有管理服务水平，提升了干部职工及周边市民满意度及政府形象</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eastAsia"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.可持续影响</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节约财政资金，维持绿化管养标准，持续提升周边市民满意度及政府形象</w:t>
      </w:r>
      <w:r>
        <w:rPr>
          <w:rFonts w:hint="default" w:ascii="Times New Roman" w:hAnsi="Times New Roman" w:eastAsia="仿宋_GB2312" w:cs="Times New Roman"/>
          <w:color w:val="333333"/>
          <w:kern w:val="0"/>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五、主要经验及做法、存在的问题和建议</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存在的问题</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白邑寺公园、田溪公园为开放式公园，绿化管养及安保保洁工作压力较大，且原有设施设备老化严重，更换的较多</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改进措施及建议</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w:t>
      </w:r>
      <w:r>
        <w:rPr>
          <w:rFonts w:hint="default" w:ascii="Times New Roman" w:hAnsi="Times New Roman" w:eastAsia="仿宋_GB2312" w:cs="Times New Roman"/>
          <w:color w:val="333333"/>
          <w:kern w:val="0"/>
          <w:sz w:val="32"/>
          <w:szCs w:val="32"/>
          <w:lang w:eastAsia="zh-CN"/>
        </w:rPr>
        <w:t>增加安保、保洁工作人员，保障田溪公园和白邑寺公园的优美环境</w:t>
      </w:r>
      <w:r>
        <w:rPr>
          <w:rFonts w:hint="default" w:ascii="Times New Roman" w:hAnsi="Times New Roman" w:eastAsia="仿宋_GB2312" w:cs="Times New Roman"/>
          <w:color w:val="333333"/>
          <w:kern w:val="0"/>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w:t>
      </w:r>
      <w:r>
        <w:rPr>
          <w:rFonts w:hint="default" w:ascii="Times New Roman" w:hAnsi="Times New Roman" w:eastAsia="仿宋_GB2312" w:cs="Times New Roman"/>
          <w:color w:val="333333"/>
          <w:kern w:val="0"/>
          <w:sz w:val="32"/>
          <w:szCs w:val="32"/>
          <w:lang w:eastAsia="zh-CN"/>
        </w:rPr>
        <w:t>定期检修老化设施设备，及时更换有安全隐患的设施设备，保障游玩人们的设施使用安全</w:t>
      </w:r>
      <w:r>
        <w:rPr>
          <w:rFonts w:hint="default" w:ascii="Times New Roman" w:hAnsi="Times New Roman" w:eastAsia="仿宋_GB2312" w:cs="Times New Roman"/>
          <w:color w:val="333333"/>
          <w:kern w:val="0"/>
          <w:sz w:val="32"/>
          <w:szCs w:val="32"/>
        </w:rPr>
        <w:t>。</w:t>
      </w:r>
    </w:p>
    <w:p>
      <w:pPr>
        <w:keepNext w:val="0"/>
        <w:keepLines w:val="0"/>
        <w:pageBreakBefore w:val="0"/>
        <w:kinsoku/>
        <w:wordWrap/>
        <w:overflowPunct/>
        <w:autoSpaceDE/>
        <w:autoSpaceDN/>
        <w:bidi w:val="0"/>
        <w:adjustRightInd/>
        <w:snapToGrid/>
        <w:spacing w:line="560" w:lineRule="exact"/>
        <w:textAlignment w:val="auto"/>
        <w:rPr>
          <w:rFonts w:hint="default" w:ascii="Times New Roman" w:hAnsi="Times New Roman" w:eastAsia="黑体" w:cs="Times New Roman"/>
          <w:sz w:val="32"/>
          <w:szCs w:val="32"/>
        </w:rPr>
      </w:pPr>
    </w:p>
    <w:p>
      <w:pPr>
        <w:keepNext w:val="0"/>
        <w:keepLines w:val="0"/>
        <w:pageBreakBefore w:val="0"/>
        <w:widowControl/>
        <w:kinsoku/>
        <w:wordWrap/>
        <w:overflowPunct/>
        <w:autoSpaceDE/>
        <w:autoSpaceDN/>
        <w:bidi w:val="0"/>
        <w:adjustRightInd/>
        <w:snapToGrid/>
        <w:spacing w:line="560" w:lineRule="exact"/>
        <w:jc w:val="center"/>
        <w:textAlignment w:val="auto"/>
        <w:rPr>
          <w:rFonts w:ascii="方正小标宋_GBK" w:eastAsia="方正小标宋_GBK"/>
          <w:sz w:val="28"/>
          <w:szCs w:val="28"/>
        </w:rPr>
      </w:pPr>
      <w:r>
        <w:rPr>
          <w:rFonts w:hint="default" w:ascii="Times New Roman" w:hAnsi="Times New Roman" w:cs="Times New Roman"/>
          <w:sz w:val="32"/>
          <w:szCs w:val="32"/>
        </w:rPr>
        <w:br w:type="page"/>
      </w:r>
      <w:r>
        <w:rPr>
          <w:rFonts w:hint="eastAsia" w:ascii="方正小标宋_GBK" w:eastAsia="方正小标宋_GBK"/>
          <w:sz w:val="28"/>
          <w:szCs w:val="28"/>
        </w:rPr>
        <w:t>附件</w:t>
      </w:r>
      <w:r>
        <w:rPr>
          <w:rFonts w:hint="eastAsia" w:ascii="方正小标宋_GBK" w:eastAsia="方正小标宋_GBK"/>
          <w:sz w:val="28"/>
          <w:szCs w:val="28"/>
          <w:lang w:val="en-US" w:eastAsia="zh-CN"/>
        </w:rPr>
        <w:t>1</w:t>
      </w:r>
      <w:r>
        <w:rPr>
          <w:rFonts w:hint="eastAsia" w:ascii="方正小标宋_GBK" w:eastAsia="方正小标宋_GBK"/>
          <w:sz w:val="28"/>
          <w:szCs w:val="28"/>
        </w:rPr>
        <w:t>：项目支出绩效评价共性指标体系框架</w:t>
      </w:r>
    </w:p>
    <w:tbl>
      <w:tblPr>
        <w:tblStyle w:val="3"/>
        <w:tblpPr w:leftFromText="180" w:rightFromText="180" w:vertAnchor="text" w:horzAnchor="page" w:tblpX="1201" w:tblpY="383"/>
        <w:tblW w:w="10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70"/>
        <w:gridCol w:w="1143"/>
        <w:gridCol w:w="1091"/>
        <w:gridCol w:w="499"/>
        <w:gridCol w:w="570"/>
        <w:gridCol w:w="2103"/>
        <w:gridCol w:w="1973"/>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0"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70"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7"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w:t>
            </w: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%以上，得满分；低于9</w:t>
            </w: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%，每下降</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%扣</w:t>
            </w:r>
            <w:r>
              <w:rPr>
                <w:rFonts w:hint="eastAsia" w:ascii="宋体" w:hAnsi="宋体" w:cs="宋体"/>
                <w:color w:val="000000"/>
                <w:kern w:val="0"/>
                <w:sz w:val="18"/>
                <w:szCs w:val="18"/>
                <w:lang w:val="en-US" w:eastAsia="zh-CN"/>
              </w:rPr>
              <w:t>0.2分</w:t>
            </w:r>
            <w:r>
              <w:rPr>
                <w:rFonts w:hint="eastAsia" w:ascii="宋体" w:hAnsi="宋体" w:cs="宋体"/>
                <w:color w:val="000000"/>
                <w:kern w:val="0"/>
                <w:sz w:val="18"/>
                <w:szCs w:val="18"/>
              </w:rPr>
              <w:t>；预算执行率60%以下，不计分。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3" w:type="dxa"/>
            <w:noWrap w:val="0"/>
            <w:vAlign w:val="to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c11.项目完成情况</w:t>
            </w: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C111.</w:t>
            </w:r>
            <w:r>
              <w:rPr>
                <w:rFonts w:hint="eastAsia" w:ascii="宋体" w:hAnsi="宋体" w:cs="宋体"/>
                <w:color w:val="000000"/>
                <w:kern w:val="0"/>
                <w:sz w:val="18"/>
                <w:szCs w:val="18"/>
                <w:lang w:eastAsia="zh-CN"/>
              </w:rPr>
              <w:t>业务补助项目完成情况</w:t>
            </w:r>
          </w:p>
        </w:tc>
        <w:tc>
          <w:tcPr>
            <w:tcW w:w="499" w:type="dxa"/>
            <w:noWrap w:val="0"/>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10</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我单位对所管理的公园的服务情况。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达到预算</w:t>
            </w:r>
            <w:r>
              <w:rPr>
                <w:rFonts w:hint="eastAsia" w:ascii="宋体" w:hAnsi="宋体" w:cs="宋体"/>
                <w:color w:val="000000"/>
                <w:kern w:val="0"/>
                <w:sz w:val="18"/>
                <w:szCs w:val="18"/>
                <w:lang w:val="en-US" w:eastAsia="zh-CN"/>
              </w:rPr>
              <w:t>90%以上得满分</w:t>
            </w:r>
            <w:r>
              <w:rPr>
                <w:rFonts w:hint="eastAsia" w:ascii="宋体" w:hAnsi="宋体" w:cs="宋体"/>
                <w:color w:val="000000"/>
                <w:kern w:val="0"/>
                <w:sz w:val="18"/>
                <w:szCs w:val="18"/>
                <w:lang w:eastAsia="zh-CN"/>
              </w:rPr>
              <w:t>，每降低</w:t>
            </w:r>
            <w:r>
              <w:rPr>
                <w:rFonts w:hint="eastAsia" w:ascii="宋体" w:hAnsi="宋体" w:cs="宋体"/>
                <w:color w:val="000000"/>
                <w:kern w:val="0"/>
                <w:sz w:val="18"/>
                <w:szCs w:val="18"/>
                <w:lang w:val="en-US" w:eastAsia="zh-CN"/>
              </w:rPr>
              <w:t>10%扣减1分，扣完为止</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公园综合管理支付情况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C12.节约成本情况</w:t>
            </w:r>
          </w:p>
        </w:tc>
        <w:tc>
          <w:tcPr>
            <w:tcW w:w="1091"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C121.节约成本</w:t>
            </w:r>
          </w:p>
        </w:tc>
        <w:tc>
          <w:tcPr>
            <w:tcW w:w="499" w:type="dxa"/>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70" w:type="dxa"/>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考察我单位资金使用是否在预算批复范围内。</w:t>
            </w:r>
          </w:p>
        </w:tc>
        <w:tc>
          <w:tcPr>
            <w:tcW w:w="197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在预算批复范围内，得满分，每超过</w:t>
            </w:r>
            <w:r>
              <w:rPr>
                <w:rFonts w:hint="eastAsia" w:ascii="宋体" w:hAnsi="宋体" w:cs="宋体"/>
                <w:color w:val="000000"/>
                <w:kern w:val="0"/>
                <w:sz w:val="18"/>
                <w:szCs w:val="18"/>
                <w:lang w:val="en-US" w:eastAsia="zh-CN"/>
              </w:rPr>
              <w:t>1万元扣1分，扣完为止。</w:t>
            </w:r>
          </w:p>
        </w:tc>
        <w:tc>
          <w:tcPr>
            <w:tcW w:w="1217" w:type="dxa"/>
            <w:noWrap w:val="0"/>
            <w:vAlign w:val="center"/>
          </w:tcPr>
          <w:p>
            <w:pPr>
              <w:widowControl/>
              <w:jc w:val="left"/>
              <w:rPr>
                <w:rFonts w:hint="eastAsia" w:ascii="宋体" w:hAnsi="宋体" w:cs="宋体"/>
                <w:color w:val="000000"/>
                <w:kern w:val="0"/>
                <w:sz w:val="18"/>
                <w:szCs w:val="18"/>
                <w:lang w:eastAsia="zh-CN"/>
              </w:rPr>
            </w:pPr>
            <w:r>
              <w:rPr>
                <w:rFonts w:hint="eastAsia" w:ascii="宋体" w:hAnsi="宋体" w:cs="宋体"/>
                <w:color w:val="000000"/>
                <w:kern w:val="0"/>
                <w:sz w:val="18"/>
                <w:szCs w:val="18"/>
                <w:lang w:eastAsia="zh-CN"/>
              </w:rPr>
              <w:t>成本控制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C211.</w:t>
            </w:r>
            <w:r>
              <w:rPr>
                <w:rFonts w:hint="eastAsia" w:ascii="宋体" w:hAnsi="宋体" w:cs="宋体"/>
                <w:color w:val="000000"/>
                <w:kern w:val="0"/>
                <w:sz w:val="18"/>
                <w:szCs w:val="18"/>
                <w:lang w:eastAsia="zh-CN"/>
              </w:rPr>
              <w:t>提供就业岗位</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我单位为促进就业提供的劳动岗位</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提供就业岗位得满分</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提供岗位情况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w:t>
            </w:r>
            <w:r>
              <w:rPr>
                <w:rFonts w:hint="eastAsia" w:ascii="宋体" w:hAnsi="宋体" w:cs="宋体"/>
                <w:color w:val="000000"/>
                <w:kern w:val="0"/>
                <w:sz w:val="18"/>
                <w:szCs w:val="18"/>
                <w:lang w:eastAsia="zh-CN"/>
              </w:rPr>
              <w:t>保障良好的工作、生活环境情况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noWrap w:val="0"/>
            <w:vAlign w:val="center"/>
          </w:tcPr>
          <w:p>
            <w:pPr>
              <w:widowControl/>
              <w:jc w:val="center"/>
              <w:rPr>
                <w:rFonts w:hint="default" w:ascii="宋体" w:hAnsi="宋体" w:cs="宋体"/>
                <w:color w:val="000000"/>
                <w:kern w:val="0"/>
                <w:sz w:val="18"/>
                <w:szCs w:val="18"/>
                <w:lang w:val="en-US"/>
              </w:rPr>
            </w:pPr>
            <w:r>
              <w:rPr>
                <w:rFonts w:hint="eastAsia" w:ascii="宋体" w:hAnsi="宋体" w:cs="宋体"/>
                <w:color w:val="000000"/>
                <w:kern w:val="0"/>
                <w:sz w:val="18"/>
                <w:szCs w:val="18"/>
                <w:lang w:val="en-US" w:eastAsia="zh-CN"/>
              </w:rPr>
              <w:t>14</w:t>
            </w:r>
          </w:p>
        </w:tc>
        <w:tc>
          <w:tcPr>
            <w:tcW w:w="2103" w:type="dxa"/>
            <w:noWrap w:val="0"/>
            <w:vAlign w:val="center"/>
          </w:tcPr>
          <w:p>
            <w:pPr>
              <w:widowControl/>
              <w:jc w:val="left"/>
              <w:rPr>
                <w:rFonts w:hint="default" w:ascii="宋体" w:hAnsi="宋体" w:cs="宋体"/>
                <w:color w:val="000000"/>
                <w:kern w:val="0"/>
                <w:sz w:val="18"/>
                <w:szCs w:val="18"/>
                <w:lang w:val="en-US"/>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职工和社会人员对公园综合服务服务的满意度。</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高于</w:t>
            </w:r>
            <w:r>
              <w:rPr>
                <w:rFonts w:hint="eastAsia" w:ascii="宋体" w:hAnsi="宋体" w:cs="宋体"/>
                <w:color w:val="000000"/>
                <w:kern w:val="0"/>
                <w:sz w:val="18"/>
                <w:szCs w:val="18"/>
                <w:lang w:val="en-US" w:eastAsia="zh-CN"/>
              </w:rPr>
              <w:t>95%</w:t>
            </w:r>
            <w:r>
              <w:rPr>
                <w:rFonts w:hint="eastAsia" w:ascii="宋体" w:hAnsi="宋体" w:cs="宋体"/>
                <w:color w:val="000000"/>
                <w:kern w:val="0"/>
                <w:sz w:val="18"/>
                <w:szCs w:val="18"/>
              </w:rPr>
              <w:t>，得满分；每</w:t>
            </w:r>
            <w:r>
              <w:rPr>
                <w:rFonts w:hint="eastAsia" w:ascii="宋体" w:hAnsi="宋体" w:cs="宋体"/>
                <w:color w:val="000000"/>
                <w:kern w:val="0"/>
                <w:sz w:val="18"/>
                <w:szCs w:val="18"/>
                <w:lang w:eastAsia="zh-CN"/>
              </w:rPr>
              <w:t>降低</w:t>
            </w:r>
            <w:r>
              <w:rPr>
                <w:rFonts w:hint="eastAsia" w:ascii="宋体" w:hAnsi="宋体" w:cs="宋体"/>
                <w:color w:val="000000"/>
                <w:kern w:val="0"/>
                <w:sz w:val="18"/>
                <w:szCs w:val="18"/>
                <w:lang w:val="en-US" w:eastAsia="zh-CN"/>
              </w:rPr>
              <w:t>1%扣减1分，扣完为止</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单位、社会人员满意度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0"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70" w:type="dxa"/>
            <w:noWrap w:val="0"/>
            <w:vAlign w:val="center"/>
          </w:tcPr>
          <w:p>
            <w:pPr>
              <w:widowControl/>
              <w:jc w:val="left"/>
              <w:rPr>
                <w:rFonts w:hint="default" w:ascii="宋体" w:hAnsi="宋体" w:eastAsia="宋体" w:cs="宋体"/>
                <w:b/>
                <w:bCs/>
                <w:color w:val="000000"/>
                <w:kern w:val="0"/>
                <w:sz w:val="18"/>
                <w:szCs w:val="18"/>
                <w:lang w:val="en-US" w:eastAsia="zh-CN"/>
              </w:rPr>
            </w:pPr>
            <w:r>
              <w:rPr>
                <w:rFonts w:hint="eastAsia" w:ascii="宋体" w:hAnsi="宋体" w:cs="宋体"/>
                <w:b/>
                <w:bCs/>
                <w:color w:val="000000"/>
                <w:kern w:val="0"/>
                <w:sz w:val="18"/>
                <w:szCs w:val="18"/>
              </w:rPr>
              <w:t>　</w:t>
            </w:r>
            <w:r>
              <w:rPr>
                <w:rFonts w:hint="eastAsia" w:ascii="宋体" w:hAnsi="宋体" w:cs="宋体"/>
                <w:b/>
                <w:bCs/>
                <w:color w:val="000000"/>
                <w:kern w:val="0"/>
                <w:sz w:val="18"/>
                <w:szCs w:val="18"/>
                <w:lang w:val="en-US" w:eastAsia="zh-CN"/>
              </w:rPr>
              <w:t>90</w:t>
            </w:r>
          </w:p>
        </w:tc>
        <w:tc>
          <w:tcPr>
            <w:tcW w:w="210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7"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5C3C920D-CC81-4272-A1D1-3E84D65485B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A726C4F0-0CE6-4709-BAE7-1060ED00FE58}"/>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5FCA3BEA-DF60-441E-ACDC-9E1AF2464A6E}"/>
  </w:font>
  <w:font w:name="PMingLiU">
    <w:panose1 w:val="02020500000000000000"/>
    <w:charset w:val="88"/>
    <w:family w:val="roman"/>
    <w:pitch w:val="default"/>
    <w:sig w:usb0="A00002FF" w:usb1="28CFFCFA" w:usb2="00000016" w:usb3="00000000" w:csb0="00100001" w:csb1="00000000"/>
    <w:embedRegular r:id="rId4" w:fontKey="{AFCA489A-6C6C-4A7F-A643-11144A24CA74}"/>
  </w:font>
  <w:font w:name="方正小标宋_GBK">
    <w:panose1 w:val="02000000000000000000"/>
    <w:charset w:val="86"/>
    <w:family w:val="script"/>
    <w:pitch w:val="default"/>
    <w:sig w:usb0="A00002BF" w:usb1="38CF7CFA" w:usb2="00082016" w:usb3="00000000" w:csb0="00040001" w:csb1="00000000"/>
    <w:embedRegular r:id="rId5" w:fontKey="{29EDCB59-CBB4-42E7-BE86-1F2F56269E1C}"/>
  </w:font>
  <w:font w:name="方正小标宋简体">
    <w:panose1 w:val="03000509000000000000"/>
    <w:charset w:val="86"/>
    <w:family w:val="auto"/>
    <w:pitch w:val="default"/>
    <w:sig w:usb0="00000001" w:usb1="080E0000" w:usb2="00000000" w:usb3="00000000" w:csb0="00040000" w:csb1="00000000"/>
    <w:embedRegular r:id="rId6" w:fontKey="{60B6396E-CB50-4AB4-82B8-5FCD8833392E}"/>
  </w:font>
  <w:font w:name="楷体_GB2312">
    <w:panose1 w:val="02010609030101010101"/>
    <w:charset w:val="86"/>
    <w:family w:val="modern"/>
    <w:pitch w:val="default"/>
    <w:sig w:usb0="00000001" w:usb1="080E0000" w:usb2="00000000" w:usb3="00000000" w:csb0="00040000" w:csb1="00000000"/>
    <w:embedRegular r:id="rId7" w:fontKey="{6602D6AD-2C47-45FE-A16A-6F57E0E75151}"/>
  </w:font>
  <w:font w:name="楷体">
    <w:panose1 w:val="02010609060101010101"/>
    <w:charset w:val="86"/>
    <w:family w:val="modern"/>
    <w:pitch w:val="default"/>
    <w:sig w:usb0="800002BF" w:usb1="38CF7CFA" w:usb2="00000016" w:usb3="00000000" w:csb0="00040001" w:csb1="00000000"/>
    <w:embedRegular r:id="rId8" w:fontKey="{DD1EC31D-8E41-444E-9AC3-B2ECAF69D008}"/>
  </w:font>
  <w:font w:name="仿宋">
    <w:panose1 w:val="02010609060101010101"/>
    <w:charset w:val="86"/>
    <w:family w:val="modern"/>
    <w:pitch w:val="default"/>
    <w:sig w:usb0="800002BF" w:usb1="38CF7CFA" w:usb2="00000016" w:usb3="00000000" w:csb0="00040001" w:csb1="00000000"/>
    <w:embedRegular r:id="rId9" w:fontKey="{0EE64A92-E6BC-43BA-913A-9330D859627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ZTE2NGFjYmU3ODUwM2I0NWMwOWQ5ODI3YjQwMjcifQ=="/>
  </w:docVars>
  <w:rsids>
    <w:rsidRoot w:val="00000000"/>
    <w:rsid w:val="012B70C4"/>
    <w:rsid w:val="02616860"/>
    <w:rsid w:val="04AA0A85"/>
    <w:rsid w:val="07827E6B"/>
    <w:rsid w:val="09846B64"/>
    <w:rsid w:val="36EC7A1C"/>
    <w:rsid w:val="38241E9F"/>
    <w:rsid w:val="52EF05BB"/>
    <w:rsid w:val="56F20AA5"/>
    <w:rsid w:val="67765C52"/>
    <w:rsid w:val="7B596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5889</Words>
  <Characters>6299</Characters>
  <Lines>0</Lines>
  <Paragraphs>0</Paragraphs>
  <TotalTime>27</TotalTime>
  <ScaleCrop>false</ScaleCrop>
  <LinksUpToDate>false</LinksUpToDate>
  <CharactersWithSpaces>6491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2023-04-18T06:54:00Z</dcterms:created>
  <dc:creator>Administrator</dc:creator>
  <cp:lastModifiedBy>我可以给你讲一个故事吗</cp:lastModifiedBy>
  <cp:lastPrinted>2023-04-25T03:24:00Z</cp:lastPrinted>
  <dcterms:modified xsi:type="dcterms:W3CDTF">2023-09-28T02:08:01Z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760A6DF4864F459C86277DF3A4DCB7AE_12</vt:lpwstr>
  </property>
</Properties>
</file>