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val="0"/>
        <w:spacing w:line="580" w:lineRule="exact"/>
        <w:jc w:val="center"/>
        <w:textAlignment w:val="auto"/>
        <w:rPr>
          <w:rFonts w:ascii="仿宋_GB2312" w:hAnsi="华文中宋"/>
          <w:bCs/>
          <w:sz w:val="36"/>
          <w:szCs w:val="44"/>
        </w:rPr>
      </w:pPr>
      <w:bookmarkStart w:id="0" w:name="_GoBack"/>
      <w:bookmarkEnd w:id="0"/>
    </w:p>
    <w:p>
      <w:pPr>
        <w:keepNext w:val="0"/>
        <w:keepLines w:val="0"/>
        <w:pageBreakBefore w:val="0"/>
        <w:widowControl w:val="0"/>
        <w:kinsoku/>
        <w:wordWrap/>
        <w:overflowPunct/>
        <w:topLinePunct w:val="0"/>
        <w:autoSpaceDE/>
        <w:autoSpaceDN/>
        <w:bidi w:val="0"/>
        <w:adjustRightInd/>
        <w:snapToGrid w:val="0"/>
        <w:spacing w:line="580" w:lineRule="exact"/>
        <w:jc w:val="center"/>
        <w:textAlignment w:val="auto"/>
        <w:rPr>
          <w:rFonts w:ascii="宋体" w:hAnsi="宋体" w:eastAsia="宋体" w:cs="宋体"/>
          <w:b/>
          <w:sz w:val="36"/>
          <w:szCs w:val="44"/>
        </w:rPr>
      </w:pPr>
      <w:r>
        <w:rPr>
          <w:rFonts w:hint="eastAsia" w:ascii="Arial" w:hAnsi="Arial" w:eastAsia="宋体" w:cs="Arial"/>
          <w:b/>
          <w:sz w:val="36"/>
          <w:szCs w:val="44"/>
          <w:lang w:eastAsia="zh-CN"/>
        </w:rPr>
        <w:t>云南</w:t>
      </w:r>
      <w:r>
        <w:rPr>
          <w:rFonts w:hint="eastAsia" w:ascii="Arial" w:hAnsi="Arial" w:eastAsia="宋体" w:cs="Arial"/>
          <w:b/>
          <w:sz w:val="36"/>
          <w:szCs w:val="44"/>
        </w:rPr>
        <w:t>省</w:t>
      </w:r>
      <w:r>
        <w:rPr>
          <w:rFonts w:hint="eastAsia" w:ascii="Arial" w:hAnsi="Arial" w:eastAsia="宋体" w:cs="Arial"/>
          <w:b/>
          <w:sz w:val="36"/>
          <w:szCs w:val="44"/>
          <w:lang w:eastAsia="zh-CN"/>
        </w:rPr>
        <w:t>昆明市盘龙区农业保险补贴资金</w:t>
      </w:r>
      <w:r>
        <w:rPr>
          <w:rFonts w:hint="eastAsia" w:ascii="宋体" w:hAnsi="宋体" w:eastAsia="宋体" w:cs="宋体"/>
          <w:b/>
          <w:sz w:val="36"/>
          <w:szCs w:val="44"/>
        </w:rPr>
        <w:t>转移支付</w:t>
      </w:r>
      <w:r>
        <w:rPr>
          <w:rFonts w:hint="eastAsia" w:ascii="Arial" w:hAnsi="Arial" w:eastAsia="宋体" w:cs="Arial"/>
          <w:b/>
          <w:sz w:val="36"/>
          <w:szCs w:val="44"/>
        </w:rPr>
        <w:t>20</w:t>
      </w:r>
      <w:r>
        <w:rPr>
          <w:rFonts w:hint="eastAsia" w:ascii="Arial" w:hAnsi="Arial" w:eastAsia="宋体" w:cs="Arial"/>
          <w:b/>
          <w:sz w:val="36"/>
          <w:szCs w:val="44"/>
          <w:lang w:val="en-US" w:eastAsia="zh-CN"/>
        </w:rPr>
        <w:t>22</w:t>
      </w:r>
      <w:r>
        <w:rPr>
          <w:rFonts w:hint="eastAsia" w:ascii="宋体" w:hAnsi="宋体" w:eastAsia="宋体" w:cs="宋体"/>
          <w:b/>
          <w:sz w:val="36"/>
          <w:szCs w:val="44"/>
        </w:rPr>
        <w:t>年度绩效自评报告</w:t>
      </w:r>
    </w:p>
    <w:p>
      <w:pPr>
        <w:keepNext w:val="0"/>
        <w:keepLines w:val="0"/>
        <w:pageBreakBefore w:val="0"/>
        <w:widowControl w:val="0"/>
        <w:kinsoku/>
        <w:wordWrap/>
        <w:overflowPunct/>
        <w:topLinePunct w:val="0"/>
        <w:autoSpaceDE/>
        <w:autoSpaceDN/>
        <w:bidi w:val="0"/>
        <w:adjustRightInd/>
        <w:snapToGrid w:val="0"/>
        <w:spacing w:line="580" w:lineRule="exact"/>
        <w:ind w:firstLine="600" w:firstLineChars="200"/>
        <w:textAlignment w:val="auto"/>
        <w:rPr>
          <w:rFonts w:ascii="黑体" w:hAnsi="黑体" w:eastAsia="黑体" w:cs="黑体"/>
          <w:bCs/>
          <w:szCs w:val="32"/>
        </w:rPr>
      </w:pPr>
      <w:r>
        <w:rPr>
          <w:rFonts w:hint="eastAsia" w:ascii="黑体" w:hAnsi="黑体" w:eastAsia="黑体" w:cs="黑体"/>
          <w:bCs/>
          <w:szCs w:val="32"/>
        </w:rPr>
        <w:t>一、绩效目标分解下达情况</w:t>
      </w:r>
    </w:p>
    <w:p>
      <w:pPr>
        <w:keepNext w:val="0"/>
        <w:keepLines w:val="0"/>
        <w:pageBreakBefore w:val="0"/>
        <w:widowControl w:val="0"/>
        <w:kinsoku/>
        <w:wordWrap/>
        <w:overflowPunct/>
        <w:topLinePunct w:val="0"/>
        <w:autoSpaceDE/>
        <w:autoSpaceDN/>
        <w:bidi w:val="0"/>
        <w:adjustRightInd/>
        <w:snapToGrid w:val="0"/>
        <w:spacing w:line="580" w:lineRule="exact"/>
        <w:ind w:firstLine="600" w:firstLineChars="200"/>
        <w:textAlignment w:val="auto"/>
        <w:outlineLvl w:val="0"/>
        <w:rPr>
          <w:rFonts w:hint="eastAsia" w:ascii="仿宋_GB2312"/>
          <w:szCs w:val="32"/>
          <w:lang w:val="en-US" w:eastAsia="zh-CN"/>
        </w:rPr>
      </w:pPr>
      <w:r>
        <w:rPr>
          <w:rFonts w:hint="eastAsia" w:ascii="仿宋_GB2312"/>
          <w:szCs w:val="32"/>
          <w:lang w:eastAsia="zh-CN"/>
        </w:rPr>
        <w:t>根据昆明市财政局《关于下达</w:t>
      </w:r>
      <w:r>
        <w:rPr>
          <w:rFonts w:hint="eastAsia" w:ascii="仿宋_GB2312"/>
          <w:szCs w:val="32"/>
          <w:lang w:val="en-US" w:eastAsia="zh-CN"/>
        </w:rPr>
        <w:t>2022年中央财政农业保险保险费补贴资金的通知</w:t>
      </w:r>
      <w:r>
        <w:rPr>
          <w:rFonts w:hint="eastAsia" w:ascii="仿宋_GB2312"/>
          <w:szCs w:val="32"/>
          <w:lang w:eastAsia="zh-CN"/>
        </w:rPr>
        <w:t>》（昆财金</w:t>
      </w:r>
      <w:r>
        <w:rPr>
          <w:rFonts w:hint="eastAsia" w:ascii="仿宋_GB2312"/>
          <w:szCs w:val="32"/>
          <w:lang w:val="en-US" w:eastAsia="zh-CN"/>
        </w:rPr>
        <w:t>[2022]4号</w:t>
      </w:r>
      <w:r>
        <w:rPr>
          <w:rFonts w:hint="eastAsia" w:ascii="仿宋_GB2312"/>
          <w:szCs w:val="32"/>
          <w:lang w:eastAsia="zh-CN"/>
        </w:rPr>
        <w:t>），安排盘龙区中央财政农业保险保险费补贴资金</w:t>
      </w:r>
      <w:r>
        <w:rPr>
          <w:rFonts w:hint="eastAsia" w:ascii="仿宋_GB2312"/>
          <w:szCs w:val="32"/>
          <w:lang w:val="en-US" w:eastAsia="zh-CN"/>
        </w:rPr>
        <w:t>39.33万元。</w:t>
      </w:r>
    </w:p>
    <w:p>
      <w:pPr>
        <w:keepNext w:val="0"/>
        <w:keepLines w:val="0"/>
        <w:pageBreakBefore w:val="0"/>
        <w:widowControl w:val="0"/>
        <w:kinsoku/>
        <w:wordWrap/>
        <w:overflowPunct/>
        <w:topLinePunct w:val="0"/>
        <w:autoSpaceDE/>
        <w:autoSpaceDN/>
        <w:bidi w:val="0"/>
        <w:adjustRightInd/>
        <w:snapToGrid w:val="0"/>
        <w:spacing w:line="580" w:lineRule="exact"/>
        <w:ind w:firstLine="600" w:firstLineChars="200"/>
        <w:textAlignment w:val="auto"/>
        <w:outlineLvl w:val="0"/>
        <w:rPr>
          <w:rFonts w:ascii="仿宋_GB2312"/>
          <w:szCs w:val="32"/>
        </w:rPr>
      </w:pPr>
      <w:r>
        <w:rPr>
          <w:rFonts w:hint="eastAsia" w:ascii="仿宋_GB2312"/>
          <w:szCs w:val="32"/>
          <w:lang w:val="en-US" w:eastAsia="zh-CN"/>
        </w:rPr>
        <w:t>绩效目标：引导和支持农户参加农业保险；中央财政主要保障关系国计民生和粮食安全的大宗农产品，重点支持农业生产环节；不断扩大农业保险覆盖面和风险保障水平，逐步建立市场化的农业生产风险防范化解机制；稳定农业生产，保障农民收入。</w:t>
      </w:r>
    </w:p>
    <w:p>
      <w:pPr>
        <w:keepNext w:val="0"/>
        <w:keepLines w:val="0"/>
        <w:pageBreakBefore w:val="0"/>
        <w:widowControl w:val="0"/>
        <w:kinsoku/>
        <w:wordWrap/>
        <w:overflowPunct/>
        <w:topLinePunct w:val="0"/>
        <w:autoSpaceDE/>
        <w:autoSpaceDN/>
        <w:bidi w:val="0"/>
        <w:adjustRightInd/>
        <w:snapToGrid w:val="0"/>
        <w:spacing w:line="580" w:lineRule="exact"/>
        <w:ind w:firstLine="600" w:firstLineChars="200"/>
        <w:textAlignment w:val="auto"/>
        <w:rPr>
          <w:rFonts w:ascii="黑体" w:hAnsi="黑体" w:eastAsia="黑体" w:cs="黑体"/>
          <w:bCs/>
          <w:szCs w:val="32"/>
          <w:highlight w:val="none"/>
        </w:rPr>
      </w:pPr>
      <w:r>
        <w:rPr>
          <w:rFonts w:hint="eastAsia" w:ascii="黑体" w:hAnsi="黑体" w:eastAsia="黑体" w:cs="黑体"/>
          <w:bCs/>
          <w:szCs w:val="32"/>
          <w:highlight w:val="none"/>
        </w:rPr>
        <w:t>二、</w:t>
      </w:r>
      <w:r>
        <w:rPr>
          <w:rFonts w:hint="eastAsia" w:ascii="黑体" w:hAnsi="黑体" w:eastAsia="黑体" w:cs="黑体"/>
          <w:bCs/>
          <w:szCs w:val="32"/>
          <w:highlight w:val="none"/>
          <w:lang w:eastAsia="zh-CN"/>
        </w:rPr>
        <w:t>绩效</w:t>
      </w:r>
      <w:r>
        <w:rPr>
          <w:rFonts w:hint="eastAsia" w:ascii="黑体" w:hAnsi="黑体" w:eastAsia="黑体" w:cs="黑体"/>
          <w:bCs/>
          <w:szCs w:val="32"/>
          <w:highlight w:val="none"/>
        </w:rPr>
        <w:t>情况分析</w:t>
      </w:r>
    </w:p>
    <w:p>
      <w:pPr>
        <w:keepNext w:val="0"/>
        <w:keepLines w:val="0"/>
        <w:pageBreakBefore w:val="0"/>
        <w:widowControl w:val="0"/>
        <w:kinsoku/>
        <w:wordWrap/>
        <w:overflowPunct/>
        <w:topLinePunct w:val="0"/>
        <w:autoSpaceDE/>
        <w:autoSpaceDN/>
        <w:bidi w:val="0"/>
        <w:adjustRightInd/>
        <w:snapToGrid w:val="0"/>
        <w:spacing w:line="580" w:lineRule="exact"/>
        <w:ind w:firstLine="602" w:firstLineChars="200"/>
        <w:textAlignment w:val="auto"/>
        <w:outlineLvl w:val="0"/>
        <w:rPr>
          <w:rFonts w:hint="eastAsia" w:ascii="仿宋_GB2312" w:hAnsi="仿宋_GB2312" w:eastAsia="仿宋_GB2312" w:cs="仿宋_GB2312"/>
          <w:b w:val="0"/>
          <w:bCs w:val="0"/>
          <w:szCs w:val="32"/>
          <w:highlight w:val="none"/>
          <w:lang w:eastAsia="zh-CN"/>
        </w:rPr>
      </w:pPr>
      <w:r>
        <w:rPr>
          <w:rFonts w:hint="eastAsia" w:ascii="楷体_GB2312" w:hAnsi="楷体_GB2312" w:eastAsia="楷体_GB2312" w:cs="楷体_GB2312"/>
          <w:b/>
          <w:bCs/>
          <w:szCs w:val="32"/>
          <w:highlight w:val="none"/>
        </w:rPr>
        <w:t>（一）资金投入情况分析。</w:t>
      </w:r>
      <w:r>
        <w:rPr>
          <w:rFonts w:hint="eastAsia" w:ascii="仿宋_GB2312" w:hAnsi="仿宋_GB2312" w:eastAsia="仿宋_GB2312" w:cs="仿宋_GB2312"/>
          <w:b w:val="0"/>
          <w:bCs w:val="0"/>
          <w:szCs w:val="32"/>
          <w:highlight w:val="none"/>
          <w:lang w:eastAsia="zh-CN"/>
        </w:rPr>
        <w:t>（分析资金</w:t>
      </w:r>
      <w:r>
        <w:rPr>
          <w:rFonts w:hint="eastAsia" w:ascii="仿宋_GB2312" w:hAnsi="仿宋_GB2312" w:cs="仿宋_GB2312"/>
          <w:b w:val="0"/>
          <w:bCs w:val="0"/>
          <w:szCs w:val="32"/>
          <w:highlight w:val="none"/>
          <w:lang w:eastAsia="zh-CN"/>
        </w:rPr>
        <w:t>投入及</w:t>
      </w:r>
      <w:r>
        <w:rPr>
          <w:rFonts w:hint="eastAsia" w:ascii="仿宋_GB2312" w:hAnsi="仿宋_GB2312" w:eastAsia="仿宋_GB2312" w:cs="仿宋_GB2312"/>
          <w:b w:val="0"/>
          <w:bCs w:val="0"/>
          <w:szCs w:val="32"/>
          <w:highlight w:val="none"/>
          <w:lang w:eastAsia="zh-CN"/>
        </w:rPr>
        <w:t>执行情况）</w:t>
      </w:r>
    </w:p>
    <w:p>
      <w:pPr>
        <w:spacing w:line="590" w:lineRule="exact"/>
        <w:ind w:firstLine="645"/>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2022年农业保险资金到位202.08万元，其中：中央</w:t>
      </w:r>
      <w:r>
        <w:rPr>
          <w:rFonts w:ascii="Times New Roman" w:hAnsi="Times New Roman" w:eastAsia="仿宋_GB2312" w:cs="Times New Roman"/>
          <w:color w:val="000000"/>
          <w:kern w:val="0"/>
          <w:sz w:val="32"/>
          <w:szCs w:val="32"/>
        </w:rPr>
        <w:t>56.88</w:t>
      </w:r>
      <w:r>
        <w:rPr>
          <w:rFonts w:ascii="Times New Roman" w:hAnsi="Times New Roman" w:eastAsia="仿宋_GB2312" w:cs="Times New Roman"/>
          <w:color w:val="000000"/>
          <w:kern w:val="0"/>
          <w:sz w:val="32"/>
          <w:szCs w:val="32"/>
        </w:rPr>
        <w:tab/>
      </w:r>
      <w:r>
        <w:rPr>
          <w:rFonts w:hint="eastAsia" w:ascii="Times New Roman" w:hAnsi="Times New Roman" w:eastAsia="仿宋_GB2312" w:cs="Times New Roman"/>
          <w:color w:val="000000"/>
          <w:kern w:val="0"/>
          <w:sz w:val="32"/>
          <w:szCs w:val="32"/>
        </w:rPr>
        <w:t>万元</w:t>
      </w:r>
      <w:r>
        <w:rPr>
          <w:rFonts w:hint="eastAsia" w:cs="Times New Roman"/>
          <w:color w:val="000000"/>
          <w:kern w:val="0"/>
          <w:sz w:val="32"/>
          <w:szCs w:val="32"/>
          <w:lang w:eastAsia="zh-CN"/>
        </w:rPr>
        <w:t>（包括当前安排的</w:t>
      </w:r>
      <w:r>
        <w:rPr>
          <w:rFonts w:hint="eastAsia" w:cs="Times New Roman"/>
          <w:color w:val="000000"/>
          <w:kern w:val="0"/>
          <w:sz w:val="32"/>
          <w:szCs w:val="32"/>
          <w:lang w:val="en-US" w:eastAsia="zh-CN"/>
        </w:rPr>
        <w:t>39.33万元</w:t>
      </w:r>
      <w:r>
        <w:rPr>
          <w:rFonts w:hint="eastAsia" w:cs="Times New Roman"/>
          <w:color w:val="000000"/>
          <w:kern w:val="0"/>
          <w:sz w:val="32"/>
          <w:szCs w:val="32"/>
          <w:lang w:eastAsia="zh-CN"/>
        </w:rPr>
        <w:t>）</w:t>
      </w:r>
      <w:r>
        <w:rPr>
          <w:rFonts w:hint="eastAsia" w:ascii="Times New Roman" w:hAnsi="Times New Roman" w:eastAsia="仿宋_GB2312" w:cs="Times New Roman"/>
          <w:color w:val="000000"/>
          <w:kern w:val="0"/>
          <w:sz w:val="32"/>
          <w:szCs w:val="32"/>
        </w:rPr>
        <w:t>，省级</w:t>
      </w:r>
      <w:r>
        <w:rPr>
          <w:rFonts w:ascii="Times New Roman" w:hAnsi="Times New Roman" w:eastAsia="仿宋_GB2312" w:cs="Times New Roman"/>
          <w:color w:val="000000"/>
          <w:kern w:val="0"/>
          <w:sz w:val="32"/>
          <w:szCs w:val="32"/>
        </w:rPr>
        <w:t>35.73</w:t>
      </w:r>
      <w:r>
        <w:rPr>
          <w:rFonts w:hint="eastAsia" w:ascii="Times New Roman" w:hAnsi="Times New Roman" w:eastAsia="仿宋_GB2312" w:cs="Times New Roman"/>
          <w:color w:val="000000"/>
          <w:kern w:val="0"/>
          <w:sz w:val="32"/>
          <w:szCs w:val="32"/>
        </w:rPr>
        <w:t>万元，市级</w:t>
      </w:r>
      <w:r>
        <w:rPr>
          <w:rFonts w:ascii="Times New Roman" w:hAnsi="Times New Roman" w:eastAsia="仿宋_GB2312" w:cs="Times New Roman"/>
          <w:color w:val="000000"/>
          <w:kern w:val="0"/>
          <w:sz w:val="32"/>
          <w:szCs w:val="32"/>
        </w:rPr>
        <w:t>11.03</w:t>
      </w:r>
      <w:r>
        <w:rPr>
          <w:rFonts w:hint="eastAsia" w:ascii="Times New Roman" w:hAnsi="Times New Roman" w:eastAsia="仿宋_GB2312" w:cs="Times New Roman"/>
          <w:color w:val="000000"/>
          <w:kern w:val="0"/>
          <w:sz w:val="32"/>
          <w:szCs w:val="32"/>
        </w:rPr>
        <w:t>万元，区级</w:t>
      </w:r>
      <w:r>
        <w:rPr>
          <w:rFonts w:ascii="Times New Roman" w:hAnsi="Times New Roman" w:eastAsia="仿宋_GB2312" w:cs="Times New Roman"/>
          <w:color w:val="000000"/>
          <w:kern w:val="0"/>
          <w:sz w:val="32"/>
          <w:szCs w:val="32"/>
        </w:rPr>
        <w:t>19.84</w:t>
      </w:r>
      <w:r>
        <w:rPr>
          <w:rFonts w:hint="eastAsia" w:ascii="Times New Roman" w:hAnsi="Times New Roman" w:eastAsia="仿宋_GB2312" w:cs="Times New Roman"/>
          <w:color w:val="000000"/>
          <w:kern w:val="0"/>
          <w:sz w:val="32"/>
          <w:szCs w:val="32"/>
        </w:rPr>
        <w:t>万元。上级资金由农业农村局建立项目库，进行指标挂接下达。</w:t>
      </w:r>
    </w:p>
    <w:p>
      <w:pPr>
        <w:keepNext w:val="0"/>
        <w:keepLines w:val="0"/>
        <w:pageBreakBefore w:val="0"/>
        <w:widowControl w:val="0"/>
        <w:numPr>
          <w:ilvl w:val="0"/>
          <w:numId w:val="1"/>
        </w:numPr>
        <w:kinsoku/>
        <w:wordWrap/>
        <w:overflowPunct/>
        <w:topLinePunct w:val="0"/>
        <w:autoSpaceDE/>
        <w:autoSpaceDN/>
        <w:bidi w:val="0"/>
        <w:adjustRightInd/>
        <w:snapToGrid w:val="0"/>
        <w:spacing w:line="580" w:lineRule="exact"/>
        <w:ind w:firstLine="602" w:firstLineChars="200"/>
        <w:textAlignment w:val="auto"/>
        <w:outlineLvl w:val="0"/>
        <w:rPr>
          <w:rFonts w:hint="eastAsia" w:ascii="仿宋_GB2312" w:hAnsi="仿宋_GB2312" w:cs="仿宋_GB2312"/>
          <w:b w:val="0"/>
          <w:bCs w:val="0"/>
          <w:szCs w:val="32"/>
          <w:highlight w:val="none"/>
          <w:lang w:eastAsia="zh-CN"/>
        </w:rPr>
      </w:pPr>
      <w:r>
        <w:rPr>
          <w:rFonts w:hint="eastAsia" w:ascii="楷体_GB2312" w:hAnsi="楷体_GB2312" w:eastAsia="楷体_GB2312" w:cs="楷体_GB2312"/>
          <w:b/>
          <w:bCs/>
          <w:szCs w:val="32"/>
          <w:highlight w:val="none"/>
          <w:lang w:eastAsia="zh-CN"/>
        </w:rPr>
        <w:t>资金管理情况分析。</w:t>
      </w:r>
      <w:r>
        <w:rPr>
          <w:rFonts w:hint="eastAsia" w:ascii="仿宋_GB2312" w:hAnsi="仿宋_GB2312" w:cs="仿宋_GB2312"/>
          <w:b w:val="0"/>
          <w:bCs w:val="0"/>
          <w:szCs w:val="32"/>
          <w:highlight w:val="none"/>
          <w:lang w:eastAsia="zh-CN"/>
        </w:rPr>
        <w:t>（分析资金分配、下达、拨付、使用、执行、预算绩效管理、支出责任履行等情况）</w:t>
      </w:r>
    </w:p>
    <w:p>
      <w:pPr>
        <w:spacing w:line="590" w:lineRule="exact"/>
        <w:ind w:firstLine="645"/>
        <w:rPr>
          <w:rFonts w:ascii="Times New Roman" w:hAnsi="Times New Roman" w:eastAsia="仿宋_GB2312" w:cs="Times New Roman"/>
          <w:color w:val="000000"/>
          <w:kern w:val="0"/>
          <w:sz w:val="32"/>
          <w:szCs w:val="32"/>
        </w:rPr>
      </w:pPr>
      <w:r>
        <w:rPr>
          <w:rFonts w:hint="eastAsia" w:cs="Times New Roman"/>
          <w:color w:val="000000"/>
          <w:kern w:val="0"/>
          <w:sz w:val="32"/>
          <w:szCs w:val="32"/>
          <w:lang w:val="en-US" w:eastAsia="zh-CN"/>
        </w:rPr>
        <w:t>1、</w:t>
      </w:r>
      <w:r>
        <w:rPr>
          <w:rFonts w:hint="eastAsia" w:ascii="Times New Roman" w:hAnsi="Times New Roman" w:eastAsia="仿宋_GB2312" w:cs="Times New Roman"/>
          <w:color w:val="000000"/>
          <w:kern w:val="0"/>
          <w:sz w:val="32"/>
          <w:szCs w:val="32"/>
        </w:rPr>
        <w:t>2022年农业保险资金到位202.08万元，其中：中央</w:t>
      </w:r>
      <w:r>
        <w:rPr>
          <w:rFonts w:ascii="Times New Roman" w:hAnsi="Times New Roman" w:eastAsia="仿宋_GB2312" w:cs="Times New Roman"/>
          <w:color w:val="000000"/>
          <w:kern w:val="0"/>
          <w:sz w:val="32"/>
          <w:szCs w:val="32"/>
        </w:rPr>
        <w:t>56.88</w:t>
      </w:r>
      <w:r>
        <w:rPr>
          <w:rFonts w:ascii="Times New Roman" w:hAnsi="Times New Roman" w:eastAsia="仿宋_GB2312" w:cs="Times New Roman"/>
          <w:color w:val="000000"/>
          <w:kern w:val="0"/>
          <w:sz w:val="32"/>
          <w:szCs w:val="32"/>
        </w:rPr>
        <w:tab/>
      </w:r>
      <w:r>
        <w:rPr>
          <w:rFonts w:hint="eastAsia" w:ascii="Times New Roman" w:hAnsi="Times New Roman" w:eastAsia="仿宋_GB2312" w:cs="Times New Roman"/>
          <w:color w:val="000000"/>
          <w:kern w:val="0"/>
          <w:sz w:val="32"/>
          <w:szCs w:val="32"/>
        </w:rPr>
        <w:t>万元，省级</w:t>
      </w:r>
      <w:r>
        <w:rPr>
          <w:rFonts w:ascii="Times New Roman" w:hAnsi="Times New Roman" w:eastAsia="仿宋_GB2312" w:cs="Times New Roman"/>
          <w:color w:val="000000"/>
          <w:kern w:val="0"/>
          <w:sz w:val="32"/>
          <w:szCs w:val="32"/>
        </w:rPr>
        <w:t>35.73</w:t>
      </w:r>
      <w:r>
        <w:rPr>
          <w:rFonts w:ascii="Times New Roman" w:hAnsi="Times New Roman" w:eastAsia="仿宋_GB2312" w:cs="Times New Roman"/>
          <w:color w:val="000000"/>
          <w:kern w:val="0"/>
          <w:sz w:val="32"/>
          <w:szCs w:val="32"/>
        </w:rPr>
        <w:tab/>
      </w:r>
      <w:r>
        <w:rPr>
          <w:rFonts w:hint="eastAsia" w:ascii="Times New Roman" w:hAnsi="Times New Roman" w:eastAsia="仿宋_GB2312" w:cs="Times New Roman"/>
          <w:color w:val="000000"/>
          <w:kern w:val="0"/>
          <w:sz w:val="32"/>
          <w:szCs w:val="32"/>
        </w:rPr>
        <w:t>万元，市级</w:t>
      </w:r>
      <w:r>
        <w:rPr>
          <w:rFonts w:ascii="Times New Roman" w:hAnsi="Times New Roman" w:eastAsia="仿宋_GB2312" w:cs="Times New Roman"/>
          <w:color w:val="000000"/>
          <w:kern w:val="0"/>
          <w:sz w:val="32"/>
          <w:szCs w:val="32"/>
        </w:rPr>
        <w:t>11.03</w:t>
      </w:r>
      <w:r>
        <w:rPr>
          <w:rFonts w:hint="eastAsia" w:ascii="Times New Roman" w:hAnsi="Times New Roman" w:eastAsia="仿宋_GB2312" w:cs="Times New Roman"/>
          <w:color w:val="000000"/>
          <w:kern w:val="0"/>
          <w:sz w:val="32"/>
          <w:szCs w:val="32"/>
        </w:rPr>
        <w:t>万元，区级</w:t>
      </w:r>
      <w:r>
        <w:rPr>
          <w:rFonts w:ascii="Times New Roman" w:hAnsi="Times New Roman" w:eastAsia="仿宋_GB2312" w:cs="Times New Roman"/>
          <w:color w:val="000000"/>
          <w:kern w:val="0"/>
          <w:sz w:val="32"/>
          <w:szCs w:val="32"/>
        </w:rPr>
        <w:t>19.84</w:t>
      </w:r>
      <w:r>
        <w:rPr>
          <w:rFonts w:hint="eastAsia" w:ascii="Times New Roman" w:hAnsi="Times New Roman" w:eastAsia="仿宋_GB2312" w:cs="Times New Roman"/>
          <w:color w:val="000000"/>
          <w:kern w:val="0"/>
          <w:sz w:val="32"/>
          <w:szCs w:val="32"/>
        </w:rPr>
        <w:t>万元。</w:t>
      </w:r>
    </w:p>
    <w:p>
      <w:pPr>
        <w:spacing w:line="590" w:lineRule="exact"/>
        <w:ind w:firstLine="645"/>
        <w:rPr>
          <w:rFonts w:ascii="Times New Roman" w:hAnsi="Times New Roman" w:eastAsia="仿宋_GB2312" w:cs="Times New Roman"/>
          <w:color w:val="000000"/>
          <w:kern w:val="0"/>
          <w:sz w:val="32"/>
          <w:szCs w:val="32"/>
        </w:rPr>
      </w:pPr>
      <w:r>
        <w:rPr>
          <w:rFonts w:hint="eastAsia" w:cs="Times New Roman"/>
          <w:color w:val="000000"/>
          <w:kern w:val="0"/>
          <w:sz w:val="32"/>
          <w:szCs w:val="32"/>
          <w:lang w:val="en-US" w:eastAsia="zh-CN"/>
        </w:rPr>
        <w:t>2、</w:t>
      </w:r>
      <w:r>
        <w:rPr>
          <w:rFonts w:hint="eastAsia" w:ascii="Times New Roman" w:hAnsi="Times New Roman" w:eastAsia="仿宋_GB2312" w:cs="Times New Roman"/>
          <w:color w:val="000000"/>
          <w:kern w:val="0"/>
          <w:sz w:val="32"/>
          <w:szCs w:val="32"/>
        </w:rPr>
        <w:t>资金分配。区级资金根据年初预算下达农业农村局，上级资金由农业农村局建立项目库，进行指标挂接下达。</w:t>
      </w:r>
    </w:p>
    <w:p>
      <w:pPr>
        <w:spacing w:line="590" w:lineRule="exact"/>
        <w:ind w:firstLine="645"/>
        <w:rPr>
          <w:rFonts w:ascii="Times New Roman" w:hAnsi="Times New Roman" w:eastAsia="仿宋_GB2312" w:cs="Times New Roman"/>
          <w:color w:val="000000"/>
          <w:kern w:val="0"/>
          <w:sz w:val="32"/>
          <w:szCs w:val="32"/>
        </w:rPr>
      </w:pPr>
      <w:r>
        <w:rPr>
          <w:rFonts w:hint="eastAsia" w:cs="Times New Roman"/>
          <w:color w:val="000000"/>
          <w:kern w:val="0"/>
          <w:sz w:val="32"/>
          <w:szCs w:val="32"/>
          <w:lang w:val="en-US" w:eastAsia="zh-CN"/>
        </w:rPr>
        <w:t>3、</w:t>
      </w:r>
      <w:r>
        <w:rPr>
          <w:rFonts w:hint="eastAsia" w:ascii="Times New Roman" w:hAnsi="Times New Roman" w:eastAsia="仿宋_GB2312" w:cs="Times New Roman"/>
          <w:color w:val="000000"/>
          <w:kern w:val="0"/>
          <w:sz w:val="32"/>
          <w:szCs w:val="32"/>
        </w:rPr>
        <w:t>资金申请受理。资金拨付遵循“实拨制”的要求，根据经办机构的实际签单情况据实审核拨付。</w:t>
      </w:r>
    </w:p>
    <w:p>
      <w:pPr>
        <w:spacing w:line="590" w:lineRule="exact"/>
        <w:ind w:firstLine="645"/>
        <w:rPr>
          <w:rFonts w:ascii="仿宋_GB2312" w:hAnsi="仿宋_GB2312" w:eastAsia="仿宋_GB2312" w:cs="仿宋_GB2312"/>
          <w:sz w:val="32"/>
          <w:szCs w:val="32"/>
        </w:rPr>
      </w:pPr>
      <w:r>
        <w:rPr>
          <w:rFonts w:hint="eastAsia" w:cs="Times New Roman"/>
          <w:color w:val="000000"/>
          <w:kern w:val="0"/>
          <w:sz w:val="32"/>
          <w:szCs w:val="32"/>
          <w:lang w:val="en-US" w:eastAsia="zh-CN"/>
        </w:rPr>
        <w:t>4、</w:t>
      </w:r>
      <w:r>
        <w:rPr>
          <w:rFonts w:hint="eastAsia" w:ascii="Times New Roman" w:hAnsi="Times New Roman" w:eastAsia="仿宋_GB2312" w:cs="Times New Roman"/>
          <w:color w:val="000000"/>
          <w:kern w:val="0"/>
          <w:sz w:val="32"/>
          <w:szCs w:val="32"/>
        </w:rPr>
        <w:t>保费补贴预决算。区财政根据各险种计划投保数，编制次年农业保险保费补贴资金本级预算，安排纳入农业农村局部门预算，</w:t>
      </w:r>
      <w:r>
        <w:rPr>
          <w:rFonts w:hint="eastAsia" w:ascii="仿宋_GB2312" w:hAnsi="仿宋_GB2312" w:eastAsia="仿宋_GB2312" w:cs="仿宋_GB2312"/>
          <w:sz w:val="32"/>
          <w:szCs w:val="32"/>
        </w:rPr>
        <w:t>对应业务的保单及数据，确保可核验、可追溯、可追责，确保农业保险保费补贴资金结算基础数据真实、准确、完整。</w:t>
      </w:r>
    </w:p>
    <w:p>
      <w:pPr>
        <w:spacing w:line="590" w:lineRule="exact"/>
        <w:ind w:firstLine="645"/>
        <w:rPr>
          <w:rFonts w:hint="eastAsia" w:ascii="仿宋_GB2312" w:hAnsi="仿宋_GB2312" w:cs="仿宋_GB2312"/>
          <w:b w:val="0"/>
          <w:bCs w:val="0"/>
          <w:szCs w:val="32"/>
          <w:highlight w:val="none"/>
          <w:lang w:eastAsia="zh-CN"/>
        </w:rPr>
      </w:pPr>
      <w:r>
        <w:rPr>
          <w:rFonts w:hint="eastAsia" w:ascii="仿宋_GB2312" w:hAnsi="仿宋_GB2312" w:cs="仿宋_GB2312"/>
          <w:sz w:val="32"/>
          <w:szCs w:val="32"/>
          <w:lang w:val="en-US" w:eastAsia="zh-CN"/>
        </w:rPr>
        <w:t>5、</w:t>
      </w:r>
      <w:r>
        <w:rPr>
          <w:rFonts w:hint="eastAsia" w:ascii="仿宋_GB2312" w:hAnsi="仿宋_GB2312" w:eastAsia="仿宋_GB2312" w:cs="仿宋_GB2312"/>
          <w:sz w:val="32"/>
          <w:szCs w:val="32"/>
        </w:rPr>
        <w:t>保费补贴资金管理。经办机构根据保单填写财政补贴资金请拨单提交农（林业）部门审核，财政复核，7个工作日内拨付到经办机构指定账户。</w:t>
      </w:r>
    </w:p>
    <w:p>
      <w:pPr>
        <w:keepNext w:val="0"/>
        <w:keepLines w:val="0"/>
        <w:pageBreakBefore w:val="0"/>
        <w:widowControl w:val="0"/>
        <w:numPr>
          <w:ilvl w:val="0"/>
          <w:numId w:val="1"/>
        </w:numPr>
        <w:kinsoku/>
        <w:wordWrap/>
        <w:overflowPunct/>
        <w:topLinePunct w:val="0"/>
        <w:autoSpaceDE/>
        <w:autoSpaceDN/>
        <w:bidi w:val="0"/>
        <w:adjustRightInd/>
        <w:snapToGrid w:val="0"/>
        <w:spacing w:line="580" w:lineRule="exact"/>
        <w:ind w:left="0" w:leftChars="0" w:firstLine="602" w:firstLineChars="200"/>
        <w:textAlignment w:val="auto"/>
        <w:outlineLvl w:val="0"/>
        <w:rPr>
          <w:rFonts w:hint="eastAsia" w:ascii="仿宋_GB2312" w:hAnsi="仿宋_GB2312" w:eastAsia="仿宋_GB2312" w:cs="仿宋_GB2312"/>
          <w:b w:val="0"/>
          <w:bCs w:val="0"/>
          <w:szCs w:val="32"/>
          <w:lang w:eastAsia="zh-CN"/>
        </w:rPr>
      </w:pPr>
      <w:r>
        <w:rPr>
          <w:rFonts w:hint="eastAsia" w:ascii="楷体_GB2312" w:hAnsi="楷体_GB2312" w:eastAsia="楷体_GB2312" w:cs="楷体_GB2312"/>
          <w:b/>
          <w:bCs/>
          <w:szCs w:val="32"/>
        </w:rPr>
        <w:t>总体绩效目标完成情况分析。</w:t>
      </w:r>
      <w:r>
        <w:rPr>
          <w:rFonts w:hint="eastAsia" w:ascii="仿宋_GB2312" w:hAnsi="仿宋_GB2312" w:eastAsia="仿宋_GB2312" w:cs="仿宋_GB2312"/>
          <w:b w:val="0"/>
          <w:bCs w:val="0"/>
          <w:szCs w:val="32"/>
          <w:lang w:eastAsia="zh-CN"/>
        </w:rPr>
        <w:t>（对照总体目标分析全年实际完成情况）</w:t>
      </w:r>
    </w:p>
    <w:p>
      <w:pPr>
        <w:spacing w:line="590" w:lineRule="exact"/>
        <w:ind w:firstLine="645"/>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1.2022年完成玉米种植5.6万亩，实际投保面积5.4万亩。投保工作在5月30日以前完成，保期到12月31日。投保单位确定以市级招投标确定的保险公司为承保单位。评价工作由盘龙区财政局、区农业农村局和保险公司共同协作完成。</w:t>
      </w:r>
      <w:r>
        <w:rPr>
          <w:rFonts w:ascii="Times New Roman" w:hAnsi="Times New Roman" w:eastAsia="仿宋_GB2312" w:cs="Times New Roman"/>
          <w:color w:val="000000"/>
          <w:kern w:val="0"/>
          <w:sz w:val="32"/>
          <w:szCs w:val="32"/>
        </w:rPr>
        <w:t>202</w:t>
      </w:r>
      <w:r>
        <w:rPr>
          <w:rFonts w:hint="eastAsia" w:ascii="Times New Roman" w:hAnsi="Times New Roman" w:eastAsia="仿宋_GB2312" w:cs="Times New Roman"/>
          <w:color w:val="000000"/>
          <w:kern w:val="0"/>
          <w:sz w:val="32"/>
          <w:szCs w:val="32"/>
        </w:rPr>
        <w:t>2</w:t>
      </w:r>
      <w:r>
        <w:rPr>
          <w:rFonts w:ascii="Times New Roman" w:hAnsi="Times New Roman" w:eastAsia="仿宋_GB2312" w:cs="Times New Roman"/>
          <w:color w:val="000000"/>
          <w:kern w:val="0"/>
          <w:sz w:val="32"/>
          <w:szCs w:val="32"/>
        </w:rPr>
        <w:t>年度盘龙区农业保险的承保机构为：中国人民财产保险股份有限公司昆明市分公司。</w:t>
      </w:r>
    </w:p>
    <w:p>
      <w:pPr>
        <w:spacing w:line="590" w:lineRule="exact"/>
        <w:ind w:firstLine="645"/>
        <w:rPr>
          <w:rFonts w:hint="eastAsia" w:ascii="仿宋_GB2312" w:hAnsi="仿宋_GB2312" w:eastAsia="仿宋_GB2312" w:cs="仿宋_GB2312"/>
          <w:b w:val="0"/>
          <w:bCs w:val="0"/>
          <w:szCs w:val="32"/>
          <w:lang w:eastAsia="zh-CN"/>
        </w:rPr>
      </w:pPr>
      <w:r>
        <w:rPr>
          <w:rFonts w:hint="eastAsia" w:ascii="Times New Roman" w:hAnsi="Times New Roman" w:eastAsia="仿宋_GB2312" w:cs="Times New Roman"/>
          <w:color w:val="000000"/>
          <w:kern w:val="0"/>
          <w:sz w:val="32"/>
          <w:szCs w:val="32"/>
        </w:rPr>
        <w:t>2.</w:t>
      </w:r>
      <w:r>
        <w:rPr>
          <w:rFonts w:hint="eastAsia"/>
        </w:rPr>
        <w:t xml:space="preserve"> </w:t>
      </w:r>
      <w:r>
        <w:rPr>
          <w:rFonts w:hint="eastAsia" w:ascii="Times New Roman" w:hAnsi="Times New Roman" w:eastAsia="仿宋_GB2312" w:cs="Times New Roman"/>
          <w:color w:val="000000"/>
          <w:kern w:val="0"/>
          <w:sz w:val="32"/>
          <w:szCs w:val="32"/>
        </w:rPr>
        <w:t>2022年公益林投保面积65.7万亩。投保工作在5月30日以前完成，保期到12月31日。投保单位确定以市级招投标确定的保险公司为承保单位，中国人寿财产保险股份有限公司昆明市中心支公司。评价工作由盘龙区财政局、区农业农村局和保险公司共同协作完成。</w:t>
      </w:r>
    </w:p>
    <w:p>
      <w:pPr>
        <w:keepNext w:val="0"/>
        <w:keepLines w:val="0"/>
        <w:pageBreakBefore w:val="0"/>
        <w:widowControl w:val="0"/>
        <w:numPr>
          <w:ilvl w:val="0"/>
          <w:numId w:val="1"/>
        </w:numPr>
        <w:kinsoku/>
        <w:wordWrap/>
        <w:overflowPunct/>
        <w:topLinePunct w:val="0"/>
        <w:autoSpaceDE/>
        <w:autoSpaceDN/>
        <w:bidi w:val="0"/>
        <w:adjustRightInd/>
        <w:snapToGrid w:val="0"/>
        <w:spacing w:line="580" w:lineRule="exact"/>
        <w:ind w:left="0" w:leftChars="0" w:firstLine="602" w:firstLineChars="200"/>
        <w:textAlignment w:val="auto"/>
        <w:outlineLvl w:val="0"/>
        <w:rPr>
          <w:rFonts w:hint="eastAsia" w:ascii="仿宋_GB2312"/>
          <w:szCs w:val="32"/>
        </w:rPr>
      </w:pPr>
      <w:r>
        <w:rPr>
          <w:rFonts w:hint="eastAsia" w:ascii="楷体_GB2312" w:hAnsi="楷体_GB2312" w:eastAsia="楷体_GB2312" w:cs="楷体_GB2312"/>
          <w:b/>
          <w:bCs/>
          <w:szCs w:val="32"/>
        </w:rPr>
        <w:t>绩效指标完成情况分析。</w:t>
      </w:r>
      <w:r>
        <w:rPr>
          <w:rFonts w:hint="eastAsia" w:ascii="仿宋_GB2312"/>
          <w:szCs w:val="32"/>
        </w:rPr>
        <w:t>（</w:t>
      </w:r>
      <w:r>
        <w:rPr>
          <w:rFonts w:hint="eastAsia" w:ascii="仿宋_GB2312"/>
          <w:szCs w:val="32"/>
          <w:lang w:eastAsia="zh-CN"/>
        </w:rPr>
        <w:t>根据各三级绩效指标值，逐项分析全年实际完成情况</w:t>
      </w:r>
      <w:r>
        <w:rPr>
          <w:rFonts w:hint="eastAsia" w:ascii="仿宋_GB2312"/>
          <w:szCs w:val="32"/>
        </w:rPr>
        <w:t>）</w:t>
      </w:r>
    </w:p>
    <w:p>
      <w:pPr>
        <w:spacing w:line="590" w:lineRule="exact"/>
        <w:ind w:firstLine="645"/>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1.玉米保期到12月31日止，盘龙区2022年玉米种植面积5.6万亩，投保5. 4万亩，投保率96.43%，投保农户1.3631万户，受灾面积0.546万亩，理赔金额59.2696万元，受益农户1750户。理赔工作已于2022年12月31日以前完成。</w:t>
      </w:r>
    </w:p>
    <w:p>
      <w:pPr>
        <w:spacing w:line="590" w:lineRule="exact"/>
        <w:ind w:firstLine="648"/>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2.</w:t>
      </w:r>
      <w:r>
        <w:rPr>
          <w:rFonts w:hint="eastAsia"/>
        </w:rPr>
        <w:t xml:space="preserve"> </w:t>
      </w:r>
      <w:r>
        <w:rPr>
          <w:rFonts w:hint="eastAsia" w:ascii="Times New Roman" w:hAnsi="Times New Roman" w:eastAsia="仿宋_GB2312" w:cs="Times New Roman"/>
          <w:color w:val="000000"/>
          <w:kern w:val="0"/>
          <w:sz w:val="32"/>
          <w:szCs w:val="32"/>
        </w:rPr>
        <w:t>公益林保期到12月31日止，盘龙区2022投保公益林面积65.7万亩，涉及龙泉、松华、滇源、阿子营、双龙、茨坝5个街道47个社区（村委会），投保率100%，2022年无理赔。</w:t>
      </w:r>
    </w:p>
    <w:p>
      <w:pPr>
        <w:spacing w:line="590" w:lineRule="exact"/>
        <w:ind w:firstLine="648"/>
        <w:rPr>
          <w:rFonts w:ascii="华文仿宋" w:hAnsi="华文仿宋" w:eastAsia="华文仿宋" w:cs="华文仿宋"/>
          <w:sz w:val="32"/>
          <w:szCs w:val="32"/>
        </w:rPr>
      </w:pPr>
      <w:r>
        <w:rPr>
          <w:rFonts w:hint="eastAsia" w:ascii="华文仿宋" w:hAnsi="华文仿宋" w:eastAsia="华文仿宋" w:cs="华文仿宋"/>
          <w:sz w:val="32"/>
          <w:szCs w:val="32"/>
          <w:lang w:val="en-US" w:eastAsia="zh-CN"/>
        </w:rPr>
        <w:t>3</w:t>
      </w:r>
      <w:r>
        <w:rPr>
          <w:rFonts w:hint="eastAsia" w:ascii="华文仿宋" w:hAnsi="华文仿宋" w:eastAsia="华文仿宋" w:cs="华文仿宋"/>
          <w:sz w:val="32"/>
          <w:szCs w:val="32"/>
        </w:rPr>
        <w:t>.项目产出</w:t>
      </w:r>
    </w:p>
    <w:p>
      <w:pPr>
        <w:spacing w:line="590" w:lineRule="exact"/>
        <w:ind w:firstLine="648"/>
        <w:rPr>
          <w:rFonts w:ascii="华文仿宋" w:hAnsi="华文仿宋" w:eastAsia="华文仿宋" w:cs="华文仿宋"/>
          <w:sz w:val="32"/>
          <w:szCs w:val="32"/>
        </w:rPr>
      </w:pPr>
      <w:r>
        <w:rPr>
          <w:rFonts w:hint="eastAsia" w:ascii="华文仿宋" w:hAnsi="华文仿宋" w:eastAsia="华文仿宋" w:cs="华文仿宋"/>
          <w:sz w:val="32"/>
          <w:szCs w:val="32"/>
        </w:rPr>
        <w:t>（1）理赔兑现率。盘龙区玉米理赔在2022年12月31日以前全部理赔完，理赔兑现率100%。</w:t>
      </w:r>
    </w:p>
    <w:p>
      <w:pPr>
        <w:spacing w:line="590" w:lineRule="exact"/>
        <w:ind w:firstLine="643" w:firstLineChars="201"/>
        <w:rPr>
          <w:rFonts w:ascii="华文仿宋" w:hAnsi="华文仿宋" w:eastAsia="华文仿宋" w:cs="华文仿宋"/>
          <w:sz w:val="32"/>
          <w:szCs w:val="32"/>
        </w:rPr>
      </w:pPr>
      <w:r>
        <w:rPr>
          <w:rFonts w:hint="eastAsia" w:ascii="华文仿宋" w:hAnsi="华文仿宋" w:eastAsia="华文仿宋" w:cs="华文仿宋"/>
          <w:sz w:val="32"/>
          <w:szCs w:val="32"/>
        </w:rPr>
        <w:t>（</w:t>
      </w:r>
      <w:r>
        <w:rPr>
          <w:rFonts w:ascii="华文仿宋" w:hAnsi="华文仿宋" w:eastAsia="华文仿宋" w:cs="华文仿宋"/>
          <w:sz w:val="32"/>
          <w:szCs w:val="32"/>
        </w:rPr>
        <w:t>2）杠杆效应。较明显，盘龙区政府在实施政策性</w:t>
      </w:r>
      <w:r>
        <w:rPr>
          <w:rFonts w:hint="eastAsia" w:ascii="华文仿宋" w:hAnsi="华文仿宋" w:eastAsia="华文仿宋" w:cs="华文仿宋"/>
          <w:sz w:val="32"/>
          <w:szCs w:val="32"/>
        </w:rPr>
        <w:t>玉米</w:t>
      </w:r>
      <w:r>
        <w:rPr>
          <w:rFonts w:ascii="华文仿宋" w:hAnsi="华文仿宋" w:eastAsia="华文仿宋" w:cs="华文仿宋"/>
          <w:sz w:val="32"/>
          <w:szCs w:val="32"/>
        </w:rPr>
        <w:t>保险的同时，再安排1:1配套资金实施再次加保。</w:t>
      </w:r>
    </w:p>
    <w:p>
      <w:pPr>
        <w:spacing w:line="590" w:lineRule="exact"/>
        <w:ind w:firstLine="648"/>
        <w:rPr>
          <w:rFonts w:ascii="华文仿宋" w:hAnsi="华文仿宋" w:eastAsia="华文仿宋" w:cs="华文仿宋"/>
          <w:sz w:val="32"/>
          <w:szCs w:val="32"/>
        </w:rPr>
      </w:pPr>
      <w:r>
        <w:rPr>
          <w:rFonts w:hint="eastAsia" w:ascii="华文仿宋" w:hAnsi="华文仿宋" w:eastAsia="华文仿宋" w:cs="华文仿宋"/>
          <w:sz w:val="32"/>
          <w:szCs w:val="32"/>
        </w:rPr>
        <w:t>（3）保险保障水平。玉米投保率96.43%、公益林100%。</w:t>
      </w:r>
    </w:p>
    <w:p>
      <w:pPr>
        <w:spacing w:line="590" w:lineRule="exact"/>
        <w:ind w:firstLine="648"/>
        <w:rPr>
          <w:rFonts w:ascii="华文仿宋" w:hAnsi="华文仿宋" w:eastAsia="华文仿宋" w:cs="华文仿宋"/>
          <w:sz w:val="32"/>
          <w:szCs w:val="32"/>
        </w:rPr>
      </w:pPr>
      <w:r>
        <w:rPr>
          <w:rFonts w:hint="eastAsia" w:ascii="华文仿宋" w:hAnsi="华文仿宋" w:eastAsia="华文仿宋" w:cs="华文仿宋"/>
          <w:sz w:val="32"/>
          <w:szCs w:val="32"/>
          <w:lang w:val="en-US" w:eastAsia="zh-CN"/>
        </w:rPr>
        <w:t>4.</w:t>
      </w:r>
      <w:r>
        <w:rPr>
          <w:rFonts w:hint="eastAsia" w:ascii="华文仿宋" w:hAnsi="华文仿宋" w:eastAsia="华文仿宋" w:cs="华文仿宋"/>
          <w:sz w:val="32"/>
          <w:szCs w:val="32"/>
        </w:rPr>
        <w:t>项目效益</w:t>
      </w:r>
    </w:p>
    <w:p>
      <w:pPr>
        <w:spacing w:line="590" w:lineRule="exact"/>
        <w:ind w:firstLine="648"/>
        <w:rPr>
          <w:rFonts w:ascii="华文仿宋" w:hAnsi="华文仿宋" w:eastAsia="华文仿宋" w:cs="华文仿宋"/>
          <w:b/>
          <w:bCs/>
          <w:kern w:val="44"/>
          <w:sz w:val="32"/>
          <w:szCs w:val="32"/>
        </w:rPr>
      </w:pPr>
      <w:r>
        <w:rPr>
          <w:rFonts w:hint="eastAsia" w:ascii="华文仿宋" w:hAnsi="华文仿宋" w:eastAsia="华文仿宋" w:cs="华文仿宋"/>
          <w:sz w:val="32"/>
          <w:szCs w:val="32"/>
        </w:rPr>
        <w:t>（</w:t>
      </w:r>
      <w:r>
        <w:rPr>
          <w:rFonts w:hint="eastAsia" w:ascii="华文仿宋" w:hAnsi="华文仿宋" w:eastAsia="华文仿宋" w:cs="华文仿宋"/>
          <w:sz w:val="32"/>
          <w:szCs w:val="32"/>
          <w:lang w:val="en-US" w:eastAsia="zh-CN"/>
        </w:rPr>
        <w:t>1</w:t>
      </w:r>
      <w:r>
        <w:rPr>
          <w:rFonts w:hint="eastAsia" w:ascii="华文仿宋" w:hAnsi="华文仿宋" w:eastAsia="华文仿宋" w:cs="华文仿宋"/>
          <w:sz w:val="32"/>
          <w:szCs w:val="32"/>
        </w:rPr>
        <w:t>）农户受益度。</w:t>
      </w:r>
      <w:r>
        <w:rPr>
          <w:rFonts w:hint="eastAsia" w:ascii="华文仿宋" w:hAnsi="华文仿宋" w:eastAsia="华文仿宋" w:cs="华文仿宋"/>
          <w:kern w:val="44"/>
          <w:sz w:val="32"/>
          <w:szCs w:val="32"/>
        </w:rPr>
        <w:t>盘龙区农户不承担保费，保险公司根据农作物生长期和受灾程度定损理赔，农户受益程度较高。</w:t>
      </w:r>
    </w:p>
    <w:p>
      <w:pPr>
        <w:spacing w:line="590" w:lineRule="exact"/>
        <w:ind w:firstLine="640" w:firstLineChars="200"/>
        <w:rPr>
          <w:rFonts w:ascii="华文仿宋" w:hAnsi="华文仿宋" w:eastAsia="华文仿宋" w:cs="华文仿宋"/>
          <w:b/>
          <w:bCs/>
          <w:kern w:val="44"/>
          <w:sz w:val="32"/>
          <w:szCs w:val="32"/>
        </w:rPr>
      </w:pPr>
      <w:r>
        <w:rPr>
          <w:rFonts w:hint="eastAsia" w:ascii="华文仿宋" w:hAnsi="华文仿宋" w:eastAsia="华文仿宋" w:cs="华文仿宋"/>
          <w:sz w:val="32"/>
          <w:szCs w:val="32"/>
        </w:rPr>
        <w:t>（</w:t>
      </w:r>
      <w:r>
        <w:rPr>
          <w:rFonts w:hint="eastAsia" w:ascii="华文仿宋" w:hAnsi="华文仿宋" w:eastAsia="华文仿宋" w:cs="华文仿宋"/>
          <w:sz w:val="32"/>
          <w:szCs w:val="32"/>
          <w:lang w:val="en-US" w:eastAsia="zh-CN"/>
        </w:rPr>
        <w:t>2</w:t>
      </w:r>
      <w:r>
        <w:rPr>
          <w:rFonts w:hint="eastAsia" w:ascii="华文仿宋" w:hAnsi="华文仿宋" w:eastAsia="华文仿宋" w:cs="华文仿宋"/>
          <w:sz w:val="32"/>
          <w:szCs w:val="32"/>
        </w:rPr>
        <w:t>）减少灾害损失。</w:t>
      </w:r>
      <w:r>
        <w:rPr>
          <w:rFonts w:hint="eastAsia" w:ascii="华文仿宋" w:hAnsi="华文仿宋" w:eastAsia="华文仿宋" w:cs="华文仿宋"/>
          <w:kern w:val="44"/>
          <w:sz w:val="32"/>
          <w:szCs w:val="32"/>
        </w:rPr>
        <w:t>通过保险公司的定损理赔，农户投入的物化成本损失是可以弥补的。</w:t>
      </w:r>
    </w:p>
    <w:p>
      <w:pPr>
        <w:spacing w:line="590" w:lineRule="exact"/>
        <w:ind w:firstLine="640" w:firstLineChars="200"/>
        <w:rPr>
          <w:rFonts w:ascii="华文仿宋" w:hAnsi="华文仿宋" w:eastAsia="华文仿宋" w:cs="华文仿宋"/>
          <w:kern w:val="44"/>
          <w:sz w:val="32"/>
          <w:szCs w:val="32"/>
        </w:rPr>
      </w:pPr>
      <w:r>
        <w:rPr>
          <w:rFonts w:hint="eastAsia" w:ascii="华文仿宋" w:hAnsi="华文仿宋" w:eastAsia="华文仿宋" w:cs="华文仿宋"/>
          <w:sz w:val="32"/>
          <w:szCs w:val="32"/>
        </w:rPr>
        <w:t>（</w:t>
      </w:r>
      <w:r>
        <w:rPr>
          <w:rFonts w:hint="eastAsia" w:ascii="华文仿宋" w:hAnsi="华文仿宋" w:eastAsia="华文仿宋" w:cs="华文仿宋"/>
          <w:sz w:val="32"/>
          <w:szCs w:val="32"/>
          <w:lang w:val="en-US" w:eastAsia="zh-CN"/>
        </w:rPr>
        <w:t>3</w:t>
      </w:r>
      <w:r>
        <w:rPr>
          <w:rFonts w:hint="eastAsia" w:ascii="华文仿宋" w:hAnsi="华文仿宋" w:eastAsia="华文仿宋" w:cs="华文仿宋"/>
          <w:sz w:val="32"/>
          <w:szCs w:val="32"/>
        </w:rPr>
        <w:t>）促进生产集约化。</w:t>
      </w:r>
      <w:r>
        <w:rPr>
          <w:rFonts w:hint="eastAsia" w:ascii="华文仿宋" w:hAnsi="华文仿宋" w:eastAsia="华文仿宋" w:cs="华文仿宋"/>
          <w:kern w:val="44"/>
          <w:sz w:val="32"/>
          <w:szCs w:val="32"/>
        </w:rPr>
        <w:t>农户种植的玉米面积，除双龙街道办事处没有实施投保外，盘龙区涉农的其他街道办事处都应保尽保。因为双龙街道办事处从有农业生产记录以来都没有出现过大的自然灾害。盘龙区涉及公益林的街道都应保尽保。</w:t>
      </w:r>
    </w:p>
    <w:p>
      <w:pPr>
        <w:spacing w:line="590" w:lineRule="exact"/>
        <w:ind w:firstLine="648"/>
        <w:rPr>
          <w:rFonts w:ascii="华文仿宋" w:hAnsi="华文仿宋" w:eastAsia="华文仿宋" w:cs="华文仿宋"/>
          <w:sz w:val="32"/>
          <w:szCs w:val="32"/>
        </w:rPr>
      </w:pPr>
      <w:r>
        <w:rPr>
          <w:rFonts w:hint="eastAsia" w:ascii="华文仿宋" w:hAnsi="华文仿宋" w:eastAsia="华文仿宋" w:cs="华文仿宋"/>
          <w:sz w:val="32"/>
          <w:szCs w:val="32"/>
          <w:lang w:val="en-US" w:eastAsia="zh-CN"/>
        </w:rPr>
        <w:t>5</w:t>
      </w:r>
      <w:r>
        <w:rPr>
          <w:rFonts w:hint="eastAsia" w:ascii="华文仿宋" w:hAnsi="华文仿宋" w:eastAsia="华文仿宋" w:cs="华文仿宋"/>
          <w:sz w:val="32"/>
          <w:szCs w:val="32"/>
        </w:rPr>
        <w:t>.农户满意度。</w:t>
      </w:r>
    </w:p>
    <w:p>
      <w:pPr>
        <w:spacing w:line="590" w:lineRule="exact"/>
        <w:ind w:firstLine="648"/>
        <w:rPr>
          <w:rFonts w:ascii="华文仿宋" w:hAnsi="华文仿宋" w:eastAsia="华文仿宋" w:cs="华文仿宋"/>
          <w:sz w:val="32"/>
          <w:szCs w:val="32"/>
        </w:rPr>
      </w:pPr>
      <w:r>
        <w:rPr>
          <w:rFonts w:hint="eastAsia" w:ascii="华文仿宋" w:hAnsi="华文仿宋" w:eastAsia="华文仿宋" w:cs="华文仿宋"/>
          <w:sz w:val="32"/>
          <w:szCs w:val="32"/>
        </w:rPr>
        <w:t>（</w:t>
      </w:r>
      <w:r>
        <w:rPr>
          <w:rFonts w:hint="eastAsia" w:ascii="华文仿宋" w:hAnsi="华文仿宋" w:eastAsia="华文仿宋" w:cs="华文仿宋"/>
          <w:sz w:val="32"/>
          <w:szCs w:val="32"/>
          <w:lang w:val="en-US" w:eastAsia="zh-CN"/>
        </w:rPr>
        <w:t>1</w:t>
      </w:r>
      <w:r>
        <w:rPr>
          <w:rFonts w:hint="eastAsia" w:ascii="华文仿宋" w:hAnsi="华文仿宋" w:eastAsia="华文仿宋" w:cs="华文仿宋"/>
          <w:sz w:val="32"/>
          <w:szCs w:val="32"/>
        </w:rPr>
        <w:t>）政策知晓率。通过实施农业保险工作10多年来，盘龙区进行农业生产的农户政策知晓率达100%。</w:t>
      </w:r>
    </w:p>
    <w:p>
      <w:pPr>
        <w:spacing w:line="590" w:lineRule="exact"/>
        <w:ind w:firstLine="640" w:firstLineChars="200"/>
        <w:rPr>
          <w:rFonts w:hint="eastAsia" w:ascii="Times New Roman" w:hAnsi="Times New Roman" w:eastAsia="华文仿宋" w:cs="Times New Roman"/>
          <w:color w:val="000000"/>
          <w:kern w:val="0"/>
          <w:sz w:val="32"/>
          <w:szCs w:val="32"/>
          <w:lang w:eastAsia="zh-CN"/>
        </w:rPr>
      </w:pPr>
      <w:r>
        <w:rPr>
          <w:rFonts w:hint="eastAsia" w:ascii="华文仿宋" w:hAnsi="华文仿宋" w:eastAsia="华文仿宋" w:cs="华文仿宋"/>
          <w:sz w:val="32"/>
          <w:szCs w:val="32"/>
        </w:rPr>
        <w:t>（</w:t>
      </w:r>
      <w:r>
        <w:rPr>
          <w:rFonts w:hint="eastAsia" w:ascii="华文仿宋" w:hAnsi="华文仿宋" w:eastAsia="华文仿宋" w:cs="华文仿宋"/>
          <w:sz w:val="32"/>
          <w:szCs w:val="32"/>
          <w:lang w:val="en-US" w:eastAsia="zh-CN"/>
        </w:rPr>
        <w:t>2</w:t>
      </w:r>
      <w:r>
        <w:rPr>
          <w:rFonts w:hint="eastAsia" w:ascii="华文仿宋" w:hAnsi="华文仿宋" w:eastAsia="华文仿宋" w:cs="华文仿宋"/>
          <w:sz w:val="32"/>
          <w:szCs w:val="32"/>
        </w:rPr>
        <w:t>）满意率。</w:t>
      </w:r>
      <w:r>
        <w:rPr>
          <w:rFonts w:hint="eastAsia" w:ascii="华文仿宋" w:hAnsi="华文仿宋" w:eastAsia="华文仿宋" w:cs="华文仿宋"/>
          <w:kern w:val="44"/>
          <w:sz w:val="32"/>
          <w:szCs w:val="32"/>
        </w:rPr>
        <w:t>通过10多年来的工作，农业保险投保、理赔程序工作人员、种植户都较熟悉（每年受灾地块变动不大），满意度可达99%</w:t>
      </w:r>
      <w:r>
        <w:rPr>
          <w:rFonts w:hint="eastAsia" w:ascii="华文仿宋" w:hAnsi="华文仿宋" w:eastAsia="华文仿宋" w:cs="华文仿宋"/>
          <w:kern w:val="44"/>
          <w:sz w:val="32"/>
          <w:szCs w:val="32"/>
          <w:lang w:eastAsia="zh-CN"/>
        </w:rPr>
        <w:t>。</w:t>
      </w:r>
    </w:p>
    <w:p>
      <w:pPr>
        <w:keepNext w:val="0"/>
        <w:keepLines w:val="0"/>
        <w:pageBreakBefore w:val="0"/>
        <w:widowControl w:val="0"/>
        <w:kinsoku/>
        <w:wordWrap/>
        <w:overflowPunct/>
        <w:topLinePunct w:val="0"/>
        <w:autoSpaceDE/>
        <w:autoSpaceDN/>
        <w:bidi w:val="0"/>
        <w:adjustRightInd/>
        <w:snapToGrid w:val="0"/>
        <w:spacing w:line="580" w:lineRule="exact"/>
        <w:ind w:firstLine="600" w:firstLineChars="200"/>
        <w:textAlignment w:val="auto"/>
        <w:rPr>
          <w:rFonts w:ascii="仿宋_GB2312"/>
          <w:szCs w:val="32"/>
        </w:rPr>
      </w:pPr>
      <w:r>
        <w:rPr>
          <w:rFonts w:hint="eastAsia" w:ascii="黑体" w:hAnsi="黑体" w:eastAsia="黑体" w:cs="黑体"/>
          <w:bCs/>
          <w:szCs w:val="32"/>
        </w:rPr>
        <w:t>三、偏离绩效目标的原因和下一步改进措施</w:t>
      </w:r>
    </w:p>
    <w:p>
      <w:pPr>
        <w:keepNext w:val="0"/>
        <w:keepLines w:val="0"/>
        <w:pageBreakBefore w:val="0"/>
        <w:widowControl w:val="0"/>
        <w:kinsoku/>
        <w:wordWrap/>
        <w:overflowPunct/>
        <w:topLinePunct w:val="0"/>
        <w:autoSpaceDE/>
        <w:autoSpaceDN/>
        <w:bidi w:val="0"/>
        <w:adjustRightInd/>
        <w:snapToGrid w:val="0"/>
        <w:spacing w:line="580" w:lineRule="exact"/>
        <w:ind w:firstLine="600" w:firstLineChars="200"/>
        <w:textAlignment w:val="auto"/>
        <w:rPr>
          <w:rFonts w:hint="eastAsia" w:ascii="仿宋" w:hAnsi="仿宋" w:eastAsia="仿宋" w:cs="仿宋"/>
          <w:b w:val="0"/>
          <w:bCs w:val="0"/>
          <w:szCs w:val="32"/>
          <w:lang w:eastAsia="zh-CN"/>
        </w:rPr>
      </w:pPr>
      <w:r>
        <w:rPr>
          <w:rFonts w:hint="eastAsia" w:ascii="仿宋" w:hAnsi="仿宋" w:eastAsia="仿宋" w:cs="仿宋"/>
          <w:b w:val="0"/>
          <w:bCs w:val="0"/>
          <w:szCs w:val="32"/>
          <w:lang w:eastAsia="zh-CN"/>
        </w:rPr>
        <w:t>无</w:t>
      </w:r>
      <w:r>
        <w:rPr>
          <w:rFonts w:hint="eastAsia" w:ascii="仿宋" w:hAnsi="仿宋" w:eastAsia="仿宋" w:cs="仿宋"/>
          <w:b w:val="0"/>
          <w:bCs w:val="0"/>
          <w:szCs w:val="32"/>
        </w:rPr>
        <w:t>偏离绩效目标的原因</w:t>
      </w:r>
      <w:r>
        <w:rPr>
          <w:rFonts w:hint="eastAsia" w:ascii="仿宋" w:hAnsi="仿宋" w:eastAsia="仿宋" w:cs="仿宋"/>
          <w:b w:val="0"/>
          <w:bCs w:val="0"/>
          <w:szCs w:val="32"/>
          <w:lang w:eastAsia="zh-CN"/>
        </w:rPr>
        <w:t>。</w:t>
      </w:r>
    </w:p>
    <w:p>
      <w:pPr>
        <w:keepNext w:val="0"/>
        <w:keepLines w:val="0"/>
        <w:pageBreakBefore w:val="0"/>
        <w:widowControl w:val="0"/>
        <w:numPr>
          <w:ilvl w:val="0"/>
          <w:numId w:val="2"/>
        </w:numPr>
        <w:kinsoku/>
        <w:wordWrap/>
        <w:overflowPunct/>
        <w:topLinePunct w:val="0"/>
        <w:autoSpaceDE/>
        <w:autoSpaceDN/>
        <w:bidi w:val="0"/>
        <w:adjustRightInd/>
        <w:snapToGrid w:val="0"/>
        <w:spacing w:line="580" w:lineRule="exact"/>
        <w:ind w:firstLine="600" w:firstLineChars="200"/>
        <w:textAlignment w:val="auto"/>
        <w:rPr>
          <w:rFonts w:hint="eastAsia" w:ascii="黑体" w:hAnsi="黑体" w:eastAsia="黑体" w:cs="黑体"/>
          <w:bCs/>
          <w:szCs w:val="32"/>
        </w:rPr>
      </w:pPr>
      <w:r>
        <w:rPr>
          <w:rFonts w:hint="eastAsia" w:ascii="黑体" w:hAnsi="黑体" w:eastAsia="黑体" w:cs="黑体"/>
          <w:bCs/>
          <w:szCs w:val="32"/>
        </w:rPr>
        <w:t>绩效自评结果拟应用和公开情况</w:t>
      </w:r>
    </w:p>
    <w:p>
      <w:pPr>
        <w:ind w:firstLine="480" w:firstLineChars="150"/>
        <w:jc w:val="left"/>
        <w:rPr>
          <w:rFonts w:ascii="华文仿宋" w:hAnsi="华文仿宋" w:eastAsia="华文仿宋" w:cs="华文仿宋"/>
          <w:sz w:val="32"/>
          <w:szCs w:val="32"/>
        </w:rPr>
      </w:pPr>
      <w:r>
        <w:rPr>
          <w:rFonts w:hint="eastAsia" w:ascii="华文仿宋" w:hAnsi="华文仿宋" w:eastAsia="华文仿宋" w:cs="华文仿宋"/>
          <w:sz w:val="32"/>
          <w:szCs w:val="32"/>
        </w:rPr>
        <w:t>（一）投保时，由农科员填报种植险承包清单（农户提供身份证和银行卡复印件），由街道农科站汇总投保面积，保险公司根据总投保面积，计算保费，并提出保费申请，由农业农村局根据保险公司提出的申请支付保费。</w:t>
      </w:r>
    </w:p>
    <w:p>
      <w:pPr>
        <w:ind w:firstLine="640" w:firstLineChars="200"/>
        <w:jc w:val="left"/>
        <w:rPr>
          <w:rFonts w:ascii="华文仿宋" w:hAnsi="华文仿宋" w:eastAsia="华文仿宋" w:cs="华文仿宋"/>
          <w:sz w:val="32"/>
          <w:szCs w:val="32"/>
        </w:rPr>
      </w:pPr>
      <w:r>
        <w:rPr>
          <w:rFonts w:hint="eastAsia" w:ascii="华文仿宋" w:hAnsi="华文仿宋" w:eastAsia="华文仿宋" w:cs="华文仿宋"/>
          <w:sz w:val="32"/>
          <w:szCs w:val="32"/>
        </w:rPr>
        <w:t>（二）农作物受灾后，由各街道办事处农科站负责农业保险的工作人员向保险公司进行险情汇报，保险公司立即组织人员进行受损定级。赔付前在受灾农户所在村进行公示，农户无意义后，通过农户投保时提供的银行卡进行赔付。</w:t>
      </w:r>
    </w:p>
    <w:p>
      <w:pPr>
        <w:ind w:firstLine="640" w:firstLineChars="200"/>
        <w:rPr>
          <w:rFonts w:hint="eastAsia" w:ascii="黑体" w:hAnsi="黑体" w:eastAsia="黑体" w:cs="黑体"/>
          <w:bCs/>
          <w:szCs w:val="32"/>
        </w:rPr>
      </w:pPr>
      <w:r>
        <w:rPr>
          <w:rFonts w:hint="eastAsia" w:ascii="华文仿宋" w:hAnsi="华文仿宋" w:eastAsia="华文仿宋" w:cs="华文仿宋"/>
          <w:sz w:val="32"/>
          <w:szCs w:val="32"/>
        </w:rPr>
        <w:t>（三）盘龙区投保理赔资料完整</w:t>
      </w:r>
      <w:r>
        <w:rPr>
          <w:rFonts w:hint="eastAsia" w:ascii="华文仿宋" w:hAnsi="华文仿宋" w:eastAsia="华文仿宋" w:cs="华文仿宋"/>
          <w:sz w:val="32"/>
          <w:szCs w:val="32"/>
          <w:lang w:eastAsia="zh-CN"/>
        </w:rPr>
        <w:t>，</w:t>
      </w:r>
      <w:r>
        <w:rPr>
          <w:rFonts w:hint="eastAsia" w:ascii="华文仿宋" w:hAnsi="华文仿宋" w:eastAsia="华文仿宋" w:cs="华文仿宋"/>
          <w:sz w:val="32"/>
          <w:szCs w:val="32"/>
        </w:rPr>
        <w:t>建立了专门台账。</w:t>
      </w:r>
    </w:p>
    <w:p>
      <w:pPr>
        <w:keepNext w:val="0"/>
        <w:keepLines w:val="0"/>
        <w:pageBreakBefore w:val="0"/>
        <w:widowControl w:val="0"/>
        <w:kinsoku/>
        <w:wordWrap/>
        <w:overflowPunct/>
        <w:topLinePunct w:val="0"/>
        <w:autoSpaceDE/>
        <w:autoSpaceDN/>
        <w:bidi w:val="0"/>
        <w:adjustRightInd/>
        <w:snapToGrid w:val="0"/>
        <w:spacing w:line="580" w:lineRule="exact"/>
        <w:ind w:firstLine="600" w:firstLineChars="200"/>
        <w:textAlignment w:val="auto"/>
        <w:rPr>
          <w:rFonts w:ascii="黑体" w:hAnsi="黑体" w:eastAsia="黑体" w:cs="黑体"/>
          <w:bCs/>
          <w:szCs w:val="32"/>
        </w:rPr>
      </w:pPr>
      <w:r>
        <w:rPr>
          <w:rFonts w:hint="eastAsia" w:ascii="黑体" w:hAnsi="黑体" w:eastAsia="黑体" w:cs="黑体"/>
          <w:bCs/>
          <w:szCs w:val="32"/>
        </w:rPr>
        <w:t>五、其他需要说明的问题</w:t>
      </w:r>
    </w:p>
    <w:p>
      <w:pPr>
        <w:keepNext w:val="0"/>
        <w:keepLines w:val="0"/>
        <w:pageBreakBefore w:val="0"/>
        <w:widowControl w:val="0"/>
        <w:kinsoku/>
        <w:wordWrap/>
        <w:overflowPunct/>
        <w:topLinePunct w:val="0"/>
        <w:autoSpaceDE/>
        <w:autoSpaceDN/>
        <w:bidi w:val="0"/>
        <w:adjustRightInd/>
        <w:snapToGrid w:val="0"/>
        <w:spacing w:line="580" w:lineRule="exact"/>
        <w:ind w:firstLine="600" w:firstLineChars="200"/>
        <w:textAlignment w:val="auto"/>
        <w:rPr>
          <w:rFonts w:hint="eastAsia" w:ascii="华文宋体" w:hAnsi="华文宋体" w:eastAsia="华文宋体" w:cs="华文宋体"/>
          <w:lang w:eastAsia="zh-CN"/>
        </w:rPr>
      </w:pPr>
      <w:r>
        <w:rPr>
          <w:rFonts w:hint="eastAsia" w:ascii="华文宋体" w:hAnsi="华文宋体" w:eastAsia="华文宋体" w:cs="华文宋体"/>
          <w:lang w:eastAsia="zh-CN"/>
        </w:rPr>
        <w:t>无</w:t>
      </w:r>
    </w:p>
    <w:p>
      <w:pPr>
        <w:keepNext w:val="0"/>
        <w:keepLines w:val="0"/>
        <w:pageBreakBefore w:val="0"/>
        <w:widowControl w:val="0"/>
        <w:kinsoku/>
        <w:wordWrap/>
        <w:overflowPunct/>
        <w:topLinePunct w:val="0"/>
        <w:autoSpaceDE/>
        <w:autoSpaceDN/>
        <w:bidi w:val="0"/>
        <w:adjustRightInd/>
        <w:snapToGrid w:val="0"/>
        <w:spacing w:line="580" w:lineRule="exact"/>
        <w:ind w:firstLine="600" w:firstLineChars="200"/>
        <w:textAlignment w:val="auto"/>
        <w:rPr>
          <w:rFonts w:hint="eastAsia" w:ascii="黑体" w:hAnsi="黑体" w:eastAsia="黑体" w:cs="黑体"/>
          <w:lang w:val="en"/>
        </w:rPr>
      </w:pPr>
      <w:r>
        <w:rPr>
          <w:rFonts w:hint="eastAsia" w:ascii="黑体" w:hAnsi="黑体" w:eastAsia="黑体" w:cs="黑体"/>
          <w:lang w:val="en"/>
        </w:rPr>
        <w:t>六、附件</w:t>
      </w:r>
    </w:p>
    <w:p>
      <w:pPr>
        <w:keepNext w:val="0"/>
        <w:keepLines w:val="0"/>
        <w:pageBreakBefore w:val="0"/>
        <w:widowControl w:val="0"/>
        <w:kinsoku/>
        <w:wordWrap/>
        <w:overflowPunct/>
        <w:topLinePunct w:val="0"/>
        <w:autoSpaceDE/>
        <w:autoSpaceDN/>
        <w:bidi w:val="0"/>
        <w:adjustRightInd/>
        <w:snapToGrid w:val="0"/>
        <w:spacing w:line="580" w:lineRule="exact"/>
        <w:ind w:firstLine="600" w:firstLineChars="200"/>
        <w:textAlignment w:val="auto"/>
        <w:rPr>
          <w:rFonts w:hint="eastAsia" w:ascii="黑体" w:hAnsi="黑体" w:eastAsia="仿宋_GB2312" w:cs="黑体"/>
          <w:lang w:val="en" w:eastAsia="zh-CN"/>
        </w:rPr>
      </w:pPr>
      <w:r>
        <w:rPr>
          <w:rFonts w:hint="eastAsia"/>
        </w:rPr>
        <w:t>转移支付区域（项目）绩效目标自评表</w:t>
      </w:r>
      <w:r>
        <w:rPr>
          <w:rFonts w:hint="eastAsia"/>
          <w:lang w:eastAsia="zh-CN"/>
        </w:rPr>
        <w:t>（见附件</w:t>
      </w:r>
      <w:r>
        <w:rPr>
          <w:rFonts w:hint="eastAsia"/>
          <w:lang w:val="en-US" w:eastAsia="zh-CN"/>
        </w:rPr>
        <w:t>1</w:t>
      </w:r>
      <w:r>
        <w:rPr>
          <w:rFonts w:hint="eastAsia"/>
          <w:lang w:eastAsia="zh-CN"/>
        </w:rPr>
        <w:t>）</w:t>
      </w:r>
    </w:p>
    <w:sectPr>
      <w:footerReference r:id="rId3"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 w:name="华文宋体">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">
              <v:fill on="f" focussize="0,0"/>
              <v:stroke on="f" weight="0.5pt"/>
              <v:imagedata o:title=""/>
              <o:lock v:ext="edit" aspectratio="f"/>
              <v:textbox inset="0mm,0mm,0mm,0mm" style="mso-fit-shape-to-text:t;">
                <w:txbxContent>
                  <w:p>
                    <w:pPr>
                      <w:pStyle w:val="3"/>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ECB5356"/>
    <w:multiLevelType w:val="singleLevel"/>
    <w:tmpl w:val="EECB5356"/>
    <w:lvl w:ilvl="0" w:tentative="0">
      <w:start w:val="2"/>
      <w:numFmt w:val="chineseCounting"/>
      <w:suff w:val="nothing"/>
      <w:lvlText w:val="（%1）"/>
      <w:lvlJc w:val="left"/>
      <w:rPr>
        <w:rFonts w:hint="eastAsia"/>
      </w:rPr>
    </w:lvl>
  </w:abstractNum>
  <w:abstractNum w:abstractNumId="1">
    <w:nsid w:val="66650452"/>
    <w:multiLevelType w:val="singleLevel"/>
    <w:tmpl w:val="66650452"/>
    <w:lvl w:ilvl="0" w:tentative="0">
      <w:start w:val="4"/>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dit="readOnly" w:enforcement="0"/>
  <w:defaultTabStop w:val="420"/>
  <w:drawingGridHorizontalSpacing w:val="150"/>
  <w:drawingGridVerticalSpacing w:val="581"/>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5NWFmOWQ3MmNmNTdlOWZmNTQ5NDczNjY2MDNlNDkifQ=="/>
  </w:docVars>
  <w:rsids>
    <w:rsidRoot w:val="00F57F82"/>
    <w:rsid w:val="000101E1"/>
    <w:rsid w:val="000732DA"/>
    <w:rsid w:val="00075CDC"/>
    <w:rsid w:val="000B1E8F"/>
    <w:rsid w:val="000B6964"/>
    <w:rsid w:val="00103D16"/>
    <w:rsid w:val="00111638"/>
    <w:rsid w:val="00111928"/>
    <w:rsid w:val="0012041C"/>
    <w:rsid w:val="00164D84"/>
    <w:rsid w:val="00173016"/>
    <w:rsid w:val="0017509C"/>
    <w:rsid w:val="001808CA"/>
    <w:rsid w:val="001A4E46"/>
    <w:rsid w:val="001E03FE"/>
    <w:rsid w:val="002123E8"/>
    <w:rsid w:val="00250053"/>
    <w:rsid w:val="0029569C"/>
    <w:rsid w:val="002A5FA7"/>
    <w:rsid w:val="002B3EEF"/>
    <w:rsid w:val="002B54E4"/>
    <w:rsid w:val="002E5562"/>
    <w:rsid w:val="002F6705"/>
    <w:rsid w:val="00301FC0"/>
    <w:rsid w:val="00336A16"/>
    <w:rsid w:val="003663A3"/>
    <w:rsid w:val="00387DD5"/>
    <w:rsid w:val="003B0980"/>
    <w:rsid w:val="003C6374"/>
    <w:rsid w:val="003D2CB9"/>
    <w:rsid w:val="00413F12"/>
    <w:rsid w:val="00493012"/>
    <w:rsid w:val="004D2137"/>
    <w:rsid w:val="005D1514"/>
    <w:rsid w:val="005D7CC3"/>
    <w:rsid w:val="006218A1"/>
    <w:rsid w:val="00682A10"/>
    <w:rsid w:val="006A30E4"/>
    <w:rsid w:val="006A74BF"/>
    <w:rsid w:val="006C1CEE"/>
    <w:rsid w:val="006D5A86"/>
    <w:rsid w:val="00707C2E"/>
    <w:rsid w:val="00722A7D"/>
    <w:rsid w:val="00724A6B"/>
    <w:rsid w:val="0073331B"/>
    <w:rsid w:val="00733C2D"/>
    <w:rsid w:val="00756C7F"/>
    <w:rsid w:val="007D7E6E"/>
    <w:rsid w:val="00850797"/>
    <w:rsid w:val="00853FC4"/>
    <w:rsid w:val="008720F1"/>
    <w:rsid w:val="00882EFA"/>
    <w:rsid w:val="008B2F56"/>
    <w:rsid w:val="008F0996"/>
    <w:rsid w:val="00903791"/>
    <w:rsid w:val="009600BD"/>
    <w:rsid w:val="00961C83"/>
    <w:rsid w:val="009922BC"/>
    <w:rsid w:val="009E0D8C"/>
    <w:rsid w:val="00A02AF3"/>
    <w:rsid w:val="00A25077"/>
    <w:rsid w:val="00A610CC"/>
    <w:rsid w:val="00A8737E"/>
    <w:rsid w:val="00AA19AF"/>
    <w:rsid w:val="00BC6882"/>
    <w:rsid w:val="00BD3FE0"/>
    <w:rsid w:val="00BE58CF"/>
    <w:rsid w:val="00CA5578"/>
    <w:rsid w:val="00CA7DAA"/>
    <w:rsid w:val="00D04826"/>
    <w:rsid w:val="00D63908"/>
    <w:rsid w:val="00D8718A"/>
    <w:rsid w:val="00D93453"/>
    <w:rsid w:val="00DC524D"/>
    <w:rsid w:val="00E071D6"/>
    <w:rsid w:val="00ED3E0F"/>
    <w:rsid w:val="00F015E4"/>
    <w:rsid w:val="00F57F82"/>
    <w:rsid w:val="00F75224"/>
    <w:rsid w:val="00F91EAE"/>
    <w:rsid w:val="00FA086C"/>
    <w:rsid w:val="00FA2093"/>
    <w:rsid w:val="00FA357A"/>
    <w:rsid w:val="037D0BC8"/>
    <w:rsid w:val="03C0467D"/>
    <w:rsid w:val="08313650"/>
    <w:rsid w:val="0845082D"/>
    <w:rsid w:val="09E965F2"/>
    <w:rsid w:val="0FF7AA4F"/>
    <w:rsid w:val="113529F0"/>
    <w:rsid w:val="139840D3"/>
    <w:rsid w:val="143E091F"/>
    <w:rsid w:val="14865FC8"/>
    <w:rsid w:val="14D04E4A"/>
    <w:rsid w:val="150C2DB0"/>
    <w:rsid w:val="1A7D29EA"/>
    <w:rsid w:val="1D994BCF"/>
    <w:rsid w:val="1E761F05"/>
    <w:rsid w:val="1F7BE1E6"/>
    <w:rsid w:val="1FC7205C"/>
    <w:rsid w:val="228B3D05"/>
    <w:rsid w:val="23165F60"/>
    <w:rsid w:val="284E74F8"/>
    <w:rsid w:val="2ADB48E8"/>
    <w:rsid w:val="36687282"/>
    <w:rsid w:val="367793B2"/>
    <w:rsid w:val="3794FC37"/>
    <w:rsid w:val="383948B0"/>
    <w:rsid w:val="38EF7AD8"/>
    <w:rsid w:val="3E1672E6"/>
    <w:rsid w:val="3EB9C2BB"/>
    <w:rsid w:val="3FEF6A07"/>
    <w:rsid w:val="415F08D8"/>
    <w:rsid w:val="44E2230F"/>
    <w:rsid w:val="48B51347"/>
    <w:rsid w:val="491B45FA"/>
    <w:rsid w:val="4A55216A"/>
    <w:rsid w:val="4CC90847"/>
    <w:rsid w:val="4FE0696A"/>
    <w:rsid w:val="546F8569"/>
    <w:rsid w:val="55673508"/>
    <w:rsid w:val="59595A6F"/>
    <w:rsid w:val="597350B8"/>
    <w:rsid w:val="599330CA"/>
    <w:rsid w:val="5A7FCB1F"/>
    <w:rsid w:val="5FEAF7C9"/>
    <w:rsid w:val="60D5009F"/>
    <w:rsid w:val="64AC2E11"/>
    <w:rsid w:val="660721C9"/>
    <w:rsid w:val="661E6C75"/>
    <w:rsid w:val="67F75FF5"/>
    <w:rsid w:val="681D4831"/>
    <w:rsid w:val="692E4B19"/>
    <w:rsid w:val="69513EF7"/>
    <w:rsid w:val="6BF3256F"/>
    <w:rsid w:val="6CE7018A"/>
    <w:rsid w:val="6E3E3F2D"/>
    <w:rsid w:val="715B2F02"/>
    <w:rsid w:val="76A548F2"/>
    <w:rsid w:val="7765772E"/>
    <w:rsid w:val="776F5E62"/>
    <w:rsid w:val="77867685"/>
    <w:rsid w:val="77EE7FE7"/>
    <w:rsid w:val="781F36B6"/>
    <w:rsid w:val="790627AD"/>
    <w:rsid w:val="79DFF8C4"/>
    <w:rsid w:val="7ADC59FA"/>
    <w:rsid w:val="7AFF2FC3"/>
    <w:rsid w:val="7BF6B4C5"/>
    <w:rsid w:val="7DDD794F"/>
    <w:rsid w:val="7DFA6624"/>
    <w:rsid w:val="7DFD8AD7"/>
    <w:rsid w:val="7DFEFB95"/>
    <w:rsid w:val="7ECD6B9A"/>
    <w:rsid w:val="7FBA576D"/>
    <w:rsid w:val="7FDE47D5"/>
    <w:rsid w:val="7FFD003D"/>
    <w:rsid w:val="94BFC172"/>
    <w:rsid w:val="9BFA614C"/>
    <w:rsid w:val="BAFE1E17"/>
    <w:rsid w:val="BBDF5B5A"/>
    <w:rsid w:val="BBE428C2"/>
    <w:rsid w:val="BFBF52D7"/>
    <w:rsid w:val="DF6E82F1"/>
    <w:rsid w:val="DFCEE0CE"/>
    <w:rsid w:val="DFFF7077"/>
    <w:rsid w:val="EEBF76D9"/>
    <w:rsid w:val="F36EF6AC"/>
    <w:rsid w:val="F6FDCC0E"/>
    <w:rsid w:val="F767D450"/>
    <w:rsid w:val="F76FB1DB"/>
    <w:rsid w:val="F7FBEBBF"/>
    <w:rsid w:val="F9F3FBF0"/>
    <w:rsid w:val="FB9F8FA2"/>
    <w:rsid w:val="FDB5389F"/>
    <w:rsid w:val="FFAFB80B"/>
    <w:rsid w:val="FFF9F86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0"/>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2">
    <w:name w:val="Balloon Text"/>
    <w:basedOn w:val="1"/>
    <w:link w:val="9"/>
    <w:qFormat/>
    <w:uiPriority w:val="0"/>
    <w:rPr>
      <w:sz w:val="18"/>
      <w:szCs w:val="18"/>
    </w:rPr>
  </w:style>
  <w:style w:type="paragraph" w:styleId="3">
    <w:name w:val="footer"/>
    <w:basedOn w:val="1"/>
    <w:link w:val="7"/>
    <w:qFormat/>
    <w:uiPriority w:val="99"/>
    <w:pPr>
      <w:tabs>
        <w:tab w:val="center" w:pos="4153"/>
        <w:tab w:val="right" w:pos="8306"/>
      </w:tabs>
      <w:snapToGrid w:val="0"/>
      <w:jc w:val="left"/>
    </w:pPr>
    <w:rPr>
      <w:sz w:val="18"/>
      <w:szCs w:val="18"/>
    </w:rPr>
  </w:style>
  <w:style w:type="paragraph" w:styleId="4">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character" w:customStyle="1" w:styleId="7">
    <w:name w:val="页脚 Char"/>
    <w:basedOn w:val="6"/>
    <w:link w:val="3"/>
    <w:qFormat/>
    <w:uiPriority w:val="99"/>
    <w:rPr>
      <w:rFonts w:eastAsia="仿宋_GB2312"/>
      <w:kern w:val="2"/>
      <w:sz w:val="18"/>
      <w:szCs w:val="18"/>
    </w:rPr>
  </w:style>
  <w:style w:type="character" w:customStyle="1" w:styleId="8">
    <w:name w:val="页眉 Char"/>
    <w:basedOn w:val="6"/>
    <w:link w:val="4"/>
    <w:qFormat/>
    <w:uiPriority w:val="0"/>
    <w:rPr>
      <w:rFonts w:eastAsia="仿宋_GB2312"/>
      <w:kern w:val="2"/>
      <w:sz w:val="18"/>
      <w:szCs w:val="18"/>
    </w:rPr>
  </w:style>
  <w:style w:type="character" w:customStyle="1" w:styleId="9">
    <w:name w:val="批注框文本 Char"/>
    <w:basedOn w:val="6"/>
    <w:link w:val="2"/>
    <w:qFormat/>
    <w:uiPriority w:val="0"/>
    <w:rPr>
      <w:rFonts w:eastAsia="仿宋_GB2312"/>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Pages>
  <Words>71</Words>
  <Characters>410</Characters>
  <Lines>3</Lines>
  <Paragraphs>1</Paragraphs>
  <TotalTime>8</TotalTime>
  <ScaleCrop>false</ScaleCrop>
  <LinksUpToDate>false</LinksUpToDate>
  <CharactersWithSpaces>480</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2019-02-17T06:26:00Z</dcterms:created>
  <dc:creator>lhn</dc:creator>
  <cp:lastModifiedBy>Administrator</cp:lastModifiedBy>
  <cp:lastPrinted>2023-02-24T17:51:00Z</cp:lastPrinted>
  <dcterms:modified xsi:type="dcterms:W3CDTF">2023-04-19T02:12:34Z</dcterms:modified>
  <dc:title>财政支出绩效评价报告</dc:title>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y fmtid="{D5CDD505-2E9C-101B-9397-08002B2CF9AE}" pid="3" name="ICV">
    <vt:lpwstr>E5C982617C7C401A81D828F0A89D619A</vt:lpwstr>
  </property>
</Properties>
</file>