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ascii="仿宋_GB2312" w:hAnsi="华文中宋"/>
          <w:bCs/>
          <w:sz w:val="36"/>
          <w:szCs w:val="44"/>
        </w:rPr>
      </w:pPr>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宋体" w:hAnsi="宋体" w:eastAsia="宋体" w:cs="宋体"/>
          <w:b/>
          <w:sz w:val="36"/>
          <w:szCs w:val="44"/>
        </w:rPr>
      </w:pPr>
      <w:r>
        <w:rPr>
          <w:rFonts w:hint="eastAsia" w:ascii="Arial" w:hAnsi="Arial" w:eastAsia="宋体" w:cs="Arial"/>
          <w:b/>
          <w:sz w:val="36"/>
          <w:szCs w:val="44"/>
          <w:lang w:eastAsia="zh-CN"/>
        </w:rPr>
        <w:t>云南</w:t>
      </w:r>
      <w:r>
        <w:rPr>
          <w:rFonts w:hint="eastAsia" w:ascii="Arial" w:hAnsi="Arial" w:eastAsia="宋体" w:cs="Arial"/>
          <w:b/>
          <w:sz w:val="36"/>
          <w:szCs w:val="44"/>
        </w:rPr>
        <w:t>省</w:t>
      </w:r>
      <w:r>
        <w:rPr>
          <w:rFonts w:hint="eastAsia" w:ascii="Arial" w:hAnsi="Arial" w:eastAsia="宋体" w:cs="Arial"/>
          <w:b/>
          <w:sz w:val="36"/>
          <w:szCs w:val="44"/>
          <w:lang w:eastAsia="zh-CN"/>
        </w:rPr>
        <w:t>昆明市盘龙区耕地地力保护补贴资金</w:t>
      </w:r>
      <w:r>
        <w:rPr>
          <w:rFonts w:hint="eastAsia" w:ascii="宋体" w:hAnsi="宋体" w:eastAsia="宋体" w:cs="宋体"/>
          <w:b/>
          <w:sz w:val="36"/>
          <w:szCs w:val="44"/>
        </w:rPr>
        <w:t>转移支付</w:t>
      </w:r>
      <w:r>
        <w:rPr>
          <w:rFonts w:hint="eastAsia" w:ascii="Arial" w:hAnsi="Arial" w:eastAsia="宋体" w:cs="Arial"/>
          <w:b/>
          <w:sz w:val="36"/>
          <w:szCs w:val="44"/>
        </w:rPr>
        <w:t>20</w:t>
      </w:r>
      <w:r>
        <w:rPr>
          <w:rFonts w:hint="eastAsia" w:ascii="Arial" w:hAnsi="Arial" w:eastAsia="宋体" w:cs="Arial"/>
          <w:b/>
          <w:sz w:val="36"/>
          <w:szCs w:val="44"/>
          <w:lang w:val="en-US" w:eastAsia="zh-CN"/>
        </w:rPr>
        <w:t>22</w:t>
      </w:r>
      <w:r>
        <w:rPr>
          <w:rFonts w:hint="eastAsia" w:ascii="宋体" w:hAnsi="宋体" w:eastAsia="宋体" w:cs="宋体"/>
          <w:b/>
          <w:sz w:val="36"/>
          <w:szCs w:val="44"/>
        </w:rPr>
        <w:t>年度绩效自评报告</w:t>
      </w:r>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宋体" w:hAnsi="宋体" w:eastAsia="宋体" w:cs="宋体"/>
          <w:b/>
          <w:sz w:val="36"/>
          <w:szCs w:val="44"/>
        </w:rPr>
      </w:pP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rPr>
      </w:pPr>
      <w:r>
        <w:rPr>
          <w:rFonts w:hint="eastAsia" w:ascii="黑体" w:hAnsi="黑体" w:eastAsia="黑体" w:cs="黑体"/>
          <w:bCs/>
          <w:szCs w:val="32"/>
        </w:rPr>
        <w:t>一、绩效目标分解下达情况</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outlineLvl w:val="0"/>
        <w:rPr>
          <w:rFonts w:hint="eastAsia" w:ascii="仿宋_GB2312"/>
          <w:szCs w:val="32"/>
          <w:lang w:val="en-US" w:eastAsia="zh-CN"/>
        </w:rPr>
      </w:pPr>
      <w:r>
        <w:rPr>
          <w:rFonts w:hint="eastAsia" w:ascii="仿宋_GB2312"/>
          <w:szCs w:val="32"/>
          <w:lang w:eastAsia="zh-CN"/>
        </w:rPr>
        <w:t>根据昆明市财政局、昆明市农业农村局《关于下达</w:t>
      </w:r>
      <w:r>
        <w:rPr>
          <w:rFonts w:hint="eastAsia" w:ascii="仿宋_GB2312"/>
          <w:szCs w:val="32"/>
          <w:lang w:val="en-US" w:eastAsia="zh-CN"/>
        </w:rPr>
        <w:t>2022年中央耕地地力保护补贴资金的通知</w:t>
      </w:r>
      <w:r>
        <w:rPr>
          <w:rFonts w:hint="eastAsia" w:ascii="仿宋_GB2312"/>
          <w:szCs w:val="32"/>
          <w:lang w:eastAsia="zh-CN"/>
        </w:rPr>
        <w:t>》（昆财金</w:t>
      </w:r>
      <w:r>
        <w:rPr>
          <w:rFonts w:hint="eastAsia" w:ascii="仿宋_GB2312"/>
          <w:szCs w:val="32"/>
          <w:lang w:val="en-US" w:eastAsia="zh-CN"/>
        </w:rPr>
        <w:t>[2022]5号</w:t>
      </w:r>
      <w:r>
        <w:rPr>
          <w:rFonts w:hint="eastAsia" w:ascii="仿宋_GB2312"/>
          <w:szCs w:val="32"/>
          <w:lang w:eastAsia="zh-CN"/>
        </w:rPr>
        <w:t>），安排盘龙区中央</w:t>
      </w:r>
      <w:r>
        <w:rPr>
          <w:rFonts w:hint="eastAsia" w:ascii="仿宋_GB2312"/>
          <w:szCs w:val="32"/>
          <w:lang w:val="en-US" w:eastAsia="zh-CN"/>
        </w:rPr>
        <w:t>耕地地力保护补贴</w:t>
      </w:r>
      <w:r>
        <w:rPr>
          <w:rFonts w:hint="eastAsia" w:ascii="仿宋_GB2312"/>
          <w:szCs w:val="32"/>
          <w:lang w:eastAsia="zh-CN"/>
        </w:rPr>
        <w:t>资金</w:t>
      </w:r>
      <w:r>
        <w:rPr>
          <w:rFonts w:hint="eastAsia" w:ascii="仿宋_GB2312"/>
          <w:szCs w:val="32"/>
          <w:lang w:val="en-US" w:eastAsia="zh-CN"/>
        </w:rPr>
        <w:t>806万元。</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highlight w:val="none"/>
        </w:rPr>
      </w:pPr>
      <w:r>
        <w:rPr>
          <w:rFonts w:hint="eastAsia" w:ascii="黑体" w:hAnsi="黑体" w:eastAsia="黑体" w:cs="黑体"/>
          <w:bCs/>
          <w:szCs w:val="32"/>
          <w:highlight w:val="none"/>
        </w:rPr>
        <w:t>二、</w:t>
      </w:r>
      <w:r>
        <w:rPr>
          <w:rFonts w:hint="eastAsia" w:ascii="黑体" w:hAnsi="黑体" w:eastAsia="黑体" w:cs="黑体"/>
          <w:bCs/>
          <w:szCs w:val="32"/>
          <w:highlight w:val="none"/>
          <w:lang w:eastAsia="zh-CN"/>
        </w:rPr>
        <w:t>绩效</w:t>
      </w:r>
      <w:r>
        <w:rPr>
          <w:rFonts w:hint="eastAsia" w:ascii="黑体" w:hAnsi="黑体" w:eastAsia="黑体" w:cs="黑体"/>
          <w:bCs/>
          <w:szCs w:val="32"/>
          <w:highlight w:val="none"/>
        </w:rPr>
        <w:t>情况分析</w:t>
      </w:r>
    </w:p>
    <w:p>
      <w:pPr>
        <w:keepNext w:val="0"/>
        <w:keepLines w:val="0"/>
        <w:pageBreakBefore w:val="0"/>
        <w:widowControl w:val="0"/>
        <w:kinsoku/>
        <w:wordWrap/>
        <w:overflowPunct/>
        <w:topLinePunct w:val="0"/>
        <w:autoSpaceDE/>
        <w:autoSpaceDN/>
        <w:bidi w:val="0"/>
        <w:adjustRightInd/>
        <w:snapToGrid w:val="0"/>
        <w:spacing w:line="580" w:lineRule="exact"/>
        <w:ind w:firstLine="602" w:firstLineChars="200"/>
        <w:textAlignment w:val="auto"/>
        <w:outlineLvl w:val="0"/>
        <w:rPr>
          <w:rFonts w:hint="eastAsia" w:ascii="仿宋_GB2312" w:hAnsi="仿宋_GB2312" w:eastAsia="仿宋_GB2312" w:cs="仿宋_GB2312"/>
          <w:b w:val="0"/>
          <w:bCs w:val="0"/>
          <w:szCs w:val="32"/>
          <w:highlight w:val="none"/>
          <w:lang w:eastAsia="zh-CN"/>
        </w:rPr>
      </w:pPr>
      <w:r>
        <w:rPr>
          <w:rFonts w:hint="eastAsia" w:ascii="楷体_GB2312" w:hAnsi="楷体_GB2312" w:eastAsia="楷体_GB2312" w:cs="楷体_GB2312"/>
          <w:b/>
          <w:bCs/>
          <w:szCs w:val="32"/>
          <w:highlight w:val="none"/>
        </w:rPr>
        <w:t>（一）资金投入情况分析。</w:t>
      </w:r>
      <w:r>
        <w:rPr>
          <w:rFonts w:hint="eastAsia" w:ascii="仿宋_GB2312" w:hAnsi="仿宋_GB2312" w:eastAsia="仿宋_GB2312" w:cs="仿宋_GB2312"/>
          <w:b w:val="0"/>
          <w:bCs w:val="0"/>
          <w:szCs w:val="32"/>
          <w:highlight w:val="none"/>
          <w:lang w:eastAsia="zh-CN"/>
        </w:rPr>
        <w:t>（分析资金</w:t>
      </w:r>
      <w:r>
        <w:rPr>
          <w:rFonts w:hint="eastAsia" w:ascii="仿宋_GB2312" w:hAnsi="仿宋_GB2312" w:cs="仿宋_GB2312"/>
          <w:b w:val="0"/>
          <w:bCs w:val="0"/>
          <w:szCs w:val="32"/>
          <w:highlight w:val="none"/>
          <w:lang w:eastAsia="zh-CN"/>
        </w:rPr>
        <w:t>投入及</w:t>
      </w:r>
      <w:r>
        <w:rPr>
          <w:rFonts w:hint="eastAsia" w:ascii="仿宋_GB2312" w:hAnsi="仿宋_GB2312" w:eastAsia="仿宋_GB2312" w:cs="仿宋_GB2312"/>
          <w:b w:val="0"/>
          <w:bCs w:val="0"/>
          <w:szCs w:val="32"/>
          <w:highlight w:val="none"/>
          <w:lang w:eastAsia="zh-CN"/>
        </w:rPr>
        <w:t>执行情况）</w:t>
      </w:r>
    </w:p>
    <w:p>
      <w:pPr>
        <w:ind w:firstLine="640" w:firstLineChars="200"/>
        <w:outlineLvl w:val="0"/>
        <w:rPr>
          <w:rFonts w:ascii="Times New Roman" w:hAnsi="Times New Roman" w:eastAsia="仿宋_GB2312" w:cs="Times New Roman"/>
          <w:color w:val="000000"/>
          <w:kern w:val="0"/>
          <w:sz w:val="32"/>
          <w:szCs w:val="32"/>
        </w:rPr>
      </w:pPr>
      <w:r>
        <w:rPr>
          <w:rFonts w:hint="eastAsia" w:ascii="仿宋" w:hAnsi="仿宋" w:eastAsia="仿宋" w:cs="仿宋"/>
          <w:sz w:val="32"/>
          <w:szCs w:val="32"/>
          <w:lang w:val="en-US" w:eastAsia="zh-CN"/>
        </w:rPr>
        <w:t>2022年</w:t>
      </w:r>
      <w:r>
        <w:rPr>
          <w:rFonts w:hint="eastAsia" w:ascii="仿宋" w:hAnsi="仿宋" w:eastAsia="仿宋" w:cs="仿宋"/>
          <w:sz w:val="32"/>
          <w:szCs w:val="32"/>
        </w:rPr>
        <w:t>下达盘龙区耕地力保护资金</w:t>
      </w:r>
      <w:r>
        <w:rPr>
          <w:rFonts w:hint="eastAsia" w:ascii="仿宋" w:hAnsi="仿宋" w:eastAsia="仿宋" w:cs="仿宋"/>
          <w:sz w:val="32"/>
          <w:szCs w:val="32"/>
          <w:lang w:val="en-US" w:eastAsia="zh-CN"/>
        </w:rPr>
        <w:t>8060000</w:t>
      </w:r>
      <w:r>
        <w:rPr>
          <w:rFonts w:hint="eastAsia" w:ascii="仿宋" w:hAnsi="仿宋" w:eastAsia="仿宋" w:cs="仿宋"/>
          <w:sz w:val="32"/>
          <w:szCs w:val="32"/>
        </w:rPr>
        <w:t>元，</w:t>
      </w:r>
      <w:r>
        <w:rPr>
          <w:rFonts w:hint="eastAsia" w:ascii="仿宋" w:hAnsi="仿宋" w:eastAsia="仿宋" w:cs="仿宋"/>
          <w:sz w:val="32"/>
          <w:szCs w:val="32"/>
          <w:lang w:eastAsia="zh-CN"/>
        </w:rPr>
        <w:t>上年结余</w:t>
      </w:r>
      <w:r>
        <w:rPr>
          <w:rFonts w:hint="eastAsia" w:ascii="仿宋" w:hAnsi="仿宋" w:eastAsia="仿宋" w:cs="仿宋"/>
          <w:sz w:val="32"/>
          <w:szCs w:val="32"/>
          <w:lang w:val="en-US" w:eastAsia="zh-CN"/>
        </w:rPr>
        <w:t>47896.85元</w:t>
      </w:r>
      <w:r>
        <w:rPr>
          <w:rFonts w:hint="eastAsia" w:ascii="仿宋" w:hAnsi="仿宋" w:eastAsia="仿宋" w:cs="仿宋"/>
          <w:sz w:val="32"/>
          <w:szCs w:val="32"/>
        </w:rPr>
        <w:t>，合计</w:t>
      </w:r>
      <w:r>
        <w:rPr>
          <w:rFonts w:hint="eastAsia" w:ascii="仿宋" w:hAnsi="仿宋" w:eastAsia="仿宋" w:cs="仿宋"/>
          <w:sz w:val="32"/>
          <w:szCs w:val="32"/>
          <w:lang w:val="en-US" w:eastAsia="zh-CN"/>
        </w:rPr>
        <w:t>8107896.85</w:t>
      </w:r>
      <w:r>
        <w:rPr>
          <w:rFonts w:hint="eastAsia" w:ascii="仿宋" w:hAnsi="仿宋" w:eastAsia="仿宋" w:cs="仿宋"/>
          <w:sz w:val="32"/>
          <w:szCs w:val="32"/>
        </w:rPr>
        <w:t>元。</w:t>
      </w:r>
      <w:r>
        <w:rPr>
          <w:rFonts w:hint="eastAsia" w:ascii="Times New Roman" w:hAnsi="Times New Roman" w:eastAsia="仿宋_GB2312" w:cs="Times New Roman"/>
          <w:color w:val="000000"/>
          <w:kern w:val="0"/>
          <w:sz w:val="32"/>
          <w:szCs w:val="32"/>
        </w:rPr>
        <w:t>上级资金由农业农村局建立项目库，进行指标挂接下达。</w:t>
      </w:r>
    </w:p>
    <w:p>
      <w:pPr>
        <w:keepNext w:val="0"/>
        <w:keepLines w:val="0"/>
        <w:pageBreakBefore w:val="0"/>
        <w:widowControl w:val="0"/>
        <w:numPr>
          <w:ilvl w:val="0"/>
          <w:numId w:val="1"/>
        </w:numPr>
        <w:kinsoku/>
        <w:wordWrap/>
        <w:overflowPunct/>
        <w:topLinePunct w:val="0"/>
        <w:autoSpaceDE/>
        <w:autoSpaceDN/>
        <w:bidi w:val="0"/>
        <w:adjustRightInd/>
        <w:snapToGrid w:val="0"/>
        <w:spacing w:line="580" w:lineRule="exact"/>
        <w:ind w:firstLine="602" w:firstLineChars="200"/>
        <w:textAlignment w:val="auto"/>
        <w:outlineLvl w:val="0"/>
        <w:rPr>
          <w:rFonts w:hint="eastAsia" w:ascii="仿宋_GB2312" w:hAnsi="仿宋_GB2312" w:cs="仿宋_GB2312"/>
          <w:b w:val="0"/>
          <w:bCs w:val="0"/>
          <w:szCs w:val="32"/>
          <w:highlight w:val="none"/>
          <w:lang w:eastAsia="zh-CN"/>
        </w:rPr>
      </w:pPr>
      <w:r>
        <w:rPr>
          <w:rFonts w:hint="eastAsia" w:ascii="楷体_GB2312" w:hAnsi="楷体_GB2312" w:eastAsia="楷体_GB2312" w:cs="楷体_GB2312"/>
          <w:b/>
          <w:bCs/>
          <w:szCs w:val="32"/>
          <w:highlight w:val="none"/>
          <w:lang w:eastAsia="zh-CN"/>
        </w:rPr>
        <w:t>资金管理情况分析。</w:t>
      </w:r>
      <w:r>
        <w:rPr>
          <w:rFonts w:hint="eastAsia" w:ascii="仿宋_GB2312" w:hAnsi="仿宋_GB2312" w:cs="仿宋_GB2312"/>
          <w:b w:val="0"/>
          <w:bCs w:val="0"/>
          <w:szCs w:val="32"/>
          <w:highlight w:val="none"/>
          <w:lang w:eastAsia="zh-CN"/>
        </w:rPr>
        <w:t>（分析资金分配、下达、拨付、使用、执行、预算绩效管理、支出责任履行等情况）</w:t>
      </w:r>
    </w:p>
    <w:p>
      <w:pPr>
        <w:ind w:firstLine="640" w:firstLineChars="200"/>
        <w:outlineLvl w:val="0"/>
        <w:rPr>
          <w:rFonts w:hint="eastAsia" w:ascii="仿宋" w:hAnsi="仿宋" w:eastAsia="仿宋" w:cs="仿宋"/>
          <w:sz w:val="32"/>
          <w:szCs w:val="32"/>
        </w:rPr>
      </w:pPr>
      <w:r>
        <w:rPr>
          <w:rFonts w:hint="eastAsia" w:ascii="仿宋" w:hAnsi="仿宋" w:eastAsia="仿宋" w:cs="仿宋"/>
          <w:sz w:val="32"/>
          <w:szCs w:val="32"/>
          <w:lang w:val="en-US" w:eastAsia="zh-CN"/>
        </w:rPr>
        <w:t>2022年</w:t>
      </w:r>
      <w:r>
        <w:rPr>
          <w:rFonts w:hint="eastAsia" w:ascii="仿宋" w:hAnsi="仿宋" w:eastAsia="仿宋" w:cs="仿宋"/>
          <w:sz w:val="32"/>
          <w:szCs w:val="32"/>
        </w:rPr>
        <w:t>下达盘龙区耕地力保护资金</w:t>
      </w:r>
      <w:r>
        <w:rPr>
          <w:rFonts w:hint="eastAsia" w:ascii="仿宋" w:hAnsi="仿宋" w:eastAsia="仿宋" w:cs="仿宋"/>
          <w:sz w:val="32"/>
          <w:szCs w:val="32"/>
          <w:lang w:val="en-US" w:eastAsia="zh-CN"/>
        </w:rPr>
        <w:t>8060000</w:t>
      </w:r>
      <w:r>
        <w:rPr>
          <w:rFonts w:hint="eastAsia" w:ascii="仿宋" w:hAnsi="仿宋" w:eastAsia="仿宋" w:cs="仿宋"/>
          <w:sz w:val="32"/>
          <w:szCs w:val="32"/>
        </w:rPr>
        <w:t>元，</w:t>
      </w:r>
      <w:r>
        <w:rPr>
          <w:rFonts w:hint="eastAsia" w:ascii="仿宋" w:hAnsi="仿宋" w:eastAsia="仿宋" w:cs="仿宋"/>
          <w:sz w:val="32"/>
          <w:szCs w:val="32"/>
          <w:lang w:eastAsia="zh-CN"/>
        </w:rPr>
        <w:t>上年结余</w:t>
      </w:r>
      <w:r>
        <w:rPr>
          <w:rFonts w:hint="eastAsia" w:ascii="仿宋" w:hAnsi="仿宋" w:eastAsia="仿宋" w:cs="仿宋"/>
          <w:sz w:val="32"/>
          <w:szCs w:val="32"/>
          <w:lang w:val="en-US" w:eastAsia="zh-CN"/>
        </w:rPr>
        <w:t>47896.85元</w:t>
      </w:r>
      <w:r>
        <w:rPr>
          <w:rFonts w:hint="eastAsia" w:ascii="仿宋" w:hAnsi="仿宋" w:eastAsia="仿宋" w:cs="仿宋"/>
          <w:sz w:val="32"/>
          <w:szCs w:val="32"/>
        </w:rPr>
        <w:t>，合计</w:t>
      </w:r>
      <w:r>
        <w:rPr>
          <w:rFonts w:hint="eastAsia" w:ascii="仿宋" w:hAnsi="仿宋" w:eastAsia="仿宋" w:cs="仿宋"/>
          <w:sz w:val="32"/>
          <w:szCs w:val="32"/>
          <w:lang w:val="en-US" w:eastAsia="zh-CN"/>
        </w:rPr>
        <w:t>8107896.85</w:t>
      </w:r>
      <w:r>
        <w:rPr>
          <w:rFonts w:hint="eastAsia" w:ascii="仿宋" w:hAnsi="仿宋" w:eastAsia="仿宋" w:cs="仿宋"/>
          <w:sz w:val="32"/>
          <w:szCs w:val="32"/>
        </w:rPr>
        <w:t>元。按照各街大小春粮食种植面积，经区农业农村局审核的补贴面积</w:t>
      </w:r>
      <w:r>
        <w:rPr>
          <w:rFonts w:hint="eastAsia" w:ascii="仿宋" w:hAnsi="仿宋" w:eastAsia="仿宋" w:cs="仿宋"/>
          <w:sz w:val="32"/>
          <w:szCs w:val="32"/>
          <w:lang w:val="en-US" w:eastAsia="zh-CN"/>
        </w:rPr>
        <w:t>126335.8</w:t>
      </w:r>
      <w:r>
        <w:rPr>
          <w:rFonts w:hint="eastAsia" w:ascii="仿宋" w:hAnsi="仿宋" w:eastAsia="仿宋" w:cs="仿宋"/>
          <w:sz w:val="32"/>
          <w:szCs w:val="32"/>
        </w:rPr>
        <w:t>亩测算，每亩补贴标准调整按</w:t>
      </w:r>
      <w:r>
        <w:rPr>
          <w:rFonts w:hint="eastAsia" w:ascii="仿宋" w:hAnsi="仿宋" w:eastAsia="仿宋" w:cs="仿宋"/>
          <w:sz w:val="32"/>
          <w:szCs w:val="32"/>
          <w:lang w:val="en-US" w:eastAsia="zh-CN"/>
        </w:rPr>
        <w:t>64.15</w:t>
      </w:r>
      <w:r>
        <w:rPr>
          <w:rFonts w:hint="eastAsia" w:ascii="仿宋" w:hAnsi="仿宋" w:eastAsia="仿宋" w:cs="仿宋"/>
          <w:sz w:val="32"/>
          <w:szCs w:val="32"/>
        </w:rPr>
        <w:t>元进行兑付，</w:t>
      </w:r>
      <w:r>
        <w:rPr>
          <w:rFonts w:hint="eastAsia" w:ascii="仿宋" w:hAnsi="仿宋" w:eastAsia="仿宋" w:cs="仿宋"/>
          <w:sz w:val="32"/>
          <w:szCs w:val="32"/>
          <w:lang w:eastAsia="zh-CN"/>
        </w:rPr>
        <w:t>使用资金</w:t>
      </w:r>
      <w:r>
        <w:rPr>
          <w:rFonts w:hint="eastAsia" w:ascii="仿宋" w:hAnsi="仿宋" w:eastAsia="仿宋" w:cs="仿宋"/>
          <w:sz w:val="32"/>
          <w:szCs w:val="32"/>
          <w:lang w:val="en-US" w:eastAsia="zh-CN"/>
        </w:rPr>
        <w:t>8104457.42元（出现误差0.25亩15.85元），剩余资金3439.43万元，结转下年使用</w:t>
      </w:r>
      <w:r>
        <w:rPr>
          <w:rFonts w:hint="eastAsia" w:ascii="仿宋" w:hAnsi="仿宋" w:eastAsia="仿宋" w:cs="仿宋"/>
          <w:sz w:val="32"/>
          <w:szCs w:val="32"/>
        </w:rPr>
        <w:t>。</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（1）补贴对象。全区拥有耕地承包权的种地农民。</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（2）补贴分配依据。为充分调动农民务农种粮积极性，保持政策连续性</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盘龙区按照2022年大小春实际</w:t>
      </w:r>
      <w:r>
        <w:rPr>
          <w:rFonts w:hint="eastAsia" w:ascii="仿宋" w:hAnsi="仿宋" w:eastAsia="仿宋" w:cs="仿宋"/>
          <w:kern w:val="0"/>
          <w:sz w:val="32"/>
          <w:szCs w:val="32"/>
        </w:rPr>
        <w:t>播种面积</w:t>
      </w:r>
      <w:r>
        <w:rPr>
          <w:rFonts w:hint="eastAsia" w:ascii="仿宋" w:hAnsi="仿宋" w:eastAsia="仿宋" w:cs="仿宋"/>
          <w:sz w:val="32"/>
          <w:szCs w:val="32"/>
          <w:lang w:val="en-US" w:eastAsia="zh-CN"/>
        </w:rPr>
        <w:t>126335.8</w:t>
      </w:r>
      <w:r>
        <w:rPr>
          <w:rFonts w:hint="eastAsia" w:ascii="仿宋" w:hAnsi="仿宋" w:eastAsia="仿宋" w:cs="仿宋"/>
          <w:kern w:val="0"/>
          <w:sz w:val="32"/>
          <w:szCs w:val="32"/>
          <w:lang w:eastAsia="zh-CN"/>
        </w:rPr>
        <w:t>进行</w:t>
      </w:r>
      <w:r>
        <w:rPr>
          <w:rFonts w:hint="eastAsia" w:ascii="仿宋" w:hAnsi="仿宋" w:eastAsia="仿宋" w:cs="仿宋"/>
          <w:kern w:val="0"/>
          <w:sz w:val="32"/>
          <w:szCs w:val="32"/>
        </w:rPr>
        <w:t>每亩补贴资金的测算依据。</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（3）补贴标准。全区平均每亩补贴资金=市级下拨盘龙区的农业支持保护补贴总资金÷市级下达盘龙区粮食作物计划播种面积测算确定。</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（4）补贴用途。为加强农业耕地及生态资源保护，补贴资金要引导农民主要用于以下方面：</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a.减少农药、化肥施用量，用好畜禽粪便，增施农家肥；</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b.鼓励有效利用农作物秸秆，禁止焚烧秸秆，鼓励秸秆堆渥、粉碎还田，鼓励秸秆青贮发展草食畜牧业；</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c.大力发展节水农业，鼓励发展喷灌、滴灌、管浇等节水农业措施，推广水肥一体化，主动保护地力；</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d.鼓励深松整地，改善土壤耕作层结构，提高蓄水保墒和抗旱能力；</w:t>
      </w:r>
    </w:p>
    <w:p>
      <w:pPr>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e.其他有利于耕地地力保护、提升的措施。</w:t>
      </w:r>
    </w:p>
    <w:p>
      <w:pPr>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（5）补贴资金分配。</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以上一年度上报市级粮食作物计划播种面积行业统计为测算依据按以下公式计算补贴资金：</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某街道的补贴金额=该街道粮食计划播种面积×街道计划粮播面积占全区计划粮播面积系数×全区农业支持保护补贴（耕地地力保护资金）×绩效评价结果（20</w:t>
      </w:r>
      <w:r>
        <w:rPr>
          <w:rFonts w:hint="eastAsia" w:ascii="仿宋" w:hAnsi="仿宋" w:eastAsia="仿宋" w:cs="仿宋"/>
          <w:kern w:val="0"/>
          <w:sz w:val="32"/>
          <w:szCs w:val="32"/>
          <w:lang w:val="en-US" w:eastAsia="zh-CN"/>
        </w:rPr>
        <w:t>20</w:t>
      </w:r>
      <w:r>
        <w:rPr>
          <w:rFonts w:hint="eastAsia" w:ascii="仿宋" w:hAnsi="仿宋" w:eastAsia="仿宋" w:cs="仿宋"/>
          <w:kern w:val="0"/>
          <w:sz w:val="32"/>
          <w:szCs w:val="32"/>
        </w:rPr>
        <w:t>年分配资金时将引入201</w:t>
      </w:r>
      <w:r>
        <w:rPr>
          <w:rFonts w:hint="eastAsia" w:ascii="仿宋" w:hAnsi="仿宋" w:eastAsia="仿宋" w:cs="仿宋"/>
          <w:kern w:val="0"/>
          <w:sz w:val="32"/>
          <w:szCs w:val="32"/>
          <w:lang w:val="en-US" w:eastAsia="zh-CN"/>
        </w:rPr>
        <w:t>9</w:t>
      </w:r>
      <w:r>
        <w:rPr>
          <w:rFonts w:hint="eastAsia" w:ascii="仿宋" w:hAnsi="仿宋" w:eastAsia="仿宋" w:cs="仿宋"/>
          <w:kern w:val="0"/>
          <w:sz w:val="32"/>
          <w:szCs w:val="32"/>
        </w:rPr>
        <w:t>年绩效评价结果）。</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测算分配到各街道的耕地地力保护资金，包干使用，超出不补。如有结余，可以“以丰补歉”，用于下年补贴资金，也可以统筹用于耕地地力保护工作，探索建立补贴资金与耕地力保护挂钩的激励约束机制，鼓励农民将补贴资金用于上述规定用途，加强地力保护。结余资金原则上应于下一年度全部使用完毕。</w:t>
      </w:r>
    </w:p>
    <w:p>
      <w:pPr>
        <w:ind w:firstLine="480" w:firstLineChars="150"/>
        <w:rPr>
          <w:rFonts w:hint="eastAsia" w:ascii="仿宋" w:hAnsi="仿宋" w:eastAsia="仿宋" w:cs="仿宋"/>
          <w:sz w:val="32"/>
          <w:szCs w:val="32"/>
        </w:rPr>
      </w:pPr>
      <w:r>
        <w:rPr>
          <w:rFonts w:hint="eastAsia" w:ascii="仿宋" w:hAnsi="仿宋" w:eastAsia="仿宋" w:cs="仿宋"/>
          <w:kern w:val="0"/>
          <w:sz w:val="32"/>
          <w:szCs w:val="32"/>
        </w:rPr>
        <w:t>（6）补贴兑付。“农业支持保护补贴”资金纳入“粮食风险基金专户”管理，实行封闭运行，区财政局严格按照《盘龙区惠农补贴“一折通”资金发放管理细则》，将补贴资金兑付到种地农民手中。</w:t>
      </w:r>
    </w:p>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02" w:firstLineChars="200"/>
        <w:textAlignment w:val="auto"/>
        <w:outlineLvl w:val="0"/>
        <w:rPr>
          <w:rFonts w:hint="eastAsia" w:ascii="仿宋_GB2312" w:hAnsi="仿宋_GB2312" w:eastAsia="仿宋_GB2312" w:cs="仿宋_GB2312"/>
          <w:b w:val="0"/>
          <w:bCs w:val="0"/>
          <w:szCs w:val="32"/>
          <w:lang w:eastAsia="zh-CN"/>
        </w:rPr>
      </w:pPr>
      <w:r>
        <w:rPr>
          <w:rFonts w:hint="eastAsia" w:ascii="楷体_GB2312" w:hAnsi="楷体_GB2312" w:eastAsia="楷体_GB2312" w:cs="楷体_GB2312"/>
          <w:b/>
          <w:bCs/>
          <w:szCs w:val="32"/>
          <w:lang w:eastAsia="zh-CN"/>
        </w:rPr>
        <w:t>（三）</w:t>
      </w:r>
      <w:r>
        <w:rPr>
          <w:rFonts w:hint="eastAsia" w:ascii="楷体_GB2312" w:hAnsi="楷体_GB2312" w:eastAsia="楷体_GB2312" w:cs="楷体_GB2312"/>
          <w:b/>
          <w:bCs/>
          <w:szCs w:val="32"/>
        </w:rPr>
        <w:t>总体绩效目标完成情况分析。</w:t>
      </w:r>
      <w:r>
        <w:rPr>
          <w:rFonts w:hint="eastAsia" w:ascii="仿宋_GB2312" w:hAnsi="仿宋_GB2312" w:eastAsia="仿宋_GB2312" w:cs="仿宋_GB2312"/>
          <w:b w:val="0"/>
          <w:bCs w:val="0"/>
          <w:szCs w:val="32"/>
          <w:lang w:eastAsia="zh-CN"/>
        </w:rPr>
        <w:t>（对照总体目标分析全年实际完成情况）</w:t>
      </w:r>
    </w:p>
    <w:p>
      <w:pPr>
        <w:ind w:firstLine="640" w:firstLineChars="200"/>
        <w:outlineLvl w:val="0"/>
        <w:rPr>
          <w:rFonts w:hint="eastAsia" w:ascii="楷体_GB2312" w:hAnsi="楷体_GB2312" w:eastAsia="楷体_GB2312" w:cs="楷体_GB2312"/>
          <w:b/>
          <w:bCs/>
          <w:szCs w:val="32"/>
          <w:lang w:eastAsia="zh-CN"/>
        </w:rPr>
      </w:pPr>
      <w:r>
        <w:rPr>
          <w:rFonts w:hint="eastAsia" w:ascii="仿宋" w:hAnsi="仿宋" w:eastAsia="仿宋" w:cs="仿宋"/>
          <w:sz w:val="32"/>
          <w:szCs w:val="32"/>
          <w:lang w:val="en-US" w:eastAsia="zh-CN"/>
        </w:rPr>
        <w:t>2022年</w:t>
      </w:r>
      <w:r>
        <w:rPr>
          <w:rFonts w:hint="eastAsia" w:ascii="仿宋" w:hAnsi="仿宋" w:eastAsia="仿宋" w:cs="仿宋"/>
          <w:sz w:val="32"/>
          <w:szCs w:val="32"/>
        </w:rPr>
        <w:t>下达盘龙区耕地力保护资金</w:t>
      </w:r>
      <w:r>
        <w:rPr>
          <w:rFonts w:hint="eastAsia" w:ascii="仿宋" w:hAnsi="仿宋" w:eastAsia="仿宋" w:cs="仿宋"/>
          <w:sz w:val="32"/>
          <w:szCs w:val="32"/>
          <w:lang w:val="en-US" w:eastAsia="zh-CN"/>
        </w:rPr>
        <w:t>8060000</w:t>
      </w:r>
      <w:r>
        <w:rPr>
          <w:rFonts w:hint="eastAsia" w:ascii="仿宋" w:hAnsi="仿宋" w:eastAsia="仿宋" w:cs="仿宋"/>
          <w:sz w:val="32"/>
          <w:szCs w:val="32"/>
        </w:rPr>
        <w:t>元，</w:t>
      </w:r>
      <w:r>
        <w:rPr>
          <w:rFonts w:hint="eastAsia" w:ascii="仿宋" w:hAnsi="仿宋" w:eastAsia="仿宋" w:cs="仿宋"/>
          <w:sz w:val="32"/>
          <w:szCs w:val="32"/>
          <w:lang w:eastAsia="zh-CN"/>
        </w:rPr>
        <w:t>上年结余</w:t>
      </w:r>
      <w:r>
        <w:rPr>
          <w:rFonts w:hint="eastAsia" w:ascii="仿宋" w:hAnsi="仿宋" w:eastAsia="仿宋" w:cs="仿宋"/>
          <w:sz w:val="32"/>
          <w:szCs w:val="32"/>
          <w:lang w:val="en-US" w:eastAsia="zh-CN"/>
        </w:rPr>
        <w:t>47896.85元</w:t>
      </w:r>
      <w:r>
        <w:rPr>
          <w:rFonts w:hint="eastAsia" w:ascii="仿宋" w:hAnsi="仿宋" w:eastAsia="仿宋" w:cs="仿宋"/>
          <w:sz w:val="32"/>
          <w:szCs w:val="32"/>
        </w:rPr>
        <w:t>，合计</w:t>
      </w:r>
      <w:r>
        <w:rPr>
          <w:rFonts w:hint="eastAsia" w:ascii="仿宋" w:hAnsi="仿宋" w:eastAsia="仿宋" w:cs="仿宋"/>
          <w:sz w:val="32"/>
          <w:szCs w:val="32"/>
          <w:lang w:val="en-US" w:eastAsia="zh-CN"/>
        </w:rPr>
        <w:t>8107896.85</w:t>
      </w:r>
      <w:r>
        <w:rPr>
          <w:rFonts w:hint="eastAsia" w:ascii="仿宋" w:hAnsi="仿宋" w:eastAsia="仿宋" w:cs="仿宋"/>
          <w:sz w:val="32"/>
          <w:szCs w:val="32"/>
        </w:rPr>
        <w:t>元。按照各街大小春粮食种植面积，经区农业农村局审核的补贴面积</w:t>
      </w:r>
      <w:r>
        <w:rPr>
          <w:rFonts w:hint="eastAsia" w:ascii="仿宋" w:hAnsi="仿宋" w:eastAsia="仿宋" w:cs="仿宋"/>
          <w:sz w:val="32"/>
          <w:szCs w:val="32"/>
          <w:lang w:val="en-US" w:eastAsia="zh-CN"/>
        </w:rPr>
        <w:t>126335.8</w:t>
      </w:r>
      <w:r>
        <w:rPr>
          <w:rFonts w:hint="eastAsia" w:ascii="仿宋" w:hAnsi="仿宋" w:eastAsia="仿宋" w:cs="仿宋"/>
          <w:sz w:val="32"/>
          <w:szCs w:val="32"/>
        </w:rPr>
        <w:t>亩测算，每亩补贴标准调整按</w:t>
      </w:r>
      <w:r>
        <w:rPr>
          <w:rFonts w:hint="eastAsia" w:ascii="仿宋" w:hAnsi="仿宋" w:eastAsia="仿宋" w:cs="仿宋"/>
          <w:sz w:val="32"/>
          <w:szCs w:val="32"/>
          <w:lang w:val="en-US" w:eastAsia="zh-CN"/>
        </w:rPr>
        <w:t>64.15</w:t>
      </w:r>
      <w:r>
        <w:rPr>
          <w:rFonts w:hint="eastAsia" w:ascii="仿宋" w:hAnsi="仿宋" w:eastAsia="仿宋" w:cs="仿宋"/>
          <w:sz w:val="32"/>
          <w:szCs w:val="32"/>
        </w:rPr>
        <w:t>元进行兑付，</w:t>
      </w:r>
      <w:r>
        <w:rPr>
          <w:rFonts w:hint="eastAsia" w:ascii="仿宋" w:hAnsi="仿宋" w:eastAsia="仿宋" w:cs="仿宋"/>
          <w:sz w:val="32"/>
          <w:szCs w:val="32"/>
          <w:lang w:eastAsia="zh-CN"/>
        </w:rPr>
        <w:t>使用资金</w:t>
      </w:r>
      <w:r>
        <w:rPr>
          <w:rFonts w:hint="eastAsia" w:ascii="仿宋" w:hAnsi="仿宋" w:eastAsia="仿宋" w:cs="仿宋"/>
          <w:sz w:val="32"/>
          <w:szCs w:val="32"/>
          <w:lang w:val="en-US" w:eastAsia="zh-CN"/>
        </w:rPr>
        <w:t>8104457.42元（出现误差0.25亩15.85元），剩余资金3439.43万元，结转下年使用</w:t>
      </w:r>
      <w:r>
        <w:rPr>
          <w:rFonts w:hint="eastAsia" w:ascii="仿宋" w:hAnsi="仿宋" w:eastAsia="仿宋" w:cs="仿宋"/>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02" w:firstLineChars="200"/>
        <w:textAlignment w:val="auto"/>
        <w:outlineLvl w:val="0"/>
        <w:rPr>
          <w:rFonts w:hint="eastAsia" w:ascii="仿宋_GB2312"/>
          <w:szCs w:val="32"/>
        </w:rPr>
      </w:pPr>
      <w:r>
        <w:rPr>
          <w:rFonts w:hint="eastAsia" w:ascii="楷体_GB2312" w:hAnsi="楷体_GB2312" w:eastAsia="楷体_GB2312" w:cs="楷体_GB2312"/>
          <w:b/>
          <w:bCs/>
          <w:szCs w:val="32"/>
          <w:lang w:eastAsia="zh-CN"/>
        </w:rPr>
        <w:t>（四）</w:t>
      </w:r>
      <w:r>
        <w:rPr>
          <w:rFonts w:hint="eastAsia" w:ascii="楷体_GB2312" w:hAnsi="楷体_GB2312" w:eastAsia="楷体_GB2312" w:cs="楷体_GB2312"/>
          <w:b/>
          <w:bCs/>
          <w:szCs w:val="32"/>
        </w:rPr>
        <w:t>绩效指标完成情况分析。</w:t>
      </w:r>
      <w:r>
        <w:rPr>
          <w:rFonts w:hint="eastAsia" w:ascii="仿宋_GB2312"/>
          <w:szCs w:val="32"/>
        </w:rPr>
        <w:t>（</w:t>
      </w:r>
      <w:r>
        <w:rPr>
          <w:rFonts w:hint="eastAsia" w:ascii="仿宋_GB2312"/>
          <w:szCs w:val="32"/>
          <w:lang w:eastAsia="zh-CN"/>
        </w:rPr>
        <w:t>根据各三级绩效指标值，逐项分析全年实际完成情况</w:t>
      </w:r>
      <w:r>
        <w:rPr>
          <w:rFonts w:hint="eastAsia" w:ascii="仿宋_GB231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1.产出指标完成情况分析</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数量指标</w:t>
      </w:r>
      <w:r>
        <w:rPr>
          <w:rFonts w:hint="eastAsia" w:ascii="仿宋" w:hAnsi="仿宋" w:eastAsia="仿宋" w:cs="仿宋"/>
          <w:b/>
          <w:bCs/>
          <w:sz w:val="32"/>
          <w:szCs w:val="32"/>
          <w:lang w:eastAsia="zh-CN"/>
        </w:rPr>
        <w:t>：</w:t>
      </w:r>
      <w:r>
        <w:rPr>
          <w:rFonts w:hint="eastAsia" w:ascii="仿宋" w:hAnsi="仿宋" w:eastAsia="仿宋" w:cs="仿宋"/>
          <w:color w:val="000000" w:themeColor="text1"/>
          <w:kern w:val="0"/>
          <w:sz w:val="32"/>
          <w:szCs w:val="32"/>
          <w14:textFill>
            <w14:solidFill>
              <w14:schemeClr w14:val="tx1"/>
            </w14:solidFill>
          </w14:textFill>
        </w:rPr>
        <w:t>20</w:t>
      </w:r>
      <w:r>
        <w:rPr>
          <w:rFonts w:hint="eastAsia" w:ascii="仿宋" w:hAnsi="仿宋" w:eastAsia="仿宋" w:cs="仿宋"/>
          <w:color w:val="000000" w:themeColor="text1"/>
          <w:kern w:val="0"/>
          <w:sz w:val="32"/>
          <w:szCs w:val="32"/>
          <w:lang w:val="en-US" w:eastAsia="zh-CN"/>
          <w14:textFill>
            <w14:solidFill>
              <w14:schemeClr w14:val="tx1"/>
            </w14:solidFill>
          </w14:textFill>
        </w:rPr>
        <w:t>22</w:t>
      </w:r>
      <w:r>
        <w:rPr>
          <w:rFonts w:hint="eastAsia" w:ascii="仿宋" w:hAnsi="仿宋" w:eastAsia="仿宋" w:cs="仿宋"/>
          <w:color w:val="000000" w:themeColor="text1"/>
          <w:kern w:val="0"/>
          <w:sz w:val="32"/>
          <w:szCs w:val="32"/>
          <w14:textFill>
            <w14:solidFill>
              <w14:schemeClr w14:val="tx1"/>
            </w14:solidFill>
          </w14:textFill>
        </w:rPr>
        <w:t>年对拥有耕地承包权的种地农民种植耕地</w:t>
      </w:r>
      <w:r>
        <w:rPr>
          <w:rFonts w:hint="eastAsia" w:ascii="仿宋" w:hAnsi="仿宋" w:eastAsia="仿宋" w:cs="仿宋"/>
          <w:color w:val="000000" w:themeColor="text1"/>
          <w:kern w:val="0"/>
          <w:sz w:val="32"/>
          <w:szCs w:val="32"/>
          <w:lang w:val="en-US" w:eastAsia="zh-CN"/>
          <w14:textFill>
            <w14:solidFill>
              <w14:schemeClr w14:val="tx1"/>
            </w14:solidFill>
          </w14:textFill>
        </w:rPr>
        <w:t>126335.8</w:t>
      </w:r>
      <w:r>
        <w:rPr>
          <w:rFonts w:hint="eastAsia" w:ascii="仿宋" w:hAnsi="仿宋" w:eastAsia="仿宋" w:cs="仿宋"/>
          <w:color w:val="000000" w:themeColor="text1"/>
          <w:kern w:val="0"/>
          <w:sz w:val="32"/>
          <w:szCs w:val="32"/>
          <w14:textFill>
            <w14:solidFill>
              <w14:schemeClr w14:val="tx1"/>
            </w14:solidFill>
          </w14:textFill>
        </w:rPr>
        <w:t>亩进行了补助，完成计划数</w:t>
      </w:r>
      <w:r>
        <w:rPr>
          <w:rFonts w:hint="eastAsia" w:ascii="仿宋" w:hAnsi="仿宋" w:eastAsia="仿宋" w:cs="仿宋"/>
          <w:color w:val="000000" w:themeColor="text1"/>
          <w:kern w:val="0"/>
          <w:sz w:val="32"/>
          <w:szCs w:val="32"/>
          <w:lang w:val="en-US" w:eastAsia="zh-CN"/>
          <w14:textFill>
            <w14:solidFill>
              <w14:schemeClr w14:val="tx1"/>
            </w14:solidFill>
          </w14:textFill>
        </w:rPr>
        <w:t>126335.8</w:t>
      </w:r>
      <w:r>
        <w:rPr>
          <w:rFonts w:hint="eastAsia" w:ascii="仿宋" w:hAnsi="仿宋" w:eastAsia="仿宋" w:cs="仿宋"/>
          <w:color w:val="000000" w:themeColor="text1"/>
          <w:kern w:val="0"/>
          <w:sz w:val="32"/>
          <w:szCs w:val="32"/>
          <w14:textFill>
            <w14:solidFill>
              <w14:schemeClr w14:val="tx1"/>
            </w14:solidFill>
          </w14:textFill>
        </w:rPr>
        <w:t>亩的100%。</w:t>
      </w:r>
    </w:p>
    <w:p>
      <w:pPr>
        <w:ind w:firstLine="482" w:firstLineChars="150"/>
        <w:rPr>
          <w:rFonts w:hint="eastAsia" w:ascii="仿宋" w:hAnsi="仿宋" w:eastAsia="仿宋" w:cs="仿宋"/>
          <w:kern w:val="0"/>
          <w:sz w:val="32"/>
          <w:szCs w:val="32"/>
        </w:rPr>
      </w:pPr>
      <w:r>
        <w:rPr>
          <w:rFonts w:hint="eastAsia" w:ascii="仿宋" w:hAnsi="仿宋" w:eastAsia="仿宋" w:cs="仿宋"/>
          <w:b/>
          <w:bCs/>
          <w:sz w:val="32"/>
          <w:szCs w:val="32"/>
          <w:lang w:eastAsia="zh-CN"/>
        </w:rPr>
        <w:t>质量指标：</w:t>
      </w:r>
      <w:r>
        <w:rPr>
          <w:rFonts w:hint="eastAsia" w:ascii="仿宋" w:hAnsi="仿宋" w:eastAsia="仿宋" w:cs="仿宋"/>
          <w:kern w:val="0"/>
          <w:sz w:val="32"/>
          <w:szCs w:val="32"/>
        </w:rPr>
        <w:t>a.减少农药、化肥施用量，用好畜禽粪便，增施农家肥；</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b.鼓励有效利用农作物秸秆，禁止焚烧秸秆，鼓励秸秆堆渥、粉碎还田，鼓励秸秆青贮发展草食畜牧业；</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c.大力发展节水农业，鼓励发展喷灌、滴灌、管浇等节水农业措施，推广水肥一体化，主动保护地力；</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d.鼓励深松整地，改善土壤耕作层结构，提高蓄水保墒和抗旱能力；</w:t>
      </w:r>
    </w:p>
    <w:p>
      <w:pPr>
        <w:ind w:firstLine="640" w:firstLineChars="200"/>
        <w:rPr>
          <w:rFonts w:hint="eastAsia" w:ascii="仿宋" w:hAnsi="仿宋" w:eastAsia="仿宋" w:cs="仿宋"/>
          <w:sz w:val="32"/>
          <w:szCs w:val="32"/>
          <w:lang w:eastAsia="zh-CN"/>
        </w:rPr>
      </w:pPr>
      <w:r>
        <w:rPr>
          <w:rFonts w:hint="eastAsia" w:ascii="仿宋" w:hAnsi="仿宋" w:eastAsia="仿宋" w:cs="仿宋"/>
          <w:kern w:val="0"/>
          <w:sz w:val="32"/>
          <w:szCs w:val="32"/>
        </w:rPr>
        <w:t>e.其他有利于耕地地力保护、提升的措施。</w:t>
      </w:r>
    </w:p>
    <w:p>
      <w:pPr>
        <w:ind w:firstLine="643"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时效指标：</w:t>
      </w:r>
      <w:r>
        <w:rPr>
          <w:rFonts w:hint="eastAsia" w:ascii="仿宋" w:hAnsi="仿宋" w:eastAsia="仿宋" w:cs="仿宋"/>
          <w:sz w:val="32"/>
          <w:szCs w:val="32"/>
        </w:rPr>
        <w:t>盘龙区20</w:t>
      </w:r>
      <w:r>
        <w:rPr>
          <w:rFonts w:hint="eastAsia" w:ascii="仿宋" w:hAnsi="仿宋" w:eastAsia="仿宋" w:cs="仿宋"/>
          <w:sz w:val="32"/>
          <w:szCs w:val="32"/>
          <w:lang w:val="en-US" w:eastAsia="zh-CN"/>
        </w:rPr>
        <w:t>22</w:t>
      </w:r>
      <w:r>
        <w:rPr>
          <w:rFonts w:hint="eastAsia" w:ascii="仿宋" w:hAnsi="仿宋" w:eastAsia="仿宋" w:cs="仿宋"/>
          <w:sz w:val="32"/>
          <w:szCs w:val="32"/>
        </w:rPr>
        <w:t>年</w:t>
      </w:r>
      <w:r>
        <w:rPr>
          <w:rFonts w:hint="eastAsia" w:ascii="仿宋" w:hAnsi="仿宋" w:eastAsia="仿宋" w:cs="仿宋"/>
          <w:color w:val="000000"/>
          <w:sz w:val="32"/>
          <w:szCs w:val="32"/>
        </w:rPr>
        <w:t>耕地地力在</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月30日以前兑现到了农户手中，按要求在</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月30日以前完成兑现工作。</w:t>
      </w:r>
    </w:p>
    <w:p>
      <w:pPr>
        <w:ind w:firstLine="803" w:firstLineChars="25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成本指标：</w:t>
      </w:r>
      <w:r>
        <w:rPr>
          <w:rFonts w:hint="eastAsia" w:ascii="仿宋" w:hAnsi="仿宋" w:eastAsia="仿宋" w:cs="仿宋"/>
          <w:sz w:val="32"/>
          <w:szCs w:val="32"/>
        </w:rPr>
        <w:t>每亩节约成本</w:t>
      </w:r>
      <w:r>
        <w:rPr>
          <w:rFonts w:hint="eastAsia" w:ascii="仿宋" w:hAnsi="仿宋" w:eastAsia="仿宋" w:cs="仿宋"/>
          <w:sz w:val="32"/>
          <w:szCs w:val="32"/>
          <w:lang w:val="en-US" w:eastAsia="zh-CN"/>
        </w:rPr>
        <w:t>64.15</w:t>
      </w:r>
      <w:r>
        <w:rPr>
          <w:rFonts w:hint="eastAsia" w:ascii="仿宋" w:hAnsi="仿宋" w:eastAsia="仿宋" w:cs="仿宋"/>
          <w:sz w:val="32"/>
          <w:szCs w:val="32"/>
        </w:rPr>
        <w:t>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2</w:t>
      </w:r>
      <w:r>
        <w:rPr>
          <w:rFonts w:hint="eastAsia" w:ascii="仿宋" w:hAnsi="仿宋" w:eastAsia="仿宋" w:cs="仿宋"/>
          <w:b/>
          <w:bCs/>
          <w:sz w:val="32"/>
          <w:szCs w:val="32"/>
          <w:lang w:val="en-US" w:eastAsia="zh-CN"/>
        </w:rPr>
        <w:t>.</w:t>
      </w:r>
      <w:r>
        <w:rPr>
          <w:rFonts w:hint="eastAsia" w:ascii="仿宋" w:hAnsi="仿宋" w:eastAsia="仿宋" w:cs="仿宋"/>
          <w:b/>
          <w:bCs/>
          <w:sz w:val="32"/>
          <w:szCs w:val="32"/>
        </w:rPr>
        <w:t>效益指标完成情况分析</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社会效益指标</w:t>
      </w:r>
      <w:r>
        <w:rPr>
          <w:rFonts w:hint="eastAsia" w:ascii="仿宋" w:hAnsi="仿宋" w:eastAsia="仿宋" w:cs="仿宋"/>
          <w:sz w:val="32"/>
          <w:szCs w:val="32"/>
          <w:lang w:eastAsia="zh-CN"/>
        </w:rPr>
        <w:t>：</w:t>
      </w:r>
      <w:r>
        <w:rPr>
          <w:rFonts w:hint="eastAsia" w:ascii="仿宋" w:hAnsi="仿宋" w:eastAsia="仿宋" w:cs="仿宋"/>
          <w:kern w:val="0"/>
          <w:sz w:val="32"/>
          <w:szCs w:val="32"/>
        </w:rPr>
        <w:t>“农业支持保护补贴”政策，事关广大农民群众的根本利益和农业农村发展大局，是保障国家粮食安全和农业可持续发展的重要举措。</w:t>
      </w:r>
    </w:p>
    <w:p>
      <w:pPr>
        <w:pStyle w:val="10"/>
        <w:keepNext w:val="0"/>
        <w:keepLines w:val="0"/>
        <w:pageBreakBefore w:val="0"/>
        <w:widowControl/>
        <w:kinsoku/>
        <w:wordWrap/>
        <w:overflowPunct/>
        <w:topLinePunct w:val="0"/>
        <w:autoSpaceDE/>
        <w:autoSpaceDN/>
        <w:bidi w:val="0"/>
        <w:adjustRightInd/>
        <w:snapToGrid/>
        <w:spacing w:line="578" w:lineRule="exact"/>
        <w:ind w:righ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可持续影响指标</w:t>
      </w:r>
      <w:r>
        <w:rPr>
          <w:rFonts w:hint="eastAsia" w:ascii="仿宋" w:hAnsi="仿宋" w:eastAsia="仿宋" w:cs="仿宋"/>
          <w:sz w:val="32"/>
          <w:szCs w:val="32"/>
          <w:lang w:eastAsia="zh-CN"/>
        </w:rPr>
        <w:t>：</w:t>
      </w:r>
      <w:r>
        <w:rPr>
          <w:rFonts w:hint="eastAsia" w:ascii="仿宋" w:hAnsi="仿宋" w:eastAsia="仿宋" w:cs="仿宋"/>
          <w:kern w:val="0"/>
          <w:sz w:val="32"/>
          <w:szCs w:val="32"/>
        </w:rPr>
        <w:t>充分调动农民合理利用耕地、保护耕地、用养结合，提高土地生产能力，适度发展粮食生产的认知度，为粮食生产的稳定发展营造良好的氛围。</w:t>
      </w:r>
      <w:r>
        <w:rPr>
          <w:rFonts w:hint="eastAsia" w:ascii="仿宋" w:hAnsi="仿宋" w:eastAsia="仿宋" w:cs="仿宋"/>
          <w:sz w:val="32"/>
          <w:szCs w:val="32"/>
        </w:rPr>
        <w:t>全年总施肥量</w:t>
      </w:r>
      <w:r>
        <w:rPr>
          <w:rFonts w:hint="eastAsia" w:ascii="仿宋" w:hAnsi="仿宋" w:eastAsia="仿宋" w:cs="仿宋"/>
          <w:sz w:val="32"/>
          <w:szCs w:val="32"/>
          <w:lang w:val="en-US" w:eastAsia="zh-CN"/>
        </w:rPr>
        <w:t>4090.96</w:t>
      </w:r>
      <w:r>
        <w:rPr>
          <w:rFonts w:hint="eastAsia" w:ascii="仿宋" w:hAnsi="仿宋" w:eastAsia="仿宋" w:cs="仿宋"/>
          <w:sz w:val="32"/>
          <w:szCs w:val="32"/>
        </w:rPr>
        <w:t>吨，同比20</w:t>
      </w:r>
      <w:r>
        <w:rPr>
          <w:rFonts w:hint="eastAsia" w:ascii="仿宋" w:hAnsi="仿宋" w:eastAsia="仿宋" w:cs="仿宋"/>
          <w:sz w:val="32"/>
          <w:szCs w:val="32"/>
          <w:lang w:val="en-US" w:eastAsia="zh-CN"/>
        </w:rPr>
        <w:t>21</w:t>
      </w:r>
      <w:r>
        <w:rPr>
          <w:rFonts w:hint="eastAsia" w:ascii="仿宋" w:hAnsi="仿宋" w:eastAsia="仿宋" w:cs="仿宋"/>
          <w:sz w:val="32"/>
          <w:szCs w:val="32"/>
        </w:rPr>
        <w:t>年折纯量肥料总施肥量</w:t>
      </w:r>
      <w:r>
        <w:rPr>
          <w:rFonts w:hint="eastAsia" w:ascii="仿宋" w:hAnsi="仿宋" w:eastAsia="仿宋" w:cs="仿宋"/>
          <w:sz w:val="32"/>
          <w:szCs w:val="32"/>
          <w:lang w:val="en-US" w:eastAsia="zh-CN"/>
        </w:rPr>
        <w:t>4241</w:t>
      </w:r>
      <w:r>
        <w:rPr>
          <w:rFonts w:hint="eastAsia" w:ascii="仿宋" w:hAnsi="仿宋" w:eastAsia="仿宋" w:cs="仿宋"/>
          <w:sz w:val="32"/>
          <w:szCs w:val="32"/>
        </w:rPr>
        <w:t>吨，同比20</w:t>
      </w:r>
      <w:r>
        <w:rPr>
          <w:rFonts w:hint="eastAsia" w:ascii="仿宋" w:hAnsi="仿宋" w:eastAsia="仿宋" w:cs="仿宋"/>
          <w:sz w:val="32"/>
          <w:szCs w:val="32"/>
          <w:lang w:val="en-US" w:eastAsia="zh-CN"/>
        </w:rPr>
        <w:t>21</w:t>
      </w:r>
      <w:r>
        <w:rPr>
          <w:rFonts w:hint="eastAsia" w:ascii="仿宋" w:hAnsi="仿宋" w:eastAsia="仿宋" w:cs="仿宋"/>
          <w:sz w:val="32"/>
          <w:szCs w:val="32"/>
        </w:rPr>
        <w:t>年下降</w:t>
      </w:r>
      <w:r>
        <w:rPr>
          <w:rFonts w:hint="eastAsia" w:ascii="仿宋" w:hAnsi="仿宋" w:eastAsia="仿宋" w:cs="仿宋"/>
          <w:sz w:val="32"/>
          <w:szCs w:val="32"/>
          <w:lang w:val="en-US" w:eastAsia="zh-CN"/>
        </w:rPr>
        <w:t>3.53</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3.满意度指标</w:t>
      </w:r>
      <w:r>
        <w:rPr>
          <w:rFonts w:hint="eastAsia" w:ascii="仿宋" w:hAnsi="仿宋" w:eastAsia="仿宋" w:cs="仿宋"/>
          <w:b/>
          <w:bCs/>
          <w:sz w:val="32"/>
          <w:szCs w:val="32"/>
        </w:rPr>
        <w:t>完成情况分析</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指导服务对象满意度：</w:t>
      </w:r>
      <w:r>
        <w:rPr>
          <w:rFonts w:hint="eastAsia" w:ascii="仿宋" w:hAnsi="仿宋" w:eastAsia="仿宋" w:cs="仿宋"/>
          <w:kern w:val="0"/>
          <w:sz w:val="32"/>
          <w:szCs w:val="32"/>
        </w:rPr>
        <w:t>盘龙区各级利用村级广播、区级信息、互联网媒体及发放明白纸等形式，积极开展“农业支持保护补贴”政策宣传工作。加强协调沟通交流，特别对因政策调整造成补贴减少的农户进行宣传解释到位，赢得农户的理解和支持，为改革营造良好的舆论氛围。通过走访调查，农户对20</w:t>
      </w:r>
      <w:r>
        <w:rPr>
          <w:rFonts w:hint="eastAsia" w:ascii="仿宋" w:hAnsi="仿宋" w:eastAsia="仿宋" w:cs="仿宋"/>
          <w:kern w:val="0"/>
          <w:sz w:val="32"/>
          <w:szCs w:val="32"/>
          <w:lang w:val="en-US" w:eastAsia="zh-CN"/>
        </w:rPr>
        <w:t>22</w:t>
      </w:r>
      <w:r>
        <w:rPr>
          <w:rFonts w:hint="eastAsia" w:ascii="仿宋" w:hAnsi="仿宋" w:eastAsia="仿宋" w:cs="仿宋"/>
          <w:kern w:val="0"/>
          <w:sz w:val="32"/>
          <w:szCs w:val="32"/>
        </w:rPr>
        <w:t>年“农业支持保护补贴”政策满意度</w:t>
      </w:r>
      <w:r>
        <w:rPr>
          <w:rFonts w:hint="eastAsia" w:ascii="仿宋" w:hAnsi="仿宋" w:eastAsia="仿宋" w:cs="仿宋"/>
          <w:kern w:val="0"/>
          <w:sz w:val="32"/>
          <w:szCs w:val="32"/>
          <w:lang w:val="en-US" w:eastAsia="zh-CN"/>
        </w:rPr>
        <w:t>9</w:t>
      </w:r>
      <w:r>
        <w:rPr>
          <w:rFonts w:hint="eastAsia" w:ascii="仿宋" w:hAnsi="仿宋" w:eastAsia="仿宋" w:cs="仿宋"/>
          <w:kern w:val="0"/>
          <w:sz w:val="32"/>
          <w:szCs w:val="32"/>
        </w:rPr>
        <w:t>0%。</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仿宋_GB2312"/>
          <w:szCs w:val="32"/>
        </w:rPr>
      </w:pPr>
      <w:r>
        <w:rPr>
          <w:rFonts w:hint="eastAsia" w:ascii="黑体" w:hAnsi="黑体" w:eastAsia="黑体" w:cs="黑体"/>
          <w:bCs/>
          <w:szCs w:val="32"/>
        </w:rPr>
        <w:t>三、偏离绩效目标的原因和下一步改进措施</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仿宋" w:hAnsi="仿宋" w:eastAsia="仿宋" w:cs="仿宋"/>
          <w:b w:val="0"/>
          <w:bCs w:val="0"/>
          <w:szCs w:val="32"/>
          <w:lang w:eastAsia="zh-CN"/>
        </w:rPr>
      </w:pPr>
      <w:r>
        <w:rPr>
          <w:rFonts w:hint="eastAsia" w:ascii="仿宋" w:hAnsi="仿宋" w:eastAsia="仿宋" w:cs="仿宋"/>
          <w:b w:val="0"/>
          <w:bCs w:val="0"/>
          <w:szCs w:val="32"/>
          <w:lang w:eastAsia="zh-CN"/>
        </w:rPr>
        <w:t>无</w:t>
      </w:r>
      <w:r>
        <w:rPr>
          <w:rFonts w:hint="eastAsia" w:ascii="仿宋" w:hAnsi="仿宋" w:eastAsia="仿宋" w:cs="仿宋"/>
          <w:b w:val="0"/>
          <w:bCs w:val="0"/>
          <w:szCs w:val="32"/>
        </w:rPr>
        <w:t>偏离绩效目标的原因</w:t>
      </w:r>
      <w:r>
        <w:rPr>
          <w:rFonts w:hint="eastAsia" w:ascii="仿宋" w:hAnsi="仿宋" w:eastAsia="仿宋" w:cs="仿宋"/>
          <w:b w:val="0"/>
          <w:bCs w:val="0"/>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黑体" w:cs="黑体"/>
          <w:bCs/>
          <w:szCs w:val="32"/>
        </w:rPr>
      </w:pPr>
      <w:r>
        <w:rPr>
          <w:rFonts w:hint="eastAsia" w:ascii="黑体" w:hAnsi="黑体" w:eastAsia="黑体" w:cs="黑体"/>
          <w:bCs/>
          <w:szCs w:val="32"/>
        </w:rPr>
        <w:t>绩效自评结果拟应用和公开情况</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街道按盘龙区中央农业支持保护补贴（支持耕地地力保护资金）汇总表，测算出复种系数、实际应补贴面积，将农户补贴清册在本自然村内张榜公示7天以上。（涉密的身份证号和银行卡号不进行公示，由经办人员与农户进行核对），无异议后，把汇总结果填写盘龙区“一折通”发放审批表上报区</w:t>
      </w:r>
      <w:r>
        <w:rPr>
          <w:rFonts w:hint="eastAsia" w:ascii="仿宋" w:hAnsi="仿宋" w:eastAsia="仿宋" w:cs="仿宋"/>
          <w:kern w:val="0"/>
          <w:sz w:val="32"/>
          <w:szCs w:val="32"/>
          <w:lang w:eastAsia="zh-CN"/>
        </w:rPr>
        <w:t>农业农村</w:t>
      </w:r>
      <w:r>
        <w:rPr>
          <w:rFonts w:hint="eastAsia" w:ascii="仿宋" w:hAnsi="仿宋" w:eastAsia="仿宋" w:cs="仿宋"/>
          <w:kern w:val="0"/>
          <w:sz w:val="32"/>
          <w:szCs w:val="32"/>
        </w:rPr>
        <w:t>局，将公示确认后的补贴明细数据录入补贴系统上报区财政局，所涉及的相关纸质档案资料由街道归档。各街道对补贴对象、面积的真实性、准确性和完整性负责。各街道要设立“农业支持保护补贴”监督电话，并在当地予以公布，接受群众监督。</w:t>
      </w:r>
    </w:p>
    <w:p>
      <w:pPr>
        <w:ind w:firstLine="480" w:firstLineChars="150"/>
        <w:rPr>
          <w:rFonts w:hint="eastAsia" w:ascii="仿宋" w:hAnsi="仿宋" w:eastAsia="仿宋" w:cs="仿宋"/>
          <w:kern w:val="0"/>
          <w:sz w:val="32"/>
          <w:szCs w:val="32"/>
        </w:rPr>
      </w:pPr>
      <w:r>
        <w:rPr>
          <w:rFonts w:hint="eastAsia" w:ascii="仿宋" w:hAnsi="仿宋" w:eastAsia="仿宋" w:cs="仿宋"/>
          <w:kern w:val="0"/>
          <w:sz w:val="32"/>
          <w:szCs w:val="32"/>
        </w:rPr>
        <w:t>补贴资金严格按照国家有关规定管理，各部门明确职责，建立责任管理体系，区级财政、</w:t>
      </w:r>
      <w:r>
        <w:rPr>
          <w:rFonts w:hint="eastAsia" w:ascii="仿宋" w:hAnsi="仿宋" w:eastAsia="仿宋" w:cs="仿宋"/>
          <w:kern w:val="0"/>
          <w:sz w:val="32"/>
          <w:szCs w:val="32"/>
          <w:lang w:eastAsia="zh-CN"/>
        </w:rPr>
        <w:t>农业农村</w:t>
      </w:r>
      <w:r>
        <w:rPr>
          <w:rFonts w:hint="eastAsia" w:ascii="仿宋" w:hAnsi="仿宋" w:eastAsia="仿宋" w:cs="仿宋"/>
          <w:kern w:val="0"/>
          <w:sz w:val="32"/>
          <w:szCs w:val="32"/>
        </w:rPr>
        <w:t>部门做好基础数据的采集审核、补贴资金发放等工作；街道政府严格把好面积落实和补贴公示关，每个农户的补贴面积、补贴资金、补贴标准、补贴金额必须张榜公布，接受群众监督。补贴资金实行统一发放和实名制管理，任何单位和个人不得虚报补贴面积，严禁截留挪用和代扣代缴其他收费。严格执行补贴信访受理制度，各级对应信访案件要在规定时限内办结，让群众理解认可。</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rPr>
      </w:pPr>
      <w:r>
        <w:rPr>
          <w:rFonts w:hint="eastAsia" w:ascii="黑体" w:hAnsi="黑体" w:eastAsia="黑体" w:cs="黑体"/>
          <w:bCs/>
          <w:szCs w:val="32"/>
        </w:rPr>
        <w:t>五、其他需要说明的问题</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华文宋体" w:hAnsi="华文宋体" w:eastAsia="华文宋体" w:cs="华文宋体"/>
          <w:lang w:eastAsia="zh-CN"/>
        </w:rPr>
      </w:pPr>
      <w:r>
        <w:rPr>
          <w:rFonts w:hint="eastAsia" w:ascii="华文宋体" w:hAnsi="华文宋体" w:eastAsia="华文宋体" w:cs="华文宋体"/>
          <w:lang w:eastAsia="zh-CN"/>
        </w:rPr>
        <w:t>无</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黑体" w:cs="黑体"/>
          <w:lang w:val="en"/>
        </w:rPr>
      </w:pPr>
      <w:r>
        <w:rPr>
          <w:rFonts w:hint="eastAsia" w:ascii="黑体" w:hAnsi="黑体" w:eastAsia="黑体" w:cs="黑体"/>
          <w:lang w:val="en"/>
        </w:rPr>
        <w:t>六、附件</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仿宋_GB2312" w:cs="黑体"/>
          <w:lang w:val="en" w:eastAsia="zh-CN"/>
        </w:rPr>
      </w:pPr>
      <w:r>
        <w:rPr>
          <w:rFonts w:hint="eastAsia"/>
        </w:rPr>
        <w:t>转移支付区域（项目）绩效目标自评表</w:t>
      </w:r>
      <w:r>
        <w:rPr>
          <w:rFonts w:hint="eastAsia"/>
          <w:lang w:eastAsia="zh-CN"/>
        </w:rPr>
        <w:t>（见附件</w:t>
      </w:r>
      <w:r>
        <w:rPr>
          <w:rFonts w:hint="eastAsia"/>
          <w:lang w:val="en-US" w:eastAsia="zh-CN"/>
        </w:rPr>
        <w:t>2</w:t>
      </w:r>
      <w:r>
        <w:rPr>
          <w:rFonts w:hint="eastAsia"/>
          <w:lang w:eastAsia="zh-CN"/>
        </w:rPr>
        <w:t>）</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CB5356"/>
    <w:multiLevelType w:val="singleLevel"/>
    <w:tmpl w:val="EECB5356"/>
    <w:lvl w:ilvl="0" w:tentative="0">
      <w:start w:val="2"/>
      <w:numFmt w:val="chineseCounting"/>
      <w:suff w:val="nothing"/>
      <w:lvlText w:val="（%1）"/>
      <w:lvlJc w:val="left"/>
      <w:rPr>
        <w:rFonts w:hint="eastAsia"/>
      </w:rPr>
    </w:lvl>
  </w:abstractNum>
  <w:abstractNum w:abstractNumId="1">
    <w:nsid w:val="66650452"/>
    <w:multiLevelType w:val="singleLevel"/>
    <w:tmpl w:val="66650452"/>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enforcement="0"/>
  <w:defaultTabStop w:val="420"/>
  <w:drawingGridHorizontalSpacing w:val="150"/>
  <w:drawingGridVerticalSpacing w:val="5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5NWFmOWQ3MmNmNTdlOWZmNTQ5NDczNjY2MDNlNDkifQ=="/>
  </w:docVars>
  <w:rsids>
    <w:rsidRoot w:val="00F57F82"/>
    <w:rsid w:val="000101E1"/>
    <w:rsid w:val="000732DA"/>
    <w:rsid w:val="00075CDC"/>
    <w:rsid w:val="000B1E8F"/>
    <w:rsid w:val="000B6964"/>
    <w:rsid w:val="00103D16"/>
    <w:rsid w:val="00111638"/>
    <w:rsid w:val="00111928"/>
    <w:rsid w:val="0012041C"/>
    <w:rsid w:val="00164D84"/>
    <w:rsid w:val="00173016"/>
    <w:rsid w:val="0017509C"/>
    <w:rsid w:val="001808CA"/>
    <w:rsid w:val="001A4E46"/>
    <w:rsid w:val="001E03FE"/>
    <w:rsid w:val="002123E8"/>
    <w:rsid w:val="00250053"/>
    <w:rsid w:val="0029569C"/>
    <w:rsid w:val="002A5FA7"/>
    <w:rsid w:val="002B3EEF"/>
    <w:rsid w:val="002B54E4"/>
    <w:rsid w:val="002E5562"/>
    <w:rsid w:val="002F6705"/>
    <w:rsid w:val="00301FC0"/>
    <w:rsid w:val="00336A16"/>
    <w:rsid w:val="003663A3"/>
    <w:rsid w:val="00387DD5"/>
    <w:rsid w:val="003B0980"/>
    <w:rsid w:val="003C6374"/>
    <w:rsid w:val="003D2CB9"/>
    <w:rsid w:val="00413F12"/>
    <w:rsid w:val="00493012"/>
    <w:rsid w:val="004D2137"/>
    <w:rsid w:val="005D1514"/>
    <w:rsid w:val="005D7CC3"/>
    <w:rsid w:val="006218A1"/>
    <w:rsid w:val="00682A10"/>
    <w:rsid w:val="006A30E4"/>
    <w:rsid w:val="006A74BF"/>
    <w:rsid w:val="006C1CEE"/>
    <w:rsid w:val="006D5A86"/>
    <w:rsid w:val="00707C2E"/>
    <w:rsid w:val="00722A7D"/>
    <w:rsid w:val="00724A6B"/>
    <w:rsid w:val="0073331B"/>
    <w:rsid w:val="00733C2D"/>
    <w:rsid w:val="00756C7F"/>
    <w:rsid w:val="007D7E6E"/>
    <w:rsid w:val="00850797"/>
    <w:rsid w:val="00853FC4"/>
    <w:rsid w:val="008720F1"/>
    <w:rsid w:val="00882EFA"/>
    <w:rsid w:val="008B2F56"/>
    <w:rsid w:val="008F0996"/>
    <w:rsid w:val="00903791"/>
    <w:rsid w:val="009600BD"/>
    <w:rsid w:val="00961C83"/>
    <w:rsid w:val="009922BC"/>
    <w:rsid w:val="009E0D8C"/>
    <w:rsid w:val="00A02AF3"/>
    <w:rsid w:val="00A25077"/>
    <w:rsid w:val="00A610CC"/>
    <w:rsid w:val="00A8737E"/>
    <w:rsid w:val="00AA19AF"/>
    <w:rsid w:val="00BC6882"/>
    <w:rsid w:val="00BD3FE0"/>
    <w:rsid w:val="00BE58CF"/>
    <w:rsid w:val="00CA5578"/>
    <w:rsid w:val="00CA7DAA"/>
    <w:rsid w:val="00D04826"/>
    <w:rsid w:val="00D63908"/>
    <w:rsid w:val="00D8718A"/>
    <w:rsid w:val="00D93453"/>
    <w:rsid w:val="00DC524D"/>
    <w:rsid w:val="00E071D6"/>
    <w:rsid w:val="00ED3E0F"/>
    <w:rsid w:val="00F015E4"/>
    <w:rsid w:val="00F57F82"/>
    <w:rsid w:val="00F75224"/>
    <w:rsid w:val="00F91EAE"/>
    <w:rsid w:val="00FA086C"/>
    <w:rsid w:val="00FA2093"/>
    <w:rsid w:val="00FA357A"/>
    <w:rsid w:val="037D0BC8"/>
    <w:rsid w:val="03C0467D"/>
    <w:rsid w:val="08313650"/>
    <w:rsid w:val="0845082D"/>
    <w:rsid w:val="09E965F2"/>
    <w:rsid w:val="0CC65B7F"/>
    <w:rsid w:val="0DFE05BC"/>
    <w:rsid w:val="0FF7AA4F"/>
    <w:rsid w:val="139840D3"/>
    <w:rsid w:val="143E091F"/>
    <w:rsid w:val="14865FC8"/>
    <w:rsid w:val="14AE18E2"/>
    <w:rsid w:val="14D04E4A"/>
    <w:rsid w:val="150C2DB0"/>
    <w:rsid w:val="1A7D29EA"/>
    <w:rsid w:val="1D994BCF"/>
    <w:rsid w:val="1E761F05"/>
    <w:rsid w:val="1F7BE1E6"/>
    <w:rsid w:val="1FC7205C"/>
    <w:rsid w:val="228B3D05"/>
    <w:rsid w:val="23165F60"/>
    <w:rsid w:val="258D6E84"/>
    <w:rsid w:val="284E74F8"/>
    <w:rsid w:val="2ADB48E8"/>
    <w:rsid w:val="328F652D"/>
    <w:rsid w:val="36687282"/>
    <w:rsid w:val="367793B2"/>
    <w:rsid w:val="3794FC37"/>
    <w:rsid w:val="38EF7AD8"/>
    <w:rsid w:val="3E1672E6"/>
    <w:rsid w:val="3E1F711B"/>
    <w:rsid w:val="3EB9C2BB"/>
    <w:rsid w:val="3FEF6A07"/>
    <w:rsid w:val="415F08D8"/>
    <w:rsid w:val="44E2230F"/>
    <w:rsid w:val="48B51347"/>
    <w:rsid w:val="491B45FA"/>
    <w:rsid w:val="4A4D05E3"/>
    <w:rsid w:val="4A55216A"/>
    <w:rsid w:val="4CC90847"/>
    <w:rsid w:val="4FE0696A"/>
    <w:rsid w:val="546F8569"/>
    <w:rsid w:val="55673508"/>
    <w:rsid w:val="58B115BC"/>
    <w:rsid w:val="59595A6F"/>
    <w:rsid w:val="597350B8"/>
    <w:rsid w:val="599330CA"/>
    <w:rsid w:val="5A7FCB1F"/>
    <w:rsid w:val="5D2B78D3"/>
    <w:rsid w:val="5FEAF7C9"/>
    <w:rsid w:val="60D5009F"/>
    <w:rsid w:val="625F31FE"/>
    <w:rsid w:val="64AC2E11"/>
    <w:rsid w:val="65FD0201"/>
    <w:rsid w:val="660721C9"/>
    <w:rsid w:val="661E6C75"/>
    <w:rsid w:val="664D7E95"/>
    <w:rsid w:val="67F75FF5"/>
    <w:rsid w:val="681D4831"/>
    <w:rsid w:val="692E4B19"/>
    <w:rsid w:val="69513EF7"/>
    <w:rsid w:val="6BF3256F"/>
    <w:rsid w:val="6CE7018A"/>
    <w:rsid w:val="6E3E3F2D"/>
    <w:rsid w:val="71344263"/>
    <w:rsid w:val="715B2F02"/>
    <w:rsid w:val="72A44DA0"/>
    <w:rsid w:val="76A548F2"/>
    <w:rsid w:val="7765772E"/>
    <w:rsid w:val="776F5E62"/>
    <w:rsid w:val="77867685"/>
    <w:rsid w:val="77EE7FE7"/>
    <w:rsid w:val="781F36B6"/>
    <w:rsid w:val="790627AD"/>
    <w:rsid w:val="79DFF8C4"/>
    <w:rsid w:val="7ADC59FA"/>
    <w:rsid w:val="7AFF2FC3"/>
    <w:rsid w:val="7BF6B4C5"/>
    <w:rsid w:val="7DDD794F"/>
    <w:rsid w:val="7DFA6624"/>
    <w:rsid w:val="7DFD8AD7"/>
    <w:rsid w:val="7DFEFB95"/>
    <w:rsid w:val="7ECD6B9A"/>
    <w:rsid w:val="7FBA576D"/>
    <w:rsid w:val="7FDE47D5"/>
    <w:rsid w:val="7FFD003D"/>
    <w:rsid w:val="94BFC172"/>
    <w:rsid w:val="9BFA614C"/>
    <w:rsid w:val="BAFE1E17"/>
    <w:rsid w:val="BBDF5B5A"/>
    <w:rsid w:val="BBE428C2"/>
    <w:rsid w:val="BFBF52D7"/>
    <w:rsid w:val="DF6E82F1"/>
    <w:rsid w:val="DFCEE0CE"/>
    <w:rsid w:val="DFFF7077"/>
    <w:rsid w:val="EEBF76D9"/>
    <w:rsid w:val="F36EF6AC"/>
    <w:rsid w:val="F6FDCC0E"/>
    <w:rsid w:val="F767D450"/>
    <w:rsid w:val="F76FB1DB"/>
    <w:rsid w:val="F7FBEBBF"/>
    <w:rsid w:val="F9F3FBF0"/>
    <w:rsid w:val="FB9F8FA2"/>
    <w:rsid w:val="FDB5389F"/>
    <w:rsid w:val="FFAFB80B"/>
    <w:rsid w:val="FFF9F8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7"/>
    <w:qFormat/>
    <w:uiPriority w:val="99"/>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99"/>
    <w:rPr>
      <w:rFonts w:eastAsia="仿宋_GB2312"/>
      <w:kern w:val="2"/>
      <w:sz w:val="18"/>
      <w:szCs w:val="18"/>
    </w:rPr>
  </w:style>
  <w:style w:type="character" w:customStyle="1" w:styleId="8">
    <w:name w:val="页眉 Char"/>
    <w:basedOn w:val="6"/>
    <w:link w:val="4"/>
    <w:qFormat/>
    <w:uiPriority w:val="0"/>
    <w:rPr>
      <w:rFonts w:eastAsia="仿宋_GB2312"/>
      <w:kern w:val="2"/>
      <w:sz w:val="18"/>
      <w:szCs w:val="18"/>
    </w:rPr>
  </w:style>
  <w:style w:type="character" w:customStyle="1" w:styleId="9">
    <w:name w:val="批注框文本 Char"/>
    <w:basedOn w:val="6"/>
    <w:link w:val="2"/>
    <w:qFormat/>
    <w:uiPriority w:val="0"/>
    <w:rPr>
      <w:rFonts w:eastAsia="仿宋_GB2312"/>
      <w:kern w:val="2"/>
      <w:sz w:val="18"/>
      <w:szCs w:val="18"/>
    </w:rPr>
  </w:style>
  <w:style w:type="paragraph" w:customStyle="1" w:styleId="10">
    <w:name w:val="p0"/>
    <w:basedOn w:val="1"/>
    <w:qFormat/>
    <w:uiPriority w:val="0"/>
    <w:pPr>
      <w:widowControl/>
      <w:spacing w:line="240" w:lineRule="auto"/>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1891</Words>
  <Characters>2065</Characters>
  <Lines>3</Lines>
  <Paragraphs>1</Paragraphs>
  <TotalTime>0</TotalTime>
  <ScaleCrop>false</ScaleCrop>
  <LinksUpToDate>false</LinksUpToDate>
  <CharactersWithSpaces>2072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2019-02-17T06:26:00Z</dcterms:created>
  <dc:creator>lhn</dc:creator>
  <cp:lastModifiedBy>Administrator</cp:lastModifiedBy>
  <cp:lastPrinted>2023-02-24T17:51:00Z</cp:lastPrinted>
  <dcterms:modified xsi:type="dcterms:W3CDTF">2023-04-17T02:50:35Z</dcterms:modified>
  <dc:title>财政支出绩效评价报告</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D2EC70B93FC04EF9B81DCFC78A66D829</vt:lpwstr>
  </property>
</Properties>
</file>