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both"/>
        <w:rPr>
          <w:rFonts w:ascii="方正小标宋简体" w:eastAsia="方正小标宋简体"/>
          <w:sz w:val="36"/>
          <w:szCs w:val="36"/>
        </w:rPr>
      </w:pPr>
    </w:p>
    <w:p>
      <w:pPr>
        <w:keepNext w:val="0"/>
        <w:keepLines w:val="0"/>
        <w:pageBreakBefore w:val="0"/>
        <w:widowControl w:val="0"/>
        <w:kinsoku/>
        <w:wordWrap/>
        <w:overflowPunct/>
        <w:topLinePunct w:val="0"/>
        <w:autoSpaceDE/>
        <w:autoSpaceDN/>
        <w:bidi w:val="0"/>
        <w:adjustRightInd/>
        <w:snapToGrid/>
        <w:spacing w:line="720" w:lineRule="exact"/>
        <w:jc w:val="both"/>
        <w:textAlignment w:val="auto"/>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eastAsia="zh-CN"/>
        </w:rPr>
        <w:t>昆明市盘龙区</w:t>
      </w:r>
      <w:r>
        <w:rPr>
          <w:rFonts w:hint="eastAsia" w:ascii="方正小标宋简体" w:hAnsi="方正小标宋简体" w:eastAsia="方正小标宋简体" w:cs="方正小标宋简体"/>
          <w:bCs/>
          <w:sz w:val="44"/>
          <w:szCs w:val="44"/>
        </w:rPr>
        <w:t>20</w:t>
      </w:r>
      <w:r>
        <w:rPr>
          <w:rFonts w:hint="eastAsia" w:ascii="方正小标宋简体" w:hAnsi="方正小标宋简体" w:eastAsia="方正小标宋简体" w:cs="方正小标宋简体"/>
          <w:bCs/>
          <w:sz w:val="44"/>
          <w:szCs w:val="44"/>
          <w:lang w:val="en-US" w:eastAsia="zh-CN"/>
        </w:rPr>
        <w:t>22</w:t>
      </w:r>
      <w:r>
        <w:rPr>
          <w:rFonts w:hint="eastAsia" w:ascii="方正小标宋简体" w:hAnsi="方正小标宋简体" w:eastAsia="方正小标宋简体" w:cs="方正小标宋简体"/>
          <w:bCs/>
          <w:sz w:val="44"/>
          <w:szCs w:val="44"/>
        </w:rPr>
        <w:t>年林</w:t>
      </w:r>
      <w:bookmarkStart w:id="12" w:name="_GoBack"/>
      <w:bookmarkEnd w:id="12"/>
      <w:r>
        <w:rPr>
          <w:rFonts w:hint="eastAsia" w:ascii="方正小标宋简体" w:hAnsi="方正小标宋简体" w:eastAsia="方正小标宋简体" w:cs="方正小标宋简体"/>
          <w:bCs/>
          <w:sz w:val="44"/>
          <w:szCs w:val="44"/>
        </w:rPr>
        <w:t>业</w:t>
      </w:r>
      <w:r>
        <w:rPr>
          <w:rFonts w:hint="eastAsia" w:ascii="方正小标宋简体" w:hAnsi="方正小标宋简体" w:eastAsia="方正小标宋简体" w:cs="方正小标宋简体"/>
          <w:bCs/>
          <w:sz w:val="44"/>
          <w:szCs w:val="44"/>
          <w:lang w:eastAsia="zh-CN"/>
        </w:rPr>
        <w:t>生态保护恢复</w:t>
      </w:r>
      <w:r>
        <w:rPr>
          <w:rFonts w:hint="eastAsia" w:ascii="方正小标宋简体" w:hAnsi="方正小标宋简体" w:eastAsia="方正小标宋简体" w:cs="方正小标宋简体"/>
          <w:bCs/>
          <w:sz w:val="44"/>
          <w:szCs w:val="44"/>
        </w:rPr>
        <w:t>资金（</w:t>
      </w:r>
      <w:r>
        <w:rPr>
          <w:rFonts w:hint="eastAsia" w:ascii="方正小标宋简体" w:hAnsi="方正小标宋简体" w:eastAsia="方正小标宋简体" w:cs="方正小标宋简体"/>
          <w:bCs/>
          <w:sz w:val="44"/>
          <w:szCs w:val="44"/>
          <w:lang w:eastAsia="zh-CN"/>
        </w:rPr>
        <w:t>草原生态修复</w:t>
      </w:r>
      <w:r>
        <w:rPr>
          <w:rFonts w:hint="eastAsia" w:ascii="方正小标宋简体" w:hAnsi="方正小标宋简体" w:eastAsia="方正小标宋简体" w:cs="方正小标宋简体"/>
          <w:bCs/>
          <w:sz w:val="44"/>
          <w:szCs w:val="44"/>
        </w:rPr>
        <w:t>）项目支出绩效自评报告</w:t>
      </w:r>
    </w:p>
    <w:p>
      <w:pPr>
        <w:pStyle w:val="9"/>
        <w:adjustRightInd w:val="0"/>
        <w:snapToGrid w:val="0"/>
        <w:spacing w:line="560" w:lineRule="exact"/>
        <w:ind w:left="0" w:leftChars="0" w:firstLine="0" w:firstLineChars="0"/>
        <w:jc w:val="both"/>
        <w:rPr>
          <w:rFonts w:hint="eastAsia" w:ascii="黑体" w:hAnsi="黑体" w:eastAsia="黑体" w:cs="黑体"/>
          <w:sz w:val="32"/>
          <w:szCs w:val="32"/>
        </w:rPr>
      </w:pPr>
    </w:p>
    <w:p>
      <w:pPr>
        <w:pStyle w:val="9"/>
        <w:adjustRightInd w:val="0"/>
        <w:snapToGrid w:val="0"/>
        <w:spacing w:line="560" w:lineRule="exact"/>
        <w:ind w:left="0" w:leftChars="0" w:firstLine="640" w:firstLineChars="200"/>
        <w:jc w:val="both"/>
        <w:rPr>
          <w:rFonts w:hint="eastAsia" w:ascii="黑体" w:hAnsi="黑体" w:eastAsia="黑体" w:cs="黑体"/>
          <w:sz w:val="32"/>
          <w:szCs w:val="32"/>
        </w:rPr>
      </w:pPr>
      <w:r>
        <w:rPr>
          <w:rFonts w:hint="eastAsia" w:ascii="黑体" w:hAnsi="黑体" w:eastAsia="黑体" w:cs="黑体"/>
          <w:sz w:val="32"/>
          <w:szCs w:val="32"/>
        </w:rPr>
        <w:t>一、绩效目标完成情况分析</w:t>
      </w:r>
    </w:p>
    <w:p>
      <w:pPr>
        <w:pStyle w:val="9"/>
        <w:adjustRightInd w:val="0"/>
        <w:snapToGrid w:val="0"/>
        <w:spacing w:line="560" w:lineRule="exact"/>
        <w:ind w:left="0" w:leftChars="0" w:firstLine="640" w:firstLineChars="200"/>
        <w:jc w:val="both"/>
        <w:rPr>
          <w:rFonts w:ascii="方正仿宋_GBK" w:hAnsi="方正仿宋_GBK" w:eastAsia="方正仿宋_GBK" w:cs="方正仿宋_GBK"/>
          <w:sz w:val="32"/>
          <w:szCs w:val="32"/>
        </w:rPr>
      </w:pPr>
      <w:r>
        <w:rPr>
          <w:rFonts w:hint="eastAsia" w:ascii="楷体" w:hAnsi="楷体" w:eastAsia="楷体" w:cs="楷体"/>
          <w:sz w:val="32"/>
          <w:szCs w:val="32"/>
        </w:rPr>
        <w:t>（一）项目资金投入情况分析。</w:t>
      </w:r>
    </w:p>
    <w:p>
      <w:pPr>
        <w:pStyle w:val="9"/>
        <w:adjustRightInd w:val="0"/>
        <w:snapToGrid w:val="0"/>
        <w:spacing w:line="560" w:lineRule="exact"/>
        <w:ind w:left="411" w:firstLine="320" w:firstLineChars="1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1.项目资金到位情况分析。</w:t>
      </w:r>
    </w:p>
    <w:p>
      <w:pPr>
        <w:pStyle w:val="9"/>
        <w:adjustRightInd w:val="0"/>
        <w:snapToGrid w:val="0"/>
        <w:spacing w:line="560" w:lineRule="exact"/>
        <w:ind w:left="0" w:leftChars="0" w:firstLine="640" w:firstLineChars="200"/>
        <w:jc w:val="both"/>
        <w:rPr>
          <w:rFonts w:hint="eastAsia" w:ascii="方正仿宋_GBK" w:hAnsi="方正仿宋_GBK" w:eastAsia="方正仿宋_GBK" w:cs="方正仿宋_GBK"/>
          <w:sz w:val="32"/>
          <w:szCs w:val="32"/>
        </w:rPr>
      </w:pPr>
      <w:r>
        <w:rPr>
          <w:rFonts w:hint="eastAsia" w:ascii="仿宋_GB2312" w:hAnsi="仿宋_GB2312" w:eastAsia="仿宋_GB2312" w:cs="仿宋_GB2312"/>
          <w:color w:val="000000"/>
          <w:kern w:val="0"/>
          <w:sz w:val="32"/>
          <w:szCs w:val="32"/>
          <w:lang w:val="en-US" w:eastAsia="zh-CN" w:bidi="ar"/>
        </w:rPr>
        <w:t>根据《云南省财政厅 云南省林业和草原局关于提前下达 2022年 中央财政林立草原生态保护恢复资金的通知》 (云财资环[2021]157号 ),《昆明市财政局昆明市林立和草原局关于下达2022年中央财政林立草原生态保护恢复资金的通知》 (昆财农[2022]3号)，资金全部到位。</w:t>
      </w:r>
    </w:p>
    <w:p>
      <w:pPr>
        <w:pStyle w:val="9"/>
        <w:adjustRightInd w:val="0"/>
        <w:snapToGrid w:val="0"/>
        <w:spacing w:line="560" w:lineRule="exact"/>
        <w:ind w:left="411" w:firstLine="320" w:firstLineChars="1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2.项目资金执行情况分析。</w:t>
      </w:r>
    </w:p>
    <w:p>
      <w:pPr>
        <w:keepNext w:val="0"/>
        <w:keepLines w:val="0"/>
        <w:pageBreakBefore w:val="0"/>
        <w:widowControl w:val="0"/>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按照项目性质及合同约定，</w:t>
      </w:r>
      <w:r>
        <w:rPr>
          <w:rFonts w:hint="eastAsia" w:ascii="仿宋_GB2312" w:hAnsi="仿宋_GB2312" w:eastAsia="仿宋_GB2312" w:cs="仿宋_GB2312"/>
          <w:color w:val="000000"/>
          <w:kern w:val="0"/>
          <w:sz w:val="32"/>
          <w:szCs w:val="32"/>
          <w:lang w:val="en-US" w:eastAsia="zh-CN" w:bidi="ar"/>
        </w:rPr>
        <w:t>已支付施工款110.1万元，占项目资金总款的91.75%。</w:t>
      </w:r>
    </w:p>
    <w:p>
      <w:pPr>
        <w:pStyle w:val="9"/>
        <w:adjustRightInd w:val="0"/>
        <w:snapToGrid w:val="0"/>
        <w:spacing w:line="560" w:lineRule="exact"/>
        <w:ind w:left="411" w:firstLine="320" w:firstLineChars="10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3.项目资金管理情况分析。</w:t>
      </w:r>
    </w:p>
    <w:p>
      <w:pPr>
        <w:pStyle w:val="5"/>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b w:val="0"/>
          <w:kern w:val="2"/>
          <w:sz w:val="32"/>
          <w:szCs w:val="32"/>
          <w:lang w:val="en-US" w:eastAsia="zh-CN" w:bidi="ar-SA"/>
        </w:rPr>
      </w:pPr>
      <w:r>
        <w:rPr>
          <w:rFonts w:hint="eastAsia" w:ascii="仿宋_GB2312" w:hAnsi="仿宋_GB2312" w:eastAsia="仿宋_GB2312" w:cs="仿宋_GB2312"/>
          <w:b w:val="0"/>
          <w:kern w:val="2"/>
          <w:sz w:val="32"/>
          <w:szCs w:val="32"/>
          <w:lang w:val="en-US" w:eastAsia="zh-CN" w:bidi="ar-SA"/>
        </w:rPr>
        <w:t>为切实加强对项目建设资金使用的管理，昆明市盘龙区财政局、昆明市盘龙区农业农村局会同区纪检、监察及审计等部门对项目建设资金定期进行跟踪和监督，以确保建设资金的安全运行。该项目资金专款专用，资金收支管理规范，已按照项目进度及合同约定进行拨付，资金运行安全。</w:t>
      </w:r>
    </w:p>
    <w:p>
      <w:pPr>
        <w:pStyle w:val="9"/>
        <w:adjustRightInd w:val="0"/>
        <w:snapToGrid w:val="0"/>
        <w:spacing w:line="560" w:lineRule="exact"/>
        <w:ind w:left="411" w:firstLine="0" w:firstLineChars="0"/>
        <w:jc w:val="both"/>
        <w:rPr>
          <w:rFonts w:hint="eastAsia" w:ascii="楷体" w:hAnsi="楷体" w:eastAsia="楷体" w:cs="楷体"/>
          <w:sz w:val="32"/>
          <w:szCs w:val="32"/>
        </w:rPr>
      </w:pPr>
      <w:r>
        <w:rPr>
          <w:rFonts w:hint="eastAsia" w:ascii="楷体" w:hAnsi="楷体" w:eastAsia="楷体" w:cs="楷体"/>
          <w:sz w:val="32"/>
          <w:szCs w:val="32"/>
        </w:rPr>
        <w:t>（二）总体绩效目标完成情况分析。</w:t>
      </w:r>
    </w:p>
    <w:p>
      <w:pPr>
        <w:pStyle w:val="9"/>
        <w:adjustRightInd w:val="0"/>
        <w:snapToGrid w:val="0"/>
        <w:spacing w:line="560" w:lineRule="exact"/>
        <w:jc w:val="both"/>
        <w:rPr>
          <w:rFonts w:hint="eastAsia" w:ascii="楷体" w:hAnsi="楷体" w:eastAsia="楷体" w:cs="楷体"/>
          <w:sz w:val="32"/>
          <w:szCs w:val="32"/>
        </w:rPr>
      </w:pPr>
      <w:r>
        <w:rPr>
          <w:rFonts w:hint="eastAsia" w:ascii="仿宋_GB2312" w:hAnsi="仿宋_GB2312" w:eastAsia="仿宋_GB2312" w:cs="仿宋_GB2312"/>
          <w:color w:val="000000"/>
          <w:kern w:val="0"/>
          <w:sz w:val="32"/>
          <w:szCs w:val="32"/>
          <w:lang w:val="en-US" w:eastAsia="zh-CN" w:bidi="ar"/>
        </w:rPr>
        <w:t xml:space="preserve">项目于 2022年 5月 31日进场施工,已于 2022年 8月23日前顺利完成了生态修复建设 2000亩,占计划任务的100%。按《云南省林业和草原局办公室关于做好巨菌草发展有关工作的通知》要求:盘龙区从草原生态修复项目资金中(人工种草资金)统筹 5万元用于开展巨菌草种植试验示范 50亩。按照《云南省林业和草原局关于2022年度草原建设项目省级抽查验收结果的通知》，该项目综合评价得分80以上，综合评定为“合格”。 </w:t>
      </w:r>
    </w:p>
    <w:p>
      <w:pPr>
        <w:pStyle w:val="9"/>
        <w:adjustRightInd w:val="0"/>
        <w:snapToGrid w:val="0"/>
        <w:spacing w:line="560" w:lineRule="exact"/>
        <w:ind w:left="0" w:leftChars="0" w:firstLine="640" w:firstLineChars="200"/>
        <w:jc w:val="both"/>
        <w:rPr>
          <w:rFonts w:ascii="楷体" w:hAnsi="楷体" w:eastAsia="楷体" w:cs="楷体"/>
          <w:sz w:val="32"/>
          <w:szCs w:val="32"/>
        </w:rPr>
      </w:pPr>
      <w:r>
        <w:rPr>
          <w:rFonts w:hint="eastAsia" w:ascii="楷体" w:hAnsi="楷体" w:eastAsia="楷体" w:cs="楷体"/>
          <w:sz w:val="32"/>
          <w:szCs w:val="32"/>
        </w:rPr>
        <w:t>（三）绩效指标完成情况分析。（根据年初绩效指标逐项分析）</w:t>
      </w:r>
    </w:p>
    <w:p>
      <w:pPr>
        <w:pStyle w:val="9"/>
        <w:numPr>
          <w:ilvl w:val="0"/>
          <w:numId w:val="1"/>
        </w:numPr>
        <w:adjustRightInd w:val="0"/>
        <w:snapToGrid w:val="0"/>
        <w:spacing w:line="560" w:lineRule="exact"/>
        <w:ind w:firstLineChars="0"/>
        <w:jc w:val="both"/>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产出指标完成情况分析。</w:t>
      </w:r>
    </w:p>
    <w:p>
      <w:pPr>
        <w:adjustRightInd w:val="0"/>
        <w:snapToGrid w:val="0"/>
        <w:spacing w:line="560" w:lineRule="exact"/>
        <w:ind w:firstLine="320" w:firstLineChars="100"/>
        <w:jc w:val="both"/>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（1）数量指标。</w:t>
      </w:r>
      <w:r>
        <w:rPr>
          <w:rFonts w:hint="eastAsia" w:ascii="仿宋_GB2312" w:hAnsi="仿宋_GB2312" w:eastAsia="仿宋_GB2312" w:cs="仿宋_GB2312"/>
          <w:color w:val="000000"/>
          <w:kern w:val="0"/>
          <w:sz w:val="32"/>
          <w:szCs w:val="32"/>
          <w:lang w:val="en-US" w:eastAsia="zh-CN" w:bidi="ar"/>
        </w:rPr>
        <w:t>已于 2022年 8月23日前顺利完成了生态修复建设 2000亩 ,占计划任务的100%。</w:t>
      </w:r>
    </w:p>
    <w:p>
      <w:pPr>
        <w:adjustRightInd w:val="0"/>
        <w:snapToGrid w:val="0"/>
        <w:spacing w:line="560" w:lineRule="exact"/>
        <w:ind w:firstLine="320" w:firstLineChars="100"/>
        <w:jc w:val="both"/>
        <w:rPr>
          <w:rFonts w:hint="eastAsia" w:ascii="仿宋_GB2312" w:hAnsi="仿宋_GB2312" w:eastAsia="仿宋_GB2312" w:cs="仿宋_GB2312"/>
          <w:color w:val="000000"/>
          <w:kern w:val="0"/>
          <w:sz w:val="32"/>
          <w:szCs w:val="32"/>
          <w:lang w:val="en-US" w:eastAsia="zh-CN" w:bidi="ar"/>
        </w:rPr>
      </w:pPr>
      <w:r>
        <w:rPr>
          <w:rFonts w:hint="eastAsia" w:ascii="方正仿宋_GBK" w:hAnsi="方正仿宋_GBK" w:eastAsia="方正仿宋_GBK" w:cs="方正仿宋_GBK"/>
          <w:sz w:val="32"/>
          <w:szCs w:val="32"/>
        </w:rPr>
        <w:t>（2）质量指标。</w:t>
      </w:r>
      <w:r>
        <w:rPr>
          <w:rFonts w:hint="eastAsia" w:ascii="仿宋_GB2312" w:hAnsi="仿宋_GB2312" w:eastAsia="仿宋_GB2312" w:cs="仿宋_GB2312"/>
          <w:color w:val="000000"/>
          <w:kern w:val="0"/>
          <w:sz w:val="32"/>
          <w:szCs w:val="32"/>
          <w:lang w:val="en-US" w:eastAsia="zh-CN" w:bidi="ar"/>
        </w:rPr>
        <w:t>按照《云南省林业和草原局关于2022年度草原建设项目省级抽查验收结果的通知》，该项目综合评价得分80以上，综合评定为“合格”。</w:t>
      </w:r>
    </w:p>
    <w:p>
      <w:pPr>
        <w:adjustRightInd w:val="0"/>
        <w:snapToGrid w:val="0"/>
        <w:spacing w:line="560" w:lineRule="exact"/>
        <w:ind w:firstLine="320" w:firstLineChars="100"/>
        <w:jc w:val="both"/>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（3）时效指标。</w:t>
      </w:r>
      <w:r>
        <w:rPr>
          <w:rFonts w:hint="eastAsia" w:ascii="方正仿宋_GBK" w:hAnsi="方正仿宋_GBK" w:eastAsia="方正仿宋_GBK" w:cs="方正仿宋_GBK"/>
          <w:sz w:val="32"/>
          <w:szCs w:val="32"/>
          <w:lang w:eastAsia="zh-CN"/>
        </w:rPr>
        <w:t>按照计划项目在</w:t>
      </w:r>
      <w:r>
        <w:rPr>
          <w:rFonts w:hint="eastAsia" w:ascii="方正仿宋_GBK" w:hAnsi="方正仿宋_GBK" w:eastAsia="方正仿宋_GBK" w:cs="方正仿宋_GBK"/>
          <w:sz w:val="32"/>
          <w:szCs w:val="32"/>
          <w:lang w:val="en-US" w:eastAsia="zh-CN"/>
        </w:rPr>
        <w:t>2022年内完成。</w:t>
      </w:r>
    </w:p>
    <w:p>
      <w:pPr>
        <w:adjustRightInd w:val="0"/>
        <w:snapToGrid w:val="0"/>
        <w:spacing w:line="560" w:lineRule="exact"/>
        <w:ind w:firstLine="320" w:firstLineChars="100"/>
        <w:jc w:val="both"/>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（4）成本指标。</w:t>
      </w:r>
      <w:r>
        <w:rPr>
          <w:rFonts w:hint="eastAsia" w:ascii="方正仿宋_GBK" w:hAnsi="方正仿宋_GBK" w:eastAsia="方正仿宋_GBK" w:cs="方正仿宋_GBK"/>
          <w:sz w:val="32"/>
          <w:szCs w:val="32"/>
          <w:lang w:eastAsia="zh-CN"/>
        </w:rPr>
        <w:t>按照计划投入，未超预算。</w:t>
      </w:r>
    </w:p>
    <w:p>
      <w:pPr>
        <w:adjustRightInd w:val="0"/>
        <w:snapToGrid w:val="0"/>
        <w:spacing w:line="560" w:lineRule="exact"/>
        <w:ind w:firstLine="480" w:firstLineChars="150"/>
        <w:jc w:val="both"/>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2.效益指标完成情况分析。</w:t>
      </w:r>
    </w:p>
    <w:p>
      <w:pPr>
        <w:keepNext w:val="0"/>
        <w:keepLines w:val="0"/>
        <w:pageBreakBefore w:val="0"/>
        <w:widowControl w:val="0"/>
        <w:kinsoku/>
        <w:wordWrap/>
        <w:overflowPunct/>
        <w:topLinePunct w:val="0"/>
        <w:autoSpaceDE/>
        <w:autoSpaceDN/>
        <w:bidi w:val="0"/>
        <w:adjustRightInd/>
        <w:snapToGrid/>
        <w:spacing w:line="540" w:lineRule="exact"/>
        <w:ind w:firstLine="56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草原是最大的陆地生态系统，具有重要的生态功能和经济价值。通过项目的实施，开展退化草原生态系统修复治理，快速恢复退化草原植被，将提高项目区草原植被盖度，改善草原生态环境，增强草原自然调控能力，促进草原生态系统恢复良性循环。并可探索总结出行之有效的治理技术措施和管理模式，为今后退化草原的全面修复治理积累经验和提供借鉴。</w:t>
      </w:r>
    </w:p>
    <w:p>
      <w:pPr>
        <w:pStyle w:val="4"/>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楷体_GB2312" w:hAnsi="楷体_GB2312" w:eastAsia="楷体_GB2312" w:cs="楷体_GB2312"/>
          <w:b w:val="0"/>
          <w:bCs w:val="0"/>
          <w:kern w:val="2"/>
          <w:sz w:val="32"/>
          <w:szCs w:val="32"/>
          <w:lang w:val="en-US" w:eastAsia="zh-CN" w:bidi="ar-SA"/>
        </w:rPr>
      </w:pPr>
      <w:bookmarkStart w:id="0" w:name="_Toc17861"/>
      <w:bookmarkStart w:id="1" w:name="_Toc21037"/>
      <w:bookmarkStart w:id="2" w:name="_Toc25664638"/>
      <w:bookmarkStart w:id="3" w:name="_Toc8027"/>
      <w:bookmarkStart w:id="4" w:name="_Toc21311"/>
      <w:bookmarkStart w:id="5" w:name="_Toc25664776"/>
      <w:r>
        <w:rPr>
          <w:rFonts w:hint="eastAsia" w:ascii="楷体_GB2312" w:hAnsi="楷体_GB2312" w:eastAsia="楷体_GB2312" w:cs="楷体_GB2312"/>
          <w:b w:val="0"/>
          <w:bCs w:val="0"/>
          <w:kern w:val="2"/>
          <w:sz w:val="32"/>
          <w:szCs w:val="32"/>
          <w:lang w:val="en-US" w:eastAsia="zh-CN" w:bidi="ar-SA"/>
        </w:rPr>
        <w:t>（1）生态效益</w:t>
      </w:r>
      <w:bookmarkEnd w:id="0"/>
      <w:bookmarkEnd w:id="1"/>
      <w:bookmarkEnd w:id="2"/>
      <w:bookmarkEnd w:id="3"/>
      <w:bookmarkEnd w:id="4"/>
      <w:bookmarkEnd w:id="5"/>
    </w:p>
    <w:p>
      <w:pPr>
        <w:keepNext w:val="0"/>
        <w:keepLines w:val="0"/>
        <w:pageBreakBefore w:val="0"/>
        <w:widowControl w:val="0"/>
        <w:kinsoku/>
        <w:wordWrap/>
        <w:overflowPunct/>
        <w:topLinePunct w:val="0"/>
        <w:autoSpaceDE/>
        <w:autoSpaceDN/>
        <w:bidi w:val="0"/>
        <w:adjustRightInd/>
        <w:snapToGrid/>
        <w:spacing w:line="540" w:lineRule="exact"/>
        <w:ind w:firstLine="56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通过项目建设实施和草原生态修复，以及科学管护等措施，使天然草原的植被高度、密度、覆盖度和生物多样性水平呈不同程度的增加，地表综合植被盖度达70%以上，随着地面覆盖率的增加，草群种类的逐渐增多，改善草原的生态，促进草地和植被恢复性地生长，进而提高草原生产力和生态服务功能。随着项目时间的延长和合理利用草原资源，将使植物多样性指数和均匀度指数表现出增加的趋势，草原将进入一个新的生态良性循环系统。</w:t>
      </w:r>
    </w:p>
    <w:p>
      <w:pPr>
        <w:pStyle w:val="4"/>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 w:val="0"/>
          <w:bCs w:val="0"/>
          <w:kern w:val="2"/>
          <w:sz w:val="32"/>
          <w:szCs w:val="32"/>
          <w:lang w:val="en-US" w:eastAsia="zh-CN" w:bidi="ar-SA"/>
        </w:rPr>
      </w:pPr>
      <w:bookmarkStart w:id="6" w:name="_Toc4593"/>
      <w:bookmarkStart w:id="7" w:name="_Toc18210"/>
      <w:bookmarkStart w:id="8" w:name="_Toc551"/>
      <w:bookmarkStart w:id="9" w:name="_Toc25664777"/>
      <w:bookmarkStart w:id="10" w:name="_Toc12905"/>
      <w:bookmarkStart w:id="11" w:name="_Toc25664639"/>
      <w:r>
        <w:rPr>
          <w:rFonts w:hint="eastAsia" w:ascii="仿宋_GB2312" w:hAnsi="仿宋_GB2312" w:eastAsia="仿宋_GB2312" w:cs="仿宋_GB2312"/>
          <w:b w:val="0"/>
          <w:bCs w:val="0"/>
          <w:kern w:val="2"/>
          <w:sz w:val="32"/>
          <w:szCs w:val="32"/>
          <w:lang w:val="en-US" w:eastAsia="zh-CN" w:bidi="ar-SA"/>
        </w:rPr>
        <w:t xml:space="preserve">    </w:t>
      </w:r>
      <w:r>
        <w:rPr>
          <w:rFonts w:hint="eastAsia" w:ascii="楷体_GB2312" w:hAnsi="楷体_GB2312" w:eastAsia="楷体_GB2312" w:cs="楷体_GB2312"/>
          <w:b w:val="0"/>
          <w:bCs w:val="0"/>
          <w:kern w:val="2"/>
          <w:sz w:val="32"/>
          <w:szCs w:val="32"/>
          <w:lang w:val="en-US" w:eastAsia="zh-CN" w:bidi="ar-SA"/>
        </w:rPr>
        <w:t>（2）社会效益</w:t>
      </w:r>
      <w:bookmarkEnd w:id="6"/>
      <w:bookmarkEnd w:id="7"/>
      <w:bookmarkEnd w:id="8"/>
      <w:bookmarkEnd w:id="9"/>
      <w:bookmarkEnd w:id="10"/>
      <w:bookmarkEnd w:id="11"/>
    </w:p>
    <w:p>
      <w:pPr>
        <w:keepNext w:val="0"/>
        <w:keepLines w:val="0"/>
        <w:pageBreakBefore w:val="0"/>
        <w:widowControl w:val="0"/>
        <w:kinsoku/>
        <w:wordWrap/>
        <w:overflowPunct/>
        <w:topLinePunct w:val="0"/>
        <w:autoSpaceDE/>
        <w:autoSpaceDN/>
        <w:bidi w:val="0"/>
        <w:adjustRightInd/>
        <w:snapToGrid/>
        <w:spacing w:line="540" w:lineRule="exact"/>
        <w:ind w:firstLine="56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sym w:font="Wingdings" w:char="F081"/>
      </w:r>
      <w:r>
        <w:rPr>
          <w:rFonts w:hint="eastAsia" w:ascii="仿宋_GB2312" w:hAnsi="仿宋_GB2312" w:eastAsia="仿宋_GB2312" w:cs="仿宋_GB2312"/>
          <w:b w:val="0"/>
          <w:bCs w:val="0"/>
          <w:kern w:val="2"/>
          <w:sz w:val="32"/>
          <w:szCs w:val="32"/>
          <w:lang w:val="en-US" w:eastAsia="zh-CN" w:bidi="ar-SA"/>
        </w:rPr>
        <w:t>增加群众收入，促进生态扶贫</w:t>
      </w:r>
    </w:p>
    <w:p>
      <w:pPr>
        <w:keepNext w:val="0"/>
        <w:keepLines w:val="0"/>
        <w:pageBreakBefore w:val="0"/>
        <w:widowControl w:val="0"/>
        <w:kinsoku/>
        <w:wordWrap/>
        <w:overflowPunct/>
        <w:topLinePunct w:val="0"/>
        <w:autoSpaceDE/>
        <w:autoSpaceDN/>
        <w:bidi w:val="0"/>
        <w:adjustRightInd/>
        <w:snapToGrid/>
        <w:spacing w:line="540" w:lineRule="exact"/>
        <w:ind w:firstLine="56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项目区群众、特别是贫困户通过直接参与工程建设可获得报酬，项目的实施建设需要投入劳动力约0.52万工日，将增加群众劳务收入77.55万元，将推动贫困地区扶贫开发与生态保护相协调、脱贫致富与可持续发展相促进，对社会安定团结和健康发展起到积极的作用。</w:t>
      </w:r>
    </w:p>
    <w:p>
      <w:pPr>
        <w:keepNext w:val="0"/>
        <w:keepLines w:val="0"/>
        <w:pageBreakBefore w:val="0"/>
        <w:widowControl w:val="0"/>
        <w:kinsoku/>
        <w:wordWrap/>
        <w:overflowPunct/>
        <w:topLinePunct w:val="0"/>
        <w:autoSpaceDE/>
        <w:autoSpaceDN/>
        <w:bidi w:val="0"/>
        <w:adjustRightInd/>
        <w:snapToGrid/>
        <w:spacing w:line="540" w:lineRule="exact"/>
        <w:ind w:firstLine="56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sym w:font="Wingdings" w:char="F082"/>
      </w:r>
      <w:r>
        <w:rPr>
          <w:rFonts w:hint="eastAsia" w:ascii="仿宋_GB2312" w:hAnsi="仿宋_GB2312" w:eastAsia="仿宋_GB2312" w:cs="仿宋_GB2312"/>
          <w:b w:val="0"/>
          <w:bCs w:val="0"/>
          <w:kern w:val="2"/>
          <w:sz w:val="32"/>
          <w:szCs w:val="32"/>
          <w:lang w:val="en-US" w:eastAsia="zh-CN" w:bidi="ar-SA"/>
        </w:rPr>
        <w:t>增强群众抗灾救灾能力，维护民族地区的社会稳定</w:t>
      </w:r>
    </w:p>
    <w:p>
      <w:pPr>
        <w:keepNext w:val="0"/>
        <w:keepLines w:val="0"/>
        <w:pageBreakBefore w:val="0"/>
        <w:widowControl w:val="0"/>
        <w:kinsoku/>
        <w:wordWrap/>
        <w:overflowPunct/>
        <w:topLinePunct w:val="0"/>
        <w:autoSpaceDE/>
        <w:autoSpaceDN/>
        <w:bidi w:val="0"/>
        <w:adjustRightInd/>
        <w:snapToGrid/>
        <w:spacing w:line="540" w:lineRule="exact"/>
        <w:ind w:firstLine="56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退化草原生态修复项目是生态建设与保护，协调人与自然和谐、持续、稳定发展的系统工程。可以改善草原生态环境，实现资源优化配置，推动区域经济向二、三产业领域延伸，促进社会经济可持续发展，增强项目区抗灾救灾能力，保障群众的生命财产安全，加快各民族共同富裕，有利于加强民族团结和社会稳定。</w:t>
      </w:r>
    </w:p>
    <w:p>
      <w:pPr>
        <w:keepNext w:val="0"/>
        <w:keepLines w:val="0"/>
        <w:pageBreakBefore w:val="0"/>
        <w:widowControl w:val="0"/>
        <w:kinsoku/>
        <w:wordWrap/>
        <w:overflowPunct/>
        <w:topLinePunct w:val="0"/>
        <w:autoSpaceDE/>
        <w:autoSpaceDN/>
        <w:bidi w:val="0"/>
        <w:adjustRightInd/>
        <w:snapToGrid/>
        <w:spacing w:line="540" w:lineRule="exact"/>
        <w:ind w:firstLine="56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sym w:font="Wingdings" w:char="F083"/>
      </w:r>
      <w:r>
        <w:rPr>
          <w:rFonts w:hint="eastAsia" w:ascii="仿宋_GB2312" w:hAnsi="仿宋_GB2312" w:eastAsia="仿宋_GB2312" w:cs="仿宋_GB2312"/>
          <w:b w:val="0"/>
          <w:bCs w:val="0"/>
          <w:kern w:val="2"/>
          <w:sz w:val="32"/>
          <w:szCs w:val="32"/>
          <w:lang w:val="en-US" w:eastAsia="zh-CN" w:bidi="ar-SA"/>
        </w:rPr>
        <w:t>提升全民素质，推动社会发展</w:t>
      </w:r>
    </w:p>
    <w:p>
      <w:pPr>
        <w:keepNext w:val="0"/>
        <w:keepLines w:val="0"/>
        <w:pageBreakBefore w:val="0"/>
        <w:widowControl w:val="0"/>
        <w:kinsoku/>
        <w:wordWrap/>
        <w:overflowPunct/>
        <w:topLinePunct w:val="0"/>
        <w:autoSpaceDE/>
        <w:autoSpaceDN/>
        <w:bidi w:val="0"/>
        <w:adjustRightInd/>
        <w:snapToGrid/>
        <w:spacing w:line="540" w:lineRule="exact"/>
        <w:ind w:firstLine="56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项目建设实施中，管理部门人员、林草业科技工作者、干部职工和广大群众通过科技推广、业务技能培训和生产实践，管理水平、专业素质、科学技术和工作能力等得到全面提升，对促进盘龙区社会健康、稳定和可持续发展起到积极作用。</w:t>
      </w:r>
    </w:p>
    <w:p>
      <w:pPr>
        <w:adjustRightInd w:val="0"/>
        <w:snapToGrid w:val="0"/>
        <w:spacing w:line="560" w:lineRule="exact"/>
        <w:ind w:firstLine="480" w:firstLineChars="150"/>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3.满意度指标完成情况分析。</w:t>
      </w:r>
    </w:p>
    <w:p>
      <w:pPr>
        <w:pStyle w:val="9"/>
        <w:adjustRightInd w:val="0"/>
        <w:snapToGrid w:val="0"/>
        <w:spacing w:line="560" w:lineRule="exact"/>
        <w:ind w:firstLine="640" w:firstLineChars="200"/>
        <w:jc w:val="left"/>
      </w:pPr>
      <w:r>
        <w:rPr>
          <w:rFonts w:hint="eastAsia" w:ascii="Times New Roman" w:hAnsi="Times New Roman" w:eastAsia="方正仿宋_GB2312" w:cs="Times New Roman"/>
          <w:sz w:val="32"/>
          <w:szCs w:val="32"/>
          <w:lang w:val="en-US" w:eastAsia="zh-CN"/>
        </w:rPr>
        <w:t>项目涉及的</w:t>
      </w:r>
      <w:r>
        <w:rPr>
          <w:rFonts w:hint="eastAsia" w:ascii="Times New Roman" w:hAnsi="Times New Roman" w:eastAsia="方正仿宋_GB2312" w:cs="Times New Roman"/>
          <w:sz w:val="32"/>
          <w:szCs w:val="32"/>
          <w:lang w:eastAsia="zh-CN"/>
        </w:rPr>
        <w:t>滇源</w:t>
      </w:r>
      <w:r>
        <w:rPr>
          <w:rFonts w:hint="eastAsia" w:ascii="Times New Roman" w:hAnsi="Times New Roman" w:eastAsia="方正仿宋_GB2312" w:cs="Times New Roman"/>
          <w:sz w:val="32"/>
          <w:szCs w:val="32"/>
        </w:rPr>
        <w:t>街道</w:t>
      </w:r>
      <w:r>
        <w:rPr>
          <w:rFonts w:hint="eastAsia" w:ascii="Times New Roman" w:hAnsi="Times New Roman" w:eastAsia="方正仿宋_GB2312" w:cs="Times New Roman"/>
          <w:sz w:val="32"/>
          <w:szCs w:val="32"/>
          <w:lang w:eastAsia="zh-CN"/>
        </w:rPr>
        <w:t>，通过项目实施提高了当地生态环境，</w:t>
      </w:r>
      <w:r>
        <w:rPr>
          <w:rFonts w:hint="eastAsia" w:ascii="Times New Roman" w:hAnsi="Times New Roman" w:eastAsia="方正仿宋_GB2312" w:cs="Times New Roman"/>
          <w:sz w:val="32"/>
          <w:szCs w:val="32"/>
          <w:lang w:val="en-US" w:eastAsia="zh-CN"/>
        </w:rPr>
        <w:t>相关居民满意度大于98%。</w:t>
      </w:r>
    </w:p>
    <w:p>
      <w:pPr>
        <w:pStyle w:val="9"/>
        <w:adjustRightInd w:val="0"/>
        <w:snapToGrid w:val="0"/>
        <w:spacing w:line="560" w:lineRule="exact"/>
        <w:ind w:left="180" w:firstLine="0" w:firstLineChars="0"/>
        <w:jc w:val="both"/>
        <w:rPr>
          <w:rFonts w:ascii="方正仿宋_GBK" w:hAnsi="方正仿宋_GBK" w:eastAsia="方正仿宋_GBK" w:cs="方正仿宋_GBK"/>
          <w:b/>
          <w:sz w:val="32"/>
          <w:szCs w:val="32"/>
        </w:rPr>
      </w:pPr>
      <w:r>
        <w:rPr>
          <w:rFonts w:hint="eastAsia" w:ascii="黑体" w:hAnsi="黑体" w:eastAsia="黑体" w:cs="黑体"/>
          <w:bCs/>
          <w:sz w:val="32"/>
          <w:szCs w:val="32"/>
        </w:rPr>
        <w:t>二、偏离绩效目标原因和下一步改进措施。</w:t>
      </w:r>
    </w:p>
    <w:p>
      <w:pPr>
        <w:pStyle w:val="9"/>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lang w:val="en-US" w:eastAsia="zh-CN"/>
        </w:rPr>
        <w:t>该项目未偏离绩效目标</w:t>
      </w:r>
      <w:r>
        <w:rPr>
          <w:rFonts w:hint="eastAsia" w:ascii="Times New Roman" w:hAnsi="Times New Roman" w:eastAsia="方正仿宋_GB2312" w:cs="Times New Roman"/>
          <w:sz w:val="32"/>
          <w:szCs w:val="32"/>
        </w:rPr>
        <w:t>。</w:t>
      </w:r>
    </w:p>
    <w:p>
      <w:pPr>
        <w:pStyle w:val="9"/>
        <w:adjustRightInd w:val="0"/>
        <w:snapToGrid w:val="0"/>
        <w:spacing w:line="560" w:lineRule="exact"/>
        <w:ind w:left="180" w:firstLine="0" w:firstLineChars="0"/>
        <w:jc w:val="both"/>
        <w:rPr>
          <w:rFonts w:hint="eastAsia" w:ascii="黑体" w:hAnsi="黑体" w:eastAsia="黑体" w:cs="黑体"/>
          <w:sz w:val="32"/>
          <w:szCs w:val="32"/>
        </w:rPr>
      </w:pPr>
      <w:r>
        <w:rPr>
          <w:rFonts w:hint="eastAsia" w:ascii="黑体" w:hAnsi="黑体" w:eastAsia="黑体" w:cs="黑体"/>
          <w:sz w:val="32"/>
          <w:szCs w:val="32"/>
        </w:rPr>
        <w:t>三、绩效自评结果拟应用和公开情况。</w:t>
      </w:r>
    </w:p>
    <w:p>
      <w:pPr>
        <w:pStyle w:val="9"/>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黑体" w:hAnsi="黑体" w:eastAsia="黑体" w:cs="黑体"/>
          <w:sz w:val="32"/>
          <w:szCs w:val="32"/>
        </w:rPr>
      </w:pPr>
      <w:r>
        <w:rPr>
          <w:rFonts w:hint="eastAsia" w:ascii="Times New Roman" w:hAnsi="Times New Roman" w:eastAsia="方正仿宋_GB2312" w:cs="Times New Roman"/>
          <w:sz w:val="32"/>
          <w:szCs w:val="32"/>
        </w:rPr>
        <w:t>自评总分为100分，</w:t>
      </w:r>
      <w:r>
        <w:rPr>
          <w:rFonts w:hint="eastAsia" w:ascii="Times New Roman" w:hAnsi="Times New Roman" w:eastAsia="方正仿宋_GB2312" w:cs="Times New Roman"/>
          <w:sz w:val="32"/>
          <w:szCs w:val="32"/>
          <w:lang w:val="en-US" w:eastAsia="zh-CN"/>
        </w:rPr>
        <w:t>自评</w:t>
      </w:r>
      <w:r>
        <w:rPr>
          <w:rFonts w:hint="eastAsia" w:ascii="Times New Roman" w:hAnsi="Times New Roman" w:eastAsia="方正仿宋_GB2312" w:cs="Times New Roman"/>
          <w:sz w:val="32"/>
          <w:szCs w:val="32"/>
        </w:rPr>
        <w:t>得分</w:t>
      </w:r>
      <w:r>
        <w:rPr>
          <w:rFonts w:hint="eastAsia" w:ascii="Times New Roman" w:hAnsi="Times New Roman" w:eastAsia="方正仿宋_GB2312" w:cs="Times New Roman"/>
          <w:sz w:val="32"/>
          <w:szCs w:val="32"/>
          <w:lang w:val="en-US" w:eastAsia="zh-CN"/>
        </w:rPr>
        <w:t>98</w:t>
      </w:r>
      <w:r>
        <w:rPr>
          <w:rFonts w:hint="eastAsia" w:ascii="Times New Roman" w:hAnsi="Times New Roman" w:eastAsia="方正仿宋_GB2312" w:cs="Times New Roman"/>
          <w:sz w:val="32"/>
          <w:szCs w:val="32"/>
        </w:rPr>
        <w:t>分，</w:t>
      </w:r>
      <w:r>
        <w:rPr>
          <w:rFonts w:hint="eastAsia" w:ascii="Times New Roman" w:hAnsi="Times New Roman" w:eastAsia="方正仿宋_GB2312" w:cs="Times New Roman"/>
          <w:sz w:val="32"/>
          <w:szCs w:val="32"/>
          <w:lang w:val="en-US" w:eastAsia="zh-CN"/>
        </w:rPr>
        <w:t>绩效自评结果拟在本局内通报，并通知实施单位及上报上级单位。绩效自评结果在本局公示栏公开公示，并在涉及街道办事处公告栏公开公示，</w:t>
      </w:r>
      <w:r>
        <w:rPr>
          <w:rFonts w:hint="eastAsia" w:ascii="Times New Roman" w:hAnsi="Times New Roman" w:eastAsia="方正仿宋_GB2312" w:cs="Times New Roman"/>
          <w:sz w:val="32"/>
          <w:szCs w:val="32"/>
        </w:rPr>
        <w:t>接受社会监督。</w:t>
      </w:r>
    </w:p>
    <w:p>
      <w:pPr>
        <w:pStyle w:val="9"/>
        <w:adjustRightInd w:val="0"/>
        <w:snapToGrid w:val="0"/>
        <w:spacing w:line="560" w:lineRule="exact"/>
        <w:ind w:left="180" w:firstLine="0" w:firstLineChars="0"/>
        <w:jc w:val="both"/>
        <w:rPr>
          <w:rFonts w:hint="eastAsia" w:ascii="黑体" w:hAnsi="黑体" w:eastAsia="黑体" w:cs="黑体"/>
          <w:sz w:val="32"/>
          <w:szCs w:val="32"/>
        </w:rPr>
      </w:pPr>
      <w:r>
        <w:rPr>
          <w:rFonts w:hint="eastAsia" w:ascii="黑体" w:hAnsi="黑体" w:eastAsia="黑体" w:cs="黑体"/>
          <w:sz w:val="32"/>
          <w:szCs w:val="32"/>
        </w:rPr>
        <w:t>四、项目实施的经验、问题和建议。</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(1)对不适合修复的地块，我单位已对实施方案进行变更，增加了修复地块。报昆明市林业和草原局批准，并已按照变更后的实施方案进行修复；</w:t>
      </w:r>
    </w:p>
    <w:p>
      <w:pPr>
        <w:pStyle w:val="9"/>
        <w:adjustRightInd w:val="0"/>
        <w:snapToGrid w:val="0"/>
        <w:spacing w:line="560" w:lineRule="exact"/>
        <w:jc w:val="both"/>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我单位及监理对施工现场问题提出了整改,在裸露比较多的小班补播后盖上薄膜,重新对长势不理想的小班及漏播部分小班进行了补播,并于8月30日整改完成,除了个别小班补播后受雨季影响在次发生泥石流或者草地雨水淹没导致草种无法生长,对此我局及监理公司通过多次加大督导力度,目前项目已竣工验收完毕。</w:t>
      </w:r>
    </w:p>
    <w:p>
      <w:pPr>
        <w:pStyle w:val="9"/>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五、其他需说明的问题。</w:t>
      </w:r>
    </w:p>
    <w:p>
      <w:pPr>
        <w:pStyle w:val="9"/>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left"/>
        <w:textAlignment w:val="auto"/>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没有其他需要说明的问题。</w:t>
      </w:r>
    </w:p>
    <w:p>
      <w:pPr>
        <w:pStyle w:val="9"/>
        <w:adjustRightInd w:val="0"/>
        <w:snapToGrid w:val="0"/>
        <w:spacing w:line="560" w:lineRule="exact"/>
        <w:jc w:val="both"/>
        <w:rPr>
          <w:rFonts w:hint="eastAsia" w:ascii="仿宋_GB2312" w:hAnsi="仿宋_GB2312" w:eastAsia="仿宋_GB2312" w:cs="仿宋_GB2312"/>
          <w:color w:val="000000"/>
          <w:kern w:val="0"/>
          <w:sz w:val="32"/>
          <w:szCs w:val="32"/>
          <w:lang w:val="en-US" w:eastAsia="zh-CN" w:bidi="ar"/>
        </w:rPr>
      </w:pPr>
    </w:p>
    <w:p>
      <w:pPr>
        <w:pStyle w:val="9"/>
        <w:adjustRightInd w:val="0"/>
        <w:snapToGrid w:val="0"/>
        <w:spacing w:line="560" w:lineRule="exact"/>
        <w:ind w:left="180" w:firstLine="0" w:firstLineChars="0"/>
        <w:jc w:val="both"/>
        <w:rPr>
          <w:rFonts w:hint="eastAsia" w:ascii="黑体" w:hAnsi="黑体" w:eastAsia="黑体" w:cs="黑体"/>
          <w:sz w:val="32"/>
          <w:szCs w:val="32"/>
        </w:rPr>
      </w:pPr>
    </w:p>
    <w:p>
      <w:pPr>
        <w:pStyle w:val="9"/>
        <w:adjustRightInd w:val="0"/>
        <w:snapToGrid w:val="0"/>
        <w:spacing w:line="560" w:lineRule="exact"/>
        <w:ind w:left="180" w:firstLine="0" w:firstLineChars="0"/>
        <w:jc w:val="both"/>
        <w:rPr>
          <w:rFonts w:ascii="方正仿宋_GBK" w:hAnsi="方正仿宋_GBK" w:eastAsia="方正仿宋_GBK" w:cs="方正仿宋_GBK"/>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A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84DA1"/>
    <w:multiLevelType w:val="multilevel"/>
    <w:tmpl w:val="01E84DA1"/>
    <w:lvl w:ilvl="0" w:tentative="0">
      <w:start w:val="1"/>
      <w:numFmt w:val="decimal"/>
      <w:lvlText w:val="%1."/>
      <w:lvlJc w:val="left"/>
      <w:pPr>
        <w:ind w:left="771" w:hanging="360"/>
      </w:pPr>
      <w:rPr>
        <w:rFonts w:hint="default" w:cs="Times New Roman"/>
      </w:rPr>
    </w:lvl>
    <w:lvl w:ilvl="1" w:tentative="0">
      <w:start w:val="1"/>
      <w:numFmt w:val="lowerLetter"/>
      <w:lvlText w:val="%2)"/>
      <w:lvlJc w:val="left"/>
      <w:pPr>
        <w:ind w:left="1251" w:hanging="420"/>
      </w:pPr>
      <w:rPr>
        <w:rFonts w:cs="Times New Roman"/>
      </w:rPr>
    </w:lvl>
    <w:lvl w:ilvl="2" w:tentative="0">
      <w:start w:val="1"/>
      <w:numFmt w:val="lowerRoman"/>
      <w:lvlText w:val="%3."/>
      <w:lvlJc w:val="right"/>
      <w:pPr>
        <w:ind w:left="1671" w:hanging="420"/>
      </w:pPr>
      <w:rPr>
        <w:rFonts w:cs="Times New Roman"/>
      </w:rPr>
    </w:lvl>
    <w:lvl w:ilvl="3" w:tentative="0">
      <w:start w:val="1"/>
      <w:numFmt w:val="decimal"/>
      <w:lvlText w:val="%4."/>
      <w:lvlJc w:val="left"/>
      <w:pPr>
        <w:ind w:left="2091" w:hanging="420"/>
      </w:pPr>
      <w:rPr>
        <w:rFonts w:cs="Times New Roman"/>
      </w:rPr>
    </w:lvl>
    <w:lvl w:ilvl="4" w:tentative="0">
      <w:start w:val="1"/>
      <w:numFmt w:val="lowerLetter"/>
      <w:lvlText w:val="%5)"/>
      <w:lvlJc w:val="left"/>
      <w:pPr>
        <w:ind w:left="2511" w:hanging="420"/>
      </w:pPr>
      <w:rPr>
        <w:rFonts w:cs="Times New Roman"/>
      </w:rPr>
    </w:lvl>
    <w:lvl w:ilvl="5" w:tentative="0">
      <w:start w:val="1"/>
      <w:numFmt w:val="lowerRoman"/>
      <w:lvlText w:val="%6."/>
      <w:lvlJc w:val="right"/>
      <w:pPr>
        <w:ind w:left="2931" w:hanging="420"/>
      </w:pPr>
      <w:rPr>
        <w:rFonts w:cs="Times New Roman"/>
      </w:rPr>
    </w:lvl>
    <w:lvl w:ilvl="6" w:tentative="0">
      <w:start w:val="1"/>
      <w:numFmt w:val="decimal"/>
      <w:lvlText w:val="%7."/>
      <w:lvlJc w:val="left"/>
      <w:pPr>
        <w:ind w:left="3351" w:hanging="420"/>
      </w:pPr>
      <w:rPr>
        <w:rFonts w:cs="Times New Roman"/>
      </w:rPr>
    </w:lvl>
    <w:lvl w:ilvl="7" w:tentative="0">
      <w:start w:val="1"/>
      <w:numFmt w:val="lowerLetter"/>
      <w:lvlText w:val="%8)"/>
      <w:lvlJc w:val="left"/>
      <w:pPr>
        <w:ind w:left="3771" w:hanging="420"/>
      </w:pPr>
      <w:rPr>
        <w:rFonts w:cs="Times New Roman"/>
      </w:rPr>
    </w:lvl>
    <w:lvl w:ilvl="8" w:tentative="0">
      <w:start w:val="1"/>
      <w:numFmt w:val="lowerRoman"/>
      <w:lvlText w:val="%9."/>
      <w:lvlJc w:val="right"/>
      <w:pPr>
        <w:ind w:left="4191"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Dc2OWNjOTM4YTlhMWVkOTM5ODVkODkzZGRkNDZmMWUifQ=="/>
  </w:docVars>
  <w:rsids>
    <w:rsidRoot w:val="00ED1B61"/>
    <w:rsid w:val="001B3240"/>
    <w:rsid w:val="00782F40"/>
    <w:rsid w:val="007D3487"/>
    <w:rsid w:val="00B56D10"/>
    <w:rsid w:val="00BF14BD"/>
    <w:rsid w:val="00DF0D10"/>
    <w:rsid w:val="00ED1B61"/>
    <w:rsid w:val="00EE4375"/>
    <w:rsid w:val="00F34CFD"/>
    <w:rsid w:val="00FC5E9E"/>
    <w:rsid w:val="14EF1F94"/>
    <w:rsid w:val="1CCC7181"/>
    <w:rsid w:val="24EB0756"/>
    <w:rsid w:val="290359F1"/>
    <w:rsid w:val="2C546568"/>
    <w:rsid w:val="2F816AD3"/>
    <w:rsid w:val="35DB672F"/>
    <w:rsid w:val="3BA76BA0"/>
    <w:rsid w:val="44D90662"/>
    <w:rsid w:val="534C4525"/>
    <w:rsid w:val="555B016B"/>
    <w:rsid w:val="591A104C"/>
    <w:rsid w:val="66635B5F"/>
    <w:rsid w:val="6ADD0E09"/>
    <w:rsid w:val="6DCA3C64"/>
    <w:rsid w:val="7A7F465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qFormat="1" w:unhideWhenUsed="0" w:uiPriority="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iPriority="0" w:name="Normal Indent"/>
    <w:lsdException w:uiPriority="0" w:name="footnote text"/>
    <w:lsdException w:uiPriority="0" w:name="annotation text"/>
    <w:lsdException w:uiPriority="0" w:name="header"/>
    <w:lsdException w:uiPriority="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ocked="1"/>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qFormat/>
    <w:locked/>
    <w:uiPriority w:val="0"/>
    <w:pPr>
      <w:ind w:firstLine="0" w:firstLineChars="0"/>
      <w:jc w:val="left"/>
      <w:outlineLvl w:val="1"/>
    </w:pPr>
    <w:rPr>
      <w:rFonts w:ascii="方正黑体_GBK" w:hAnsi="方正黑体_GBK" w:eastAsia="方正黑体_GBK" w:cs="方正黑体_GBK"/>
      <w:color w:val="000000"/>
      <w:sz w:val="32"/>
      <w:szCs w:val="32"/>
    </w:rPr>
  </w:style>
  <w:style w:type="paragraph" w:styleId="5">
    <w:name w:val="heading 3"/>
    <w:basedOn w:val="1"/>
    <w:next w:val="1"/>
    <w:qFormat/>
    <w:locked/>
    <w:uiPriority w:val="0"/>
    <w:pPr>
      <w:keepLines/>
      <w:ind w:firstLine="281" w:firstLineChars="100"/>
      <w:outlineLvl w:val="2"/>
    </w:pPr>
    <w:rPr>
      <w:rFonts w:cs="方正楷体_GBK"/>
      <w:b/>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3"/>
    <w:qFormat/>
    <w:uiPriority w:val="0"/>
    <w:pPr>
      <w:spacing w:after="120"/>
    </w:pPr>
    <w:rPr>
      <w:rFonts w:ascii="Calibri" w:hAnsi="Calibri"/>
    </w:rPr>
  </w:style>
  <w:style w:type="paragraph" w:styleId="3">
    <w:name w:val="toc 5"/>
    <w:basedOn w:val="1"/>
    <w:next w:val="1"/>
    <w:semiHidden/>
    <w:qFormat/>
    <w:locked/>
    <w:uiPriority w:val="0"/>
    <w:pPr>
      <w:spacing w:after="0"/>
      <w:ind w:left="880"/>
    </w:pPr>
    <w:rPr>
      <w:rFonts w:ascii="Calibri" w:hAnsi="Calibri"/>
      <w:sz w:val="18"/>
      <w:szCs w:val="18"/>
    </w:rPr>
  </w:style>
  <w:style w:type="paragraph" w:styleId="6">
    <w:name w:val="Normal Indent"/>
    <w:basedOn w:val="1"/>
    <w:semiHidden/>
    <w:unhideWhenUsed/>
    <w:qFormat/>
    <w:uiPriority w:val="0"/>
    <w:pPr>
      <w:ind w:firstLine="420" w:firstLineChars="200"/>
    </w:pPr>
  </w:style>
  <w:style w:type="paragraph" w:customStyle="1" w:styleId="9">
    <w:name w:val="列表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348</Words>
  <Characters>358</Characters>
  <Lines>2</Lines>
  <Paragraphs>1</Paragraphs>
  <TotalTime>2</TotalTime>
  <ScaleCrop>false</ScaleCrop>
  <LinksUpToDate>false</LinksUpToDate>
  <CharactersWithSpaces>361</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2018-04-09T11:30:00Z</dcterms:created>
  <dc:creator>Windows User</dc:creator>
  <cp:lastModifiedBy>Administrator</cp:lastModifiedBy>
  <cp:lastPrinted>2020-04-02T14:52:00Z</cp:lastPrinted>
  <dcterms:modified xsi:type="dcterms:W3CDTF">2023-04-10T07:44:22Z</dcterms:modified>
  <dc:title>XX州 XX专项转移支付2018年度绩效自评报告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2DB2909324C1457696A160AD98D8A58E</vt:lpwstr>
  </property>
</Properties>
</file>