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left="840" w:hanging="840" w:hangingChars="300"/>
        <w:jc w:val="left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附件5：项目支出绩效评价报告</w:t>
      </w: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2022年中央林业改革发展专项资金（森林生态效益补偿)项目支出绩效</w:t>
      </w:r>
      <w:r>
        <w:rPr>
          <w:rFonts w:hint="eastAsia" w:ascii="黑体" w:hAnsi="黑体" w:eastAsia="黑体" w:cs="黑体"/>
          <w:bCs/>
          <w:sz w:val="52"/>
          <w:szCs w:val="5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Cs/>
          <w:sz w:val="52"/>
          <w:szCs w:val="52"/>
        </w:rPr>
        <w:t>评价报告</w:t>
      </w:r>
    </w:p>
    <w:p>
      <w:pPr>
        <w:spacing w:before="120" w:after="120" w:line="480" w:lineRule="auto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44"/>
          <w:szCs w:val="44"/>
        </w:rPr>
      </w:pPr>
    </w:p>
    <w:p>
      <w:pPr>
        <w:tabs>
          <w:tab w:val="center" w:pos="4783"/>
          <w:tab w:val="right" w:pos="8306"/>
        </w:tabs>
        <w:adjustRightInd w:val="0"/>
        <w:snapToGrid w:val="0"/>
        <w:spacing w:line="360" w:lineRule="auto"/>
        <w:ind w:left="1260" w:leftChars="600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0" o:spid="_x0000_s2050" o:spt="32" type="#_x0000_t32" style="position:absolute;left:0pt;margin-left:186.75pt;margin-top:15.45pt;height:0pt;width:196.5pt;z-index:25166028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部门名称（公章）：</w:t>
      </w:r>
      <w:r>
        <w:rPr>
          <w:rFonts w:ascii="黑体" w:hAnsi="黑体" w:eastAsia="黑体" w:cs="黑体"/>
          <w:b/>
          <w:bCs/>
          <w:sz w:val="28"/>
          <w:szCs w:val="28"/>
        </w:rPr>
        <w:tab/>
      </w:r>
      <w:r>
        <w:rPr>
          <w:rFonts w:hint="eastAsia" w:ascii="黑体" w:hAnsi="黑体" w:eastAsia="黑体" w:cs="黑体"/>
          <w:b/>
          <w:bCs/>
          <w:sz w:val="28"/>
          <w:szCs w:val="28"/>
        </w:rPr>
        <w:t>盘龙区农业农村局</w:t>
      </w:r>
    </w:p>
    <w:p>
      <w:pPr>
        <w:adjustRightInd w:val="0"/>
        <w:snapToGrid w:val="0"/>
        <w:spacing w:line="360" w:lineRule="auto"/>
        <w:ind w:left="1260" w:leftChars="600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1" o:spid="_x0000_s2051" o:spt="32" type="#_x0000_t32" style="position:absolute;left:0pt;margin-left:135pt;margin-top:17.45pt;height:0pt;width:196.5pt;z-index:251661312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项目单位：</w:t>
      </w:r>
      <w:r>
        <w:rPr>
          <w:rFonts w:ascii="黑体" w:hAnsi="黑体" w:eastAsia="黑体" w:cs="黑体"/>
          <w:b/>
          <w:bCs/>
          <w:sz w:val="28"/>
          <w:szCs w:val="28"/>
        </w:rPr>
        <w:t xml:space="preserve"> </w:t>
      </w:r>
    </w:p>
    <w:p>
      <w:pPr>
        <w:tabs>
          <w:tab w:val="left" w:pos="3445"/>
        </w:tabs>
        <w:adjustRightInd w:val="0"/>
        <w:snapToGrid w:val="0"/>
        <w:spacing w:line="360" w:lineRule="auto"/>
        <w:ind w:left="1260" w:leftChars="600"/>
        <w:rPr>
          <w:rFonts w:ascii="黑体" w:hAnsi="黑体" w:eastAsia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2" o:spid="_x0000_s2052" o:spt="32" type="#_x0000_t32" style="position:absolute;left:0pt;margin-left:135pt;margin-top:14.25pt;height:0pt;width:196.5pt;z-index:251662336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主管部门：</w:t>
      </w:r>
      <w:r>
        <w:rPr>
          <w:rFonts w:ascii="黑体" w:hAnsi="黑体" w:eastAsia="黑体"/>
          <w:b/>
          <w:bCs/>
          <w:sz w:val="28"/>
          <w:szCs w:val="28"/>
        </w:rPr>
        <w:t xml:space="preserve"> </w:t>
      </w:r>
      <w:r>
        <w:rPr>
          <w:rFonts w:hint="eastAsia" w:ascii="黑体" w:hAnsi="黑体" w:eastAsia="黑体"/>
          <w:b/>
          <w:bCs/>
          <w:sz w:val="28"/>
          <w:szCs w:val="28"/>
        </w:rPr>
        <w:t>盘龙区农业农村局</w:t>
      </w:r>
    </w:p>
    <w:p>
      <w:pPr>
        <w:adjustRightInd w:val="0"/>
        <w:snapToGrid w:val="0"/>
        <w:spacing w:line="360" w:lineRule="auto"/>
        <w:ind w:left="1260" w:leftChars="600"/>
        <w:rPr>
          <w:rFonts w:ascii="黑体" w:hAnsi="黑体" w:eastAsia="黑体" w:cs="黑体"/>
          <w:b/>
          <w:bCs/>
          <w:sz w:val="28"/>
          <w:szCs w:val="28"/>
          <w:u w:val="single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3" o:spid="_x0000_s2053" o:spt="32" type="#_x0000_t32" style="position:absolute;left:0pt;margin-left:135pt;margin-top:14.25pt;height:0pt;width:196.5pt;z-index:251663360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项目名称：</w:t>
      </w:r>
      <w:r>
        <w:rPr>
          <w:rFonts w:hint="eastAsia" w:ascii="黑体" w:hAnsi="黑体" w:eastAsia="黑体"/>
          <w:b/>
          <w:bCs/>
          <w:sz w:val="28"/>
          <w:szCs w:val="28"/>
          <w:u w:val="none"/>
        </w:rPr>
        <w:t>2022年中央林业改革发展专项资</w:t>
      </w:r>
      <w:r>
        <w:rPr>
          <w:rFonts w:hint="eastAsia" w:ascii="黑体" w:hAnsi="黑体" w:eastAsia="黑体"/>
          <w:b/>
          <w:bCs/>
          <w:sz w:val="28"/>
          <w:szCs w:val="28"/>
          <w:u w:val="single"/>
        </w:rPr>
        <w:t>金（森林生态效益补偿)项目支出绩效评价报告</w:t>
      </w:r>
      <w:r>
        <w:rPr>
          <w:rFonts w:ascii="黑体" w:hAnsi="黑体" w:eastAsia="黑体" w:cs="黑体"/>
          <w:b/>
          <w:bCs/>
          <w:sz w:val="28"/>
          <w:szCs w:val="28"/>
          <w:u w:val="single"/>
        </w:rPr>
        <w:pict>
          <v:shape id="_x0000_s2054" o:spid="_x0000_s2054" o:spt="32" type="#_x0000_t32" style="position:absolute;left:0pt;margin-left:135pt;margin-top:14.25pt;height:0pt;width:196.5pt;z-index:251664384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</w:p>
    <w:p>
      <w:pPr>
        <w:adjustRightInd w:val="0"/>
        <w:snapToGrid w:val="0"/>
        <w:spacing w:line="360" w:lineRule="auto"/>
        <w:ind w:left="1260" w:leftChars="600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日期：</w:t>
      </w:r>
      <w:r>
        <w:rPr>
          <w:rFonts w:ascii="黑体" w:hAnsi="黑体" w:eastAsia="黑体"/>
          <w:b/>
          <w:bCs/>
          <w:sz w:val="28"/>
          <w:szCs w:val="28"/>
        </w:rPr>
        <w:t xml:space="preserve"> </w:t>
      </w:r>
      <w:r>
        <w:rPr>
          <w:rFonts w:hint="eastAsia" w:ascii="黑体" w:hAnsi="黑体" w:eastAsia="黑体"/>
          <w:b/>
          <w:bCs/>
          <w:sz w:val="28"/>
          <w:szCs w:val="28"/>
        </w:rPr>
        <w:t>202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/>
          <w:b/>
          <w:bCs/>
          <w:sz w:val="28"/>
          <w:szCs w:val="28"/>
        </w:rPr>
        <w:t>月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27</w:t>
      </w:r>
      <w:r>
        <w:rPr>
          <w:rFonts w:hint="eastAsia" w:ascii="黑体" w:hAnsi="黑体" w:eastAsia="黑体"/>
          <w:b/>
          <w:bCs/>
          <w:sz w:val="28"/>
          <w:szCs w:val="28"/>
        </w:rPr>
        <w:t>日</w:t>
      </w:r>
    </w:p>
    <w:p>
      <w:pPr>
        <w:spacing w:line="360" w:lineRule="auto"/>
        <w:ind w:left="1218" w:leftChars="580"/>
        <w:rPr>
          <w:rFonts w:ascii="黑体" w:hAnsi="黑体" w:eastAsia="黑体"/>
          <w:b/>
          <w:bCs/>
          <w:sz w:val="28"/>
          <w:szCs w:val="28"/>
        </w:rPr>
      </w:pPr>
    </w:p>
    <w:p>
      <w:pPr>
        <w:jc w:val="center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ascii="黑体" w:hAnsi="黑体" w:eastAsia="黑体"/>
          <w:b/>
          <w:bCs/>
          <w:sz w:val="28"/>
          <w:szCs w:val="28"/>
        </w:rPr>
        <w:t>20</w:t>
      </w:r>
      <w:r>
        <w:rPr>
          <w:rFonts w:hint="eastAsia" w:ascii="黑体" w:hAnsi="黑体" w:eastAsia="黑体"/>
          <w:b/>
          <w:bCs/>
          <w:sz w:val="28"/>
          <w:szCs w:val="28"/>
        </w:rPr>
        <w:t>2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月</w:t>
      </w:r>
    </w:p>
    <w:p>
      <w:pPr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仿宋_GB2312"/>
          <w:b/>
          <w:bCs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b/>
          <w:bCs/>
          <w:sz w:val="28"/>
          <w:szCs w:val="28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>
      <w:pPr>
        <w:pStyle w:val="11"/>
        <w:widowControl w:val="0"/>
        <w:spacing w:after="0" w:line="360" w:lineRule="auto"/>
        <w:ind w:left="420" w:leftChars="200"/>
        <w:jc w:val="both"/>
        <w:rPr>
          <w:rFonts w:ascii="Times New Roman" w:hAnsi="Times New Roman" w:eastAsia="黑体" w:cs="Times New Roman"/>
          <w:kern w:val="2"/>
          <w:sz w:val="24"/>
          <w:szCs w:val="24"/>
          <w:lang w:val="zh-TW" w:eastAsia="zh-TW"/>
        </w:rPr>
      </w:pPr>
      <w:r>
        <w:rPr>
          <w:rFonts w:hint="eastAsia" w:ascii="Times New Roman" w:hAnsi="Times New Roman" w:eastAsia="黑体" w:cs="黑体"/>
          <w:kern w:val="2"/>
          <w:sz w:val="24"/>
          <w:szCs w:val="24"/>
          <w:lang w:val="zh-TW" w:eastAsia="zh-TW"/>
        </w:rPr>
        <w:t>评价小组成员：</w:t>
      </w:r>
    </w:p>
    <w:tbl>
      <w:tblPr>
        <w:tblStyle w:val="6"/>
        <w:tblpPr w:leftFromText="180" w:rightFromText="180" w:vertAnchor="text" w:horzAnchor="margin" w:tblpY="72"/>
        <w:tblW w:w="81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评价小组</w:t>
            </w:r>
          </w:p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机构职位</w:t>
            </w:r>
          </w:p>
        </w:tc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姓名</w:t>
            </w:r>
          </w:p>
        </w:tc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职务/职称</w:t>
            </w:r>
          </w:p>
        </w:tc>
        <w:tc>
          <w:tcPr>
            <w:tcW w:w="1621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所属</w:t>
            </w:r>
          </w:p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单位/处室</w:t>
            </w:r>
          </w:p>
        </w:tc>
        <w:tc>
          <w:tcPr>
            <w:tcW w:w="1621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组长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24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en-US" w:eastAsia="zh-CN"/>
              </w:rPr>
              <w:t>冯瑞锦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24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  <w:t>副局长</w:t>
            </w: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24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  <w:t>区农业农村局</w:t>
            </w: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24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36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副组长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李安庆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科长</w:t>
            </w: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林草资源科</w:t>
            </w: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36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  <w:t>曹小琼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</w:pP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林草资源科</w:t>
            </w: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36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  <w:t>……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报告撰写人（签字）：</w:t>
            </w:r>
          </w:p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1"/>
              <w:widowControl w:val="0"/>
              <w:wordWrap w:val="0"/>
              <w:spacing w:after="0" w:line="360" w:lineRule="auto"/>
              <w:jc w:val="right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评价工作负责人（签字）：</w:t>
            </w:r>
          </w:p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1"/>
              <w:widowControl w:val="0"/>
              <w:wordWrap w:val="0"/>
              <w:spacing w:after="0" w:line="360" w:lineRule="auto"/>
              <w:jc w:val="right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</w:tbl>
    <w:p>
      <w:pPr>
        <w:pStyle w:val="11"/>
        <w:widowControl w:val="0"/>
        <w:spacing w:after="0" w:line="360" w:lineRule="auto"/>
        <w:ind w:firstLine="566" w:firstLineChars="236"/>
        <w:jc w:val="both"/>
        <w:rPr>
          <w:rFonts w:ascii="Times New Roman" w:hAnsi="Times New Roman" w:eastAsia="PMingLiU" w:cs="Times New Roman"/>
          <w:kern w:val="2"/>
          <w:sz w:val="24"/>
          <w:szCs w:val="24"/>
          <w:lang w:val="zh-TW" w:eastAsia="zh-TW"/>
        </w:rPr>
      </w:pPr>
    </w:p>
    <w:p>
      <w:pPr>
        <w:pStyle w:val="11"/>
        <w:widowControl w:val="0"/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zh-TW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10"/>
        <w:jc w:val="center"/>
        <w:rPr>
          <w:rFonts w:ascii="Times New Roman" w:hAnsi="Times New Roman" w:cs="Times New Roman"/>
          <w:color w:val="auto"/>
        </w:rPr>
      </w:pPr>
      <w:r>
        <w:rPr>
          <w:rFonts w:hint="eastAsia" w:ascii="Times New Roman" w:hAnsi="Times New Roman" w:cs="宋体"/>
          <w:color w:val="auto"/>
          <w:lang w:val="zh-CN"/>
        </w:rPr>
        <w:t>目录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摘要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一、 项目基本情况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（一）项目立项背景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（二）项目立项依据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（三）项目实施内容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（四）项目实施计划及完成情况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（五）项目的组织及管理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（六）项目绩效目标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二、绩效评价工作情况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(一)评价的目的和依据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(二)绩效评价工作方案制定过程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(三)绩效评价原则、评价方法等</w:t>
      </w:r>
      <w:r>
        <w:rPr>
          <w:rFonts w:hint="eastAsia" w:ascii="黑体" w:hAnsi="黑体" w:eastAsia="黑体"/>
          <w:szCs w:val="32"/>
        </w:rPr>
        <w:tab/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(四)绩效评价实施过程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(五)绩效评价的局限性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三、评价结论及绩效分析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(一)评价结论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(二)绩效分析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四、项目主要经验及做法、存在的问题和建议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(一)主要经验及做法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(二)存在的问题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(三)建议和改进措施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五、附件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附件一：指标体系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附件二：基础数据表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附件三：访谈记录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附件四：问卷调查分析报告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附件五：</w:t>
      </w:r>
      <w:r>
        <w:rPr>
          <w:rFonts w:ascii="黑体" w:hAnsi="黑体" w:eastAsia="黑体" w:cs="黑体"/>
          <w:sz w:val="24"/>
          <w:szCs w:val="24"/>
          <w:lang w:val="zh-TW"/>
        </w:rPr>
        <w:t>……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 </w:t>
      </w:r>
    </w:p>
    <w:p>
      <w:pPr>
        <w:spacing w:line="540" w:lineRule="exact"/>
        <w:rPr>
          <w:rFonts w:ascii="方正小标宋_GBK" w:hAnsi="黑体" w:eastAsia="方正小标宋_GBK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2022年中央林业改革发展专项资金（森林生态效益补偿)项目支出绩效评价报告</w:t>
      </w:r>
    </w:p>
    <w:p>
      <w:pPr>
        <w:topLinePunct/>
        <w:ind w:firstLine="800" w:firstLineChars="250"/>
        <w:rPr>
          <w:rFonts w:hint="eastAsia" w:ascii="仿宋" w:hAnsi="仿宋" w:eastAsia="仿宋"/>
          <w:sz w:val="32"/>
          <w:szCs w:val="32"/>
        </w:rPr>
      </w:pPr>
    </w:p>
    <w:p>
      <w:pPr>
        <w:topLinePunct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一、项目基本情况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（一）项目概况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1.立项背景及目的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2017年对国家级公益林进行修编，</w:t>
      </w:r>
      <w:r>
        <w:rPr>
          <w:rFonts w:hint="eastAsia" w:ascii="仿宋_GB2312" w:hAnsi="仿宋_GB2312" w:eastAsia="仿宋_GB2312" w:cs="仿宋_GB2312"/>
          <w:sz w:val="32"/>
          <w:szCs w:val="32"/>
        </w:rPr>
        <w:t>《云南省完善国家级公益林区划界定盘龙区报告》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已上报审批同意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2.项目实施情况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《云南省完善国家级公益林区划界定盘龙区报告》编制的国家级公益林面积为37.5万亩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国有林地0.11万亩，集体所有林地37.39万亩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盘龙区农业农村局针对权属为集体和个人的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37.39</w:t>
      </w:r>
      <w:r>
        <w:rPr>
          <w:rFonts w:hint="eastAsia" w:ascii="仿宋_GB2312" w:hAnsi="仿宋_GB2312" w:eastAsia="仿宋_GB2312" w:cs="仿宋_GB2312"/>
          <w:sz w:val="32"/>
          <w:szCs w:val="32"/>
        </w:rPr>
        <w:t>万亩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国家级</w:t>
      </w:r>
      <w:r>
        <w:rPr>
          <w:rFonts w:hint="eastAsia" w:ascii="仿宋_GB2312" w:hAnsi="仿宋_GB2312" w:eastAsia="仿宋_GB2312" w:cs="仿宋_GB2312"/>
          <w:sz w:val="32"/>
          <w:szCs w:val="32"/>
        </w:rPr>
        <w:t>公益林开展森林生态效益补偿及管理，其中：国家级公益林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生态效益补偿费</w:t>
      </w:r>
      <w:r>
        <w:rPr>
          <w:rFonts w:hint="eastAsia" w:ascii="仿宋_GB2312" w:hAnsi="仿宋_GB2312" w:eastAsia="仿宋_GB2312" w:cs="仿宋_GB2312"/>
          <w:sz w:val="32"/>
          <w:szCs w:val="32"/>
        </w:rPr>
        <w:t>373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9万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管护费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179.52万元,合计553.42万元。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3.资金来源及使用情况</w:t>
      </w:r>
    </w:p>
    <w:p>
      <w:pPr>
        <w:spacing w:line="24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《昆明市财政局 昆明市林业和草原局关于下达202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年中央财政林业改革发展资金的通知》（昆财农﹝202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《昆明市财政局 昆明市林业和草原局关于下达2022年中央财政林草专项转移支付直达资金的通知》（昆财农﹝202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99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下达盘龙区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国家级公益林森林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生态补偿资金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553.42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（含嵩明权属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0.1592万亩补偿资金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24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资金使用情况：</w:t>
      </w:r>
    </w:p>
    <w:p>
      <w:pPr>
        <w:spacing w:line="24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（1）补偿费兑现</w:t>
      </w:r>
    </w:p>
    <w:p>
      <w:pPr>
        <w:spacing w:line="24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盘龙区20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年国家级公益林森林生态效益补偿面积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37.2308</w:t>
      </w:r>
      <w:r>
        <w:rPr>
          <w:rFonts w:hint="eastAsia" w:ascii="仿宋_GB2312" w:hAnsi="仿宋_GB2312" w:eastAsia="仿宋_GB2312" w:cs="仿宋_GB2312"/>
          <w:sz w:val="32"/>
          <w:szCs w:val="32"/>
        </w:rPr>
        <w:t>万亩，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补偿费</w:t>
      </w:r>
      <w:r>
        <w:rPr>
          <w:rFonts w:hint="eastAsia" w:ascii="仿宋_GB2312" w:hAnsi="仿宋_GB2312" w:eastAsia="仿宋_GB2312" w:cs="仿宋_GB2312"/>
          <w:sz w:val="32"/>
          <w:szCs w:val="32"/>
        </w:rPr>
        <w:t>共计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372.308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。转拨嵩明权属的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0.1592万亩国家级公益林补偿费1.592万元。合计兑现373.9万元。</w:t>
      </w:r>
    </w:p>
    <w:p>
      <w:pPr>
        <w:widowControl/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按照《云南省森林生态效益补偿资金管理办法》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及资金文件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补偿费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按照10元/亩补偿给农户。20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年兑现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合计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373.9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万元，其中：农户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一折通</w:t>
      </w:r>
      <w:r>
        <w:rPr>
          <w:rFonts w:hint="eastAsia" w:ascii="仿宋_GB2312" w:hAnsi="仿宋_GB2312" w:eastAsia="仿宋_GB2312" w:cs="仿宋_GB2312"/>
          <w:sz w:val="32"/>
          <w:szCs w:val="32"/>
        </w:rPr>
        <w:t>补偿费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371.511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万元，集体公山补偿费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0.797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，转拨嵩明权属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1.592万元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（2）公益林管护及管护费</w:t>
      </w:r>
    </w:p>
    <w:p>
      <w:pPr>
        <w:widowControl/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级统筹的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国家级</w:t>
      </w:r>
      <w:r>
        <w:rPr>
          <w:rFonts w:hint="eastAsia" w:ascii="仿宋_GB2312" w:hAnsi="仿宋_GB2312" w:eastAsia="仿宋_GB2312" w:cs="仿宋_GB2312"/>
          <w:sz w:val="32"/>
          <w:szCs w:val="32"/>
        </w:rPr>
        <w:t>公益林管护资金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179.52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万元。截止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目前</w:t>
      </w:r>
      <w:r>
        <w:rPr>
          <w:rFonts w:hint="eastAsia" w:ascii="仿宋_GB2312" w:hAnsi="仿宋_GB2312" w:eastAsia="仿宋_GB2312" w:cs="仿宋_GB2312"/>
          <w:sz w:val="32"/>
          <w:szCs w:val="32"/>
        </w:rPr>
        <w:t>，累计支出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179.52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万元，主要用于202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森林资源监测工作技术服务费、转拨嵩明权属国家级公益林管护补助资金、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年林业技术服务费、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生态管理员工资补助、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2022年盘龙区林长制考核奖等，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资金没有结余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无资金截留、挪用情况。   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采用聘用长期和临时护林员的方式开展森林管护。全区长期聘用天保水保护林员49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各街道根据森林管护任务增加聘用临时护林员，护林员队伍基本保持在600人。通过相关管理办法及规定、考勤及巡山记录或日志管理管护人员出勤、目标管理考核等手段予以规范。同时，通过护林、防火、火案及森林盗砍滥伐案件查处、违法征占用林地管理及案件查处、森林病虫害防治等防止森林资源破坏和流失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4.组织及管理情况。包括项目组织情况、项目实施流程、资金拨付流程</w:t>
      </w:r>
    </w:p>
    <w:p>
      <w:pPr>
        <w:spacing w:line="24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工作责任层层落实、分级负责。</w:t>
      </w:r>
    </w:p>
    <w:p>
      <w:pPr>
        <w:spacing w:line="24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资金拨付严格按照专项资金管理规定执行。一折通资金，经局党组会议通过后，</w:t>
      </w:r>
      <w:r>
        <w:rPr>
          <w:rFonts w:hint="eastAsia" w:ascii="仿宋_GB2312" w:hAnsi="仿宋_GB2312" w:eastAsia="仿宋_GB2312" w:cs="仿宋_GB2312"/>
          <w:sz w:val="32"/>
          <w:szCs w:val="32"/>
        </w:rPr>
        <w:t>拨付区财政局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专户，通过一卡通平台</w:t>
      </w:r>
      <w:r>
        <w:rPr>
          <w:rFonts w:hint="eastAsia" w:ascii="仿宋_GB2312" w:hAnsi="仿宋_GB2312" w:eastAsia="仿宋_GB2312" w:cs="仿宋_GB2312"/>
          <w:sz w:val="32"/>
          <w:szCs w:val="32"/>
        </w:rPr>
        <w:t>，按照林权所有者“补偿费均分到人”的方案，由区财政局通过“一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卡</w:t>
      </w:r>
      <w:r>
        <w:rPr>
          <w:rFonts w:hint="eastAsia" w:ascii="仿宋_GB2312" w:hAnsi="仿宋_GB2312" w:eastAsia="仿宋_GB2312" w:cs="仿宋_GB2312"/>
          <w:sz w:val="32"/>
          <w:szCs w:val="32"/>
        </w:rPr>
        <w:t>通”兑付给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林</w:t>
      </w:r>
      <w:r>
        <w:rPr>
          <w:rFonts w:hint="eastAsia" w:ascii="仿宋_GB2312" w:hAnsi="仿宋_GB2312" w:eastAsia="仿宋_GB2312" w:cs="仿宋_GB2312"/>
          <w:sz w:val="32"/>
          <w:szCs w:val="32"/>
        </w:rPr>
        <w:t>农。</w:t>
      </w:r>
    </w:p>
    <w:p>
      <w:pPr>
        <w:spacing w:line="24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滇源街道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797亩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公山补偿及嵩明权属的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1592亩国家级公益林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补偿费经局办公会研究通过后，分别拨付至滇源街道、嵩明县。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（二）绩效目标。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1.总目标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根据《云南省完善国家级公益林区划界定盘龙区报告》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37.39</w:t>
      </w:r>
      <w:r>
        <w:rPr>
          <w:rFonts w:hint="eastAsia" w:ascii="仿宋_GB2312" w:hAnsi="仿宋_GB2312" w:eastAsia="仿宋_GB2312" w:cs="仿宋_GB2312"/>
          <w:sz w:val="32"/>
          <w:szCs w:val="32"/>
        </w:rPr>
        <w:t>万亩国家级公益林生态效益补偿及公益林管护。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2.年度目标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根据《云南省完善国家级公益林区划界定盘龙区报告》完成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37.39</w:t>
      </w:r>
      <w:r>
        <w:rPr>
          <w:rFonts w:hint="eastAsia" w:ascii="仿宋_GB2312" w:hAnsi="仿宋_GB2312" w:eastAsia="仿宋_GB2312" w:cs="仿宋_GB2312"/>
          <w:sz w:val="32"/>
          <w:szCs w:val="32"/>
        </w:rPr>
        <w:t>万亩国家级公益林生态效益补偿及公益林管护。</w:t>
      </w:r>
    </w:p>
    <w:p>
      <w:pPr>
        <w:topLinePunct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二、评价结论和绩效分析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1.评价结果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根据《云南省完善国家级公益林区划界定盘龙区报告》完成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37.39</w:t>
      </w:r>
      <w:r>
        <w:rPr>
          <w:rFonts w:hint="eastAsia" w:ascii="仿宋_GB2312" w:hAnsi="仿宋_GB2312" w:eastAsia="仿宋_GB2312" w:cs="仿宋_GB2312"/>
          <w:sz w:val="32"/>
          <w:szCs w:val="32"/>
        </w:rPr>
        <w:t>万亩国家级公益林生态效益补偿及公益林管护。完成下达任务的100%。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2.主要绩效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（1）项目实施的经济、社会效益分析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一定程度上解决水源区劳动力就业问题，增加林农收入，维护林区稳定。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（2）项目实施的生态效益分析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通过开展森林生态效益补偿，盘龙区森林覆盖率由2006年的50.75%（不保护滇源、阿子营街道），到20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年达到6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4.42</w:t>
      </w:r>
      <w:r>
        <w:rPr>
          <w:rFonts w:hint="eastAsia" w:ascii="仿宋_GB2312" w:hAnsi="仿宋_GB2312" w:eastAsia="仿宋_GB2312" w:cs="仿宋_GB2312"/>
          <w:sz w:val="32"/>
          <w:szCs w:val="32"/>
        </w:rPr>
        <w:t>%（包含滇源、阿子营街道），为森林涵养水源，水土保持，发挥了巨大的生态效益，生态环境明显改善。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（3）项目实施的可持续影响分析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通过开展森林生态效益补偿，功在当代，利在千秋，将对盘龙区社会经济发展可持续发展、保障林区稳定起到巨大作用。</w:t>
      </w:r>
    </w:p>
    <w:p>
      <w:pPr>
        <w:topLinePunct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三、成本效益分析</w:t>
      </w:r>
    </w:p>
    <w:p>
      <w:pPr>
        <w:pStyle w:val="13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严格按照《云南省森林生态效益补偿资金管理办法》做好专项资金使用管理，做到专款专用。</w:t>
      </w:r>
    </w:p>
    <w:p>
      <w:pPr>
        <w:topLinePunct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四、主要经验及做法、存在的问题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（一）主要经验及做法</w:t>
      </w: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农户所有者补偿费按照上级要求通过财政一折通兑现，兑现流程如下：各街道办事处负责编制、核对村组补偿面积及资金明细表，经村组张榜公示无异议后报区农业农村局、区财政局审核同意，组织开展兑付工作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（二）存在的问题</w:t>
      </w:r>
    </w:p>
    <w:p>
      <w:pPr>
        <w:spacing w:line="240" w:lineRule="atLeast"/>
        <w:ind w:firstLine="521" w:firstLineChars="16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1.宣传力度不够，林农补偿费不高，导致对公益林生态保护的重要性认识不足。</w:t>
      </w:r>
    </w:p>
    <w:p>
      <w:pPr>
        <w:spacing w:line="240" w:lineRule="atLeast"/>
        <w:ind w:firstLine="521" w:firstLineChars="16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2.因机构改革人员变动，管理人员的业务素质有待提高，需进一步加强业务培训。</w:t>
      </w:r>
    </w:p>
    <w:p>
      <w:pPr>
        <w:spacing w:line="240" w:lineRule="atLeast"/>
        <w:ind w:firstLine="521" w:firstLineChars="16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3.全区公益林管护面积较大，但管理人员少，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有些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工作做得不够细致到位。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9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1075D"/>
    <w:rsid w:val="000B4B6A"/>
    <w:rsid w:val="001D0E80"/>
    <w:rsid w:val="002221DE"/>
    <w:rsid w:val="002D19AF"/>
    <w:rsid w:val="002D229D"/>
    <w:rsid w:val="0031008B"/>
    <w:rsid w:val="00314D1A"/>
    <w:rsid w:val="0038101C"/>
    <w:rsid w:val="003840C9"/>
    <w:rsid w:val="004332AB"/>
    <w:rsid w:val="0043593D"/>
    <w:rsid w:val="004778F8"/>
    <w:rsid w:val="00525B7C"/>
    <w:rsid w:val="005F51AC"/>
    <w:rsid w:val="00660FC9"/>
    <w:rsid w:val="00672AF1"/>
    <w:rsid w:val="006C4C17"/>
    <w:rsid w:val="0071075D"/>
    <w:rsid w:val="0072524D"/>
    <w:rsid w:val="00783102"/>
    <w:rsid w:val="007A3AB3"/>
    <w:rsid w:val="007A4179"/>
    <w:rsid w:val="007D4E4E"/>
    <w:rsid w:val="008001F1"/>
    <w:rsid w:val="00816A6D"/>
    <w:rsid w:val="00824948"/>
    <w:rsid w:val="00852D63"/>
    <w:rsid w:val="00867386"/>
    <w:rsid w:val="008808CD"/>
    <w:rsid w:val="00885163"/>
    <w:rsid w:val="0089202E"/>
    <w:rsid w:val="008A2F56"/>
    <w:rsid w:val="008B07E2"/>
    <w:rsid w:val="008D34A7"/>
    <w:rsid w:val="008D4077"/>
    <w:rsid w:val="008E3076"/>
    <w:rsid w:val="00906802"/>
    <w:rsid w:val="009145FE"/>
    <w:rsid w:val="00971ED2"/>
    <w:rsid w:val="00971FFE"/>
    <w:rsid w:val="00A167B6"/>
    <w:rsid w:val="00A634EC"/>
    <w:rsid w:val="00A82AA3"/>
    <w:rsid w:val="00AA0773"/>
    <w:rsid w:val="00AC7407"/>
    <w:rsid w:val="00B015A3"/>
    <w:rsid w:val="00B1763C"/>
    <w:rsid w:val="00B52924"/>
    <w:rsid w:val="00B606CD"/>
    <w:rsid w:val="00BD6C86"/>
    <w:rsid w:val="00C02B0A"/>
    <w:rsid w:val="00C40E57"/>
    <w:rsid w:val="00C90823"/>
    <w:rsid w:val="00CD2804"/>
    <w:rsid w:val="00CD6152"/>
    <w:rsid w:val="00CD681C"/>
    <w:rsid w:val="00CE5695"/>
    <w:rsid w:val="00CE61A2"/>
    <w:rsid w:val="00D35E88"/>
    <w:rsid w:val="00D40A98"/>
    <w:rsid w:val="00D461B9"/>
    <w:rsid w:val="00F21F7A"/>
    <w:rsid w:val="00F50E9A"/>
    <w:rsid w:val="00F62560"/>
    <w:rsid w:val="00F749A0"/>
    <w:rsid w:val="023579B5"/>
    <w:rsid w:val="023C5E4C"/>
    <w:rsid w:val="0262570B"/>
    <w:rsid w:val="02F90E79"/>
    <w:rsid w:val="078D3AB2"/>
    <w:rsid w:val="0C6D302A"/>
    <w:rsid w:val="186B5416"/>
    <w:rsid w:val="19501BAB"/>
    <w:rsid w:val="23EE744C"/>
    <w:rsid w:val="346C3BF2"/>
    <w:rsid w:val="35D836FE"/>
    <w:rsid w:val="36EA1628"/>
    <w:rsid w:val="3A346D6E"/>
    <w:rsid w:val="3FFE3FC9"/>
    <w:rsid w:val="42E14131"/>
    <w:rsid w:val="431642C9"/>
    <w:rsid w:val="43C80A7F"/>
    <w:rsid w:val="4560043C"/>
    <w:rsid w:val="493A2616"/>
    <w:rsid w:val="4A4569FC"/>
    <w:rsid w:val="4C4D5A78"/>
    <w:rsid w:val="4EAF00D0"/>
    <w:rsid w:val="5375287C"/>
    <w:rsid w:val="561F4710"/>
    <w:rsid w:val="580B713F"/>
    <w:rsid w:val="5B3F66D5"/>
    <w:rsid w:val="5F976545"/>
    <w:rsid w:val="61FA5FC6"/>
    <w:rsid w:val="63916513"/>
    <w:rsid w:val="68711A4D"/>
    <w:rsid w:val="68AC3FEC"/>
    <w:rsid w:val="6B6823B9"/>
    <w:rsid w:val="704940F3"/>
    <w:rsid w:val="71DD4294"/>
    <w:rsid w:val="731A37A5"/>
    <w:rsid w:val="78FB695C"/>
    <w:rsid w:val="79B6237A"/>
    <w:rsid w:val="7DD9049B"/>
    <w:rsid w:val="7E1B2243"/>
    <w:rsid w:val="7E43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_x0000_s2050"/>
        <o:r id="V:Rule2" type="connector" idref="#_x0000_s2051"/>
        <o:r id="V:Rule3" type="connector" idref="#_x0000_s2052"/>
        <o:r id="V:Rule4" type="connector" idref="#_x0000_s2053"/>
        <o:r id="V:Rule5" type="connector" idref="#_x0000_s2054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paragraph" w:customStyle="1" w:styleId="10">
    <w:name w:val="TOC 标题1"/>
    <w:basedOn w:val="2"/>
    <w:next w:val="1"/>
    <w:qFormat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 w:cs="Cambria"/>
      <w:color w:val="365F91"/>
      <w:kern w:val="0"/>
      <w:sz w:val="28"/>
      <w:szCs w:val="28"/>
    </w:rPr>
  </w:style>
  <w:style w:type="paragraph" w:customStyle="1" w:styleId="11">
    <w:name w:val="正文 A"/>
    <w:qFormat/>
    <w:uiPriority w:val="99"/>
    <w:pPr>
      <w:spacing w:after="200" w:line="276" w:lineRule="auto"/>
    </w:pPr>
    <w:rPr>
      <w:rFonts w:ascii="Calibri" w:hAnsi="Calibri" w:eastAsia="宋体" w:cs="Calibri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12">
    <w:name w:val="标题 1 Char"/>
    <w:basedOn w:val="7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paragraph" w:customStyle="1" w:styleId="13">
    <w:name w:val="_Style 1"/>
    <w:basedOn w:val="1"/>
    <w:qFormat/>
    <w:uiPriority w:val="99"/>
    <w:pPr>
      <w:ind w:firstLine="420" w:firstLineChars="200"/>
    </w:pPr>
  </w:style>
  <w:style w:type="character" w:customStyle="1" w:styleId="14">
    <w:name w:val="批注框文本 Char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0"/>
    <customShpInfo spid="_x0000_s2051"/>
    <customShpInfo spid="_x0000_s2052"/>
    <customShpInfo spid="_x0000_s2053"/>
    <customShpInfo spid="_x0000_s2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478</Words>
  <Characters>2731</Characters>
  <Lines>22</Lines>
  <Paragraphs>6</Paragraphs>
  <TotalTime>12</TotalTime>
  <ScaleCrop>false</ScaleCrop>
  <LinksUpToDate>false</LinksUpToDate>
  <CharactersWithSpaces>3203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2020-04-15T02:50:00Z</dcterms:created>
  <dc:creator>lenovo</dc:creator>
  <cp:lastModifiedBy>pc</cp:lastModifiedBy>
  <dcterms:modified xsi:type="dcterms:W3CDTF">2023-04-28T08:00:29Z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