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val="0"/>
        <w:spacing w:line="580" w:lineRule="exact"/>
        <w:textAlignment w:val="auto"/>
        <w:rPr>
          <w:rFonts w:hint="default" w:ascii="Times New Roman" w:hAnsi="Times New Roman" w:eastAsia="黑体" w:cs="Times New Roman"/>
          <w:bCs/>
          <w:sz w:val="32"/>
          <w:szCs w:val="32"/>
        </w:rPr>
      </w:pPr>
      <w:r>
        <w:rPr>
          <w:rFonts w:hint="default" w:ascii="Times New Roman" w:hAnsi="Times New Roman" w:eastAsia="黑体" w:cs="Times New Roman"/>
          <w:bCs/>
          <w:sz w:val="32"/>
          <w:szCs w:val="32"/>
        </w:rPr>
        <w:t>附件3</w:t>
      </w:r>
    </w:p>
    <w:p>
      <w:pPr>
        <w:keepNext w:val="0"/>
        <w:keepLines w:val="0"/>
        <w:pageBreakBefore w:val="0"/>
        <w:widowControl w:val="0"/>
        <w:kinsoku/>
        <w:wordWrap/>
        <w:overflowPunct/>
        <w:topLinePunct w:val="0"/>
        <w:autoSpaceDE/>
        <w:autoSpaceDN/>
        <w:bidi w:val="0"/>
        <w:adjustRightInd/>
        <w:snapToGrid w:val="0"/>
        <w:spacing w:line="580" w:lineRule="exact"/>
        <w:jc w:val="center"/>
        <w:textAlignment w:val="auto"/>
        <w:rPr>
          <w:rFonts w:ascii="仿宋_GB2312" w:hAnsi="华文中宋"/>
          <w:bCs/>
          <w:sz w:val="36"/>
          <w:szCs w:val="44"/>
        </w:rPr>
      </w:pPr>
    </w:p>
    <w:p>
      <w:pPr>
        <w:keepNext w:val="0"/>
        <w:keepLines w:val="0"/>
        <w:pageBreakBefore w:val="0"/>
        <w:widowControl w:val="0"/>
        <w:kinsoku/>
        <w:wordWrap/>
        <w:overflowPunct/>
        <w:topLinePunct w:val="0"/>
        <w:autoSpaceDE/>
        <w:autoSpaceDN/>
        <w:bidi w:val="0"/>
        <w:adjustRightInd/>
        <w:snapToGrid w:val="0"/>
        <w:spacing w:line="580" w:lineRule="exact"/>
        <w:jc w:val="center"/>
        <w:textAlignment w:val="auto"/>
        <w:rPr>
          <w:rFonts w:hint="eastAsia" w:ascii="方正小标宋简体" w:hAnsi="Calibri" w:eastAsia="方正小标宋简体" w:cs="Times New Roman"/>
          <w:sz w:val="44"/>
          <w:szCs w:val="44"/>
        </w:rPr>
      </w:pPr>
      <w:r>
        <w:rPr>
          <w:rFonts w:hint="eastAsia" w:ascii="方正小标宋简体" w:hAnsi="Calibri" w:eastAsia="方正小标宋简体" w:cs="Times New Roman"/>
          <w:sz w:val="44"/>
          <w:szCs w:val="44"/>
          <w:lang w:val="en-US" w:eastAsia="zh-CN"/>
        </w:rPr>
        <w:t>盘龙区“乡村振兴项目经费”</w:t>
      </w:r>
      <w:r>
        <w:rPr>
          <w:rFonts w:hint="eastAsia" w:ascii="方正小标宋简体" w:hAnsi="Calibri" w:eastAsia="方正小标宋简体" w:cs="Times New Roman"/>
          <w:sz w:val="44"/>
          <w:szCs w:val="44"/>
        </w:rPr>
        <w:t>转移支付20</w:t>
      </w:r>
      <w:r>
        <w:rPr>
          <w:rFonts w:hint="eastAsia" w:ascii="方正小标宋简体" w:hAnsi="Calibri" w:eastAsia="方正小标宋简体" w:cs="Times New Roman"/>
          <w:sz w:val="44"/>
          <w:szCs w:val="44"/>
          <w:lang w:val="en-US" w:eastAsia="zh-CN"/>
        </w:rPr>
        <w:t>22</w:t>
      </w:r>
      <w:r>
        <w:rPr>
          <w:rFonts w:hint="eastAsia" w:ascii="方正小标宋简体" w:hAnsi="Calibri" w:eastAsia="方正小标宋简体" w:cs="Times New Roman"/>
          <w:sz w:val="44"/>
          <w:szCs w:val="44"/>
        </w:rPr>
        <w:t>年度绩效自评报告</w:t>
      </w:r>
    </w:p>
    <w:p>
      <w:pPr>
        <w:keepNext w:val="0"/>
        <w:keepLines w:val="0"/>
        <w:pageBreakBefore w:val="0"/>
        <w:widowControl w:val="0"/>
        <w:kinsoku/>
        <w:wordWrap/>
        <w:overflowPunct/>
        <w:topLinePunct w:val="0"/>
        <w:autoSpaceDE/>
        <w:autoSpaceDN/>
        <w:bidi w:val="0"/>
        <w:adjustRightInd/>
        <w:snapToGrid w:val="0"/>
        <w:spacing w:line="580" w:lineRule="exact"/>
        <w:ind w:firstLine="600" w:firstLineChars="200"/>
        <w:textAlignment w:val="auto"/>
        <w:rPr>
          <w:rFonts w:hint="eastAsia" w:ascii="黑体" w:hAnsi="黑体" w:eastAsia="黑体" w:cs="黑体"/>
          <w:bCs/>
          <w:szCs w:val="32"/>
        </w:rPr>
      </w:pPr>
    </w:p>
    <w:p>
      <w:pPr>
        <w:keepNext w:val="0"/>
        <w:keepLines w:val="0"/>
        <w:pageBreakBefore w:val="0"/>
        <w:widowControl w:val="0"/>
        <w:kinsoku/>
        <w:wordWrap/>
        <w:overflowPunct/>
        <w:topLinePunct w:val="0"/>
        <w:autoSpaceDE/>
        <w:autoSpaceDN/>
        <w:bidi w:val="0"/>
        <w:adjustRightInd/>
        <w:snapToGrid w:val="0"/>
        <w:spacing w:line="580" w:lineRule="exact"/>
        <w:ind w:firstLine="600" w:firstLineChars="200"/>
        <w:textAlignment w:val="auto"/>
        <w:rPr>
          <w:rFonts w:ascii="黑体" w:hAnsi="黑体" w:eastAsia="黑体" w:cs="黑体"/>
          <w:bCs/>
          <w:szCs w:val="32"/>
        </w:rPr>
      </w:pPr>
      <w:r>
        <w:rPr>
          <w:rFonts w:hint="eastAsia" w:ascii="黑体" w:hAnsi="黑体" w:eastAsia="黑体" w:cs="黑体"/>
          <w:bCs/>
          <w:szCs w:val="32"/>
        </w:rPr>
        <w:t>一、绩效目标分解下达情况</w:t>
      </w:r>
    </w:p>
    <w:p>
      <w:pPr>
        <w:keepNext w:val="0"/>
        <w:keepLines w:val="0"/>
        <w:pageBreakBefore w:val="0"/>
        <w:widowControl w:val="0"/>
        <w:kinsoku/>
        <w:wordWrap/>
        <w:overflowPunct/>
        <w:topLinePunct w:val="0"/>
        <w:autoSpaceDE/>
        <w:autoSpaceDN/>
        <w:bidi w:val="0"/>
        <w:adjustRightInd/>
        <w:snapToGrid w:val="0"/>
        <w:spacing w:line="580" w:lineRule="exact"/>
        <w:ind w:firstLine="600" w:firstLineChars="200"/>
        <w:textAlignment w:val="auto"/>
        <w:rPr>
          <w:rFonts w:hint="default" w:ascii="仿宋_GB2312"/>
          <w:szCs w:val="32"/>
          <w:lang w:val="en-US" w:eastAsia="zh-CN"/>
        </w:rPr>
      </w:pPr>
      <w:r>
        <w:rPr>
          <w:rFonts w:hint="eastAsia" w:ascii="仿宋_GB2312"/>
          <w:szCs w:val="32"/>
          <w:lang w:val="en-US" w:eastAsia="zh-CN"/>
        </w:rPr>
        <w:t>区财政下达盘龙区2022年盘龙区“乡村振兴项目经费”500万元。</w:t>
      </w:r>
    </w:p>
    <w:p>
      <w:pPr>
        <w:keepNext w:val="0"/>
        <w:keepLines w:val="0"/>
        <w:pageBreakBefore w:val="0"/>
        <w:widowControl w:val="0"/>
        <w:kinsoku/>
        <w:wordWrap/>
        <w:overflowPunct/>
        <w:topLinePunct w:val="0"/>
        <w:autoSpaceDE/>
        <w:autoSpaceDN/>
        <w:bidi w:val="0"/>
        <w:adjustRightInd/>
        <w:snapToGrid w:val="0"/>
        <w:spacing w:line="580" w:lineRule="exact"/>
        <w:ind w:firstLine="600" w:firstLineChars="200"/>
        <w:textAlignment w:val="auto"/>
        <w:rPr>
          <w:rFonts w:ascii="黑体" w:hAnsi="黑体" w:eastAsia="黑体" w:cs="黑体"/>
          <w:bCs/>
          <w:szCs w:val="32"/>
          <w:highlight w:val="none"/>
        </w:rPr>
      </w:pPr>
      <w:r>
        <w:rPr>
          <w:rFonts w:hint="eastAsia" w:ascii="黑体" w:hAnsi="黑体" w:eastAsia="黑体" w:cs="黑体"/>
          <w:bCs/>
          <w:szCs w:val="32"/>
          <w:highlight w:val="none"/>
        </w:rPr>
        <w:t>二、</w:t>
      </w:r>
      <w:r>
        <w:rPr>
          <w:rFonts w:hint="eastAsia" w:ascii="黑体" w:hAnsi="黑体" w:eastAsia="黑体" w:cs="黑体"/>
          <w:bCs/>
          <w:szCs w:val="32"/>
          <w:highlight w:val="none"/>
          <w:lang w:eastAsia="zh-CN"/>
        </w:rPr>
        <w:t>绩效</w:t>
      </w:r>
      <w:r>
        <w:rPr>
          <w:rFonts w:hint="eastAsia" w:ascii="黑体" w:hAnsi="黑体" w:eastAsia="黑体" w:cs="黑体"/>
          <w:bCs/>
          <w:szCs w:val="32"/>
          <w:highlight w:val="none"/>
        </w:rPr>
        <w:t>情况分析</w:t>
      </w:r>
    </w:p>
    <w:p>
      <w:pPr>
        <w:keepNext w:val="0"/>
        <w:keepLines w:val="0"/>
        <w:pageBreakBefore w:val="0"/>
        <w:widowControl w:val="0"/>
        <w:kinsoku/>
        <w:wordWrap/>
        <w:overflowPunct/>
        <w:topLinePunct w:val="0"/>
        <w:autoSpaceDE/>
        <w:autoSpaceDN/>
        <w:bidi w:val="0"/>
        <w:adjustRightInd/>
        <w:snapToGrid/>
        <w:spacing w:line="560" w:lineRule="exact"/>
        <w:ind w:left="0" w:right="0" w:rightChars="0" w:firstLine="602" w:firstLineChars="200"/>
        <w:jc w:val="both"/>
        <w:textAlignment w:val="auto"/>
        <w:outlineLvl w:val="9"/>
        <w:rPr>
          <w:rFonts w:hint="default" w:ascii="Times New Roman" w:hAnsi="Times New Roman" w:eastAsia="仿宋_GB2312" w:cs="Times New Roman"/>
          <w:sz w:val="32"/>
          <w:szCs w:val="32"/>
        </w:rPr>
      </w:pPr>
      <w:r>
        <w:rPr>
          <w:rFonts w:hint="eastAsia" w:ascii="楷体_GB2312" w:hAnsi="楷体_GB2312" w:eastAsia="楷体_GB2312" w:cs="楷体_GB2312"/>
          <w:b/>
          <w:bCs/>
          <w:szCs w:val="32"/>
          <w:highlight w:val="none"/>
        </w:rPr>
        <w:t>（一）资金投入情况分析。</w:t>
      </w:r>
      <w:r>
        <w:rPr>
          <w:rFonts w:hint="eastAsia" w:ascii="Times New Roman" w:hAnsi="Times New Roman" w:eastAsia="仿宋_GB2312" w:cs="Times New Roman"/>
          <w:sz w:val="32"/>
          <w:szCs w:val="32"/>
          <w:lang w:val="en-US" w:eastAsia="zh-CN"/>
        </w:rPr>
        <w:t>500万乡村振兴项目经费用作202</w:t>
      </w:r>
      <w:r>
        <w:rPr>
          <w:rFonts w:hint="eastAsia" w:cs="Times New Roman"/>
          <w:sz w:val="32"/>
          <w:szCs w:val="32"/>
          <w:lang w:val="en-US" w:eastAsia="zh-CN"/>
        </w:rPr>
        <w:t>2</w:t>
      </w:r>
      <w:r>
        <w:rPr>
          <w:rFonts w:hint="eastAsia" w:ascii="Times New Roman" w:hAnsi="Times New Roman" w:eastAsia="仿宋_GB2312" w:cs="Times New Roman"/>
          <w:sz w:val="32"/>
          <w:szCs w:val="32"/>
          <w:lang w:val="en-US" w:eastAsia="zh-CN"/>
        </w:rPr>
        <w:t>年衔接资金项目前期经费</w:t>
      </w:r>
      <w:r>
        <w:rPr>
          <w:rFonts w:hint="eastAsia" w:cs="Times New Roman"/>
          <w:sz w:val="32"/>
          <w:szCs w:val="32"/>
          <w:lang w:val="en-US" w:eastAsia="zh-CN"/>
        </w:rPr>
        <w:t>。资金安排至：1.阿子营村标准化农贸市场提升改造项目建设前期费；2.羊街村千亩鲜食玉米扶贫产业发展项目建设前期费；3.果东龙嘴石村民族团结示范村创建项目；4.2021年路网联通工程前期费及待摊费；5.昆明市主城区松华坝水库水源保护区甸头村污水收集处理提质增效工程；6.扶贫基础设施巩固提升项目前期经费及待摊费用；7.大哨片区供水工程项目前期费及待摊费；8.苏海、白邑片区高产高效农业种植及有机种植基础设施建设项目；9.龙潭、北岩哨1800亩特色农业示范基地建设项目前期工作经费10.茯苓及食用菌种植项目区级配套资金；11.大摆社区上大摆小组人饮供水设施提升改造工程区级配套资金</w:t>
      </w:r>
      <w:r>
        <w:rPr>
          <w:rFonts w:hint="default" w:ascii="Times New Roman" w:hAnsi="Times New Roman" w:eastAsia="仿宋_GB2312" w:cs="Times New Roman"/>
          <w:sz w:val="32"/>
          <w:szCs w:val="32"/>
        </w:rPr>
        <w:t>。</w:t>
      </w:r>
    </w:p>
    <w:p>
      <w:pPr>
        <w:spacing w:line="600" w:lineRule="exact"/>
        <w:ind w:firstLine="602" w:firstLineChars="200"/>
        <w:rPr>
          <w:rFonts w:hint="eastAsia" w:ascii="Times New Roman" w:hAnsi="Times New Roman" w:cs="Times New Roman"/>
          <w:sz w:val="32"/>
          <w:lang w:val="en-US" w:eastAsia="zh-CN"/>
        </w:rPr>
      </w:pPr>
      <w:r>
        <w:rPr>
          <w:rFonts w:hint="eastAsia" w:ascii="楷体_GB2312" w:hAnsi="楷体_GB2312" w:eastAsia="楷体_GB2312" w:cs="楷体_GB2312"/>
          <w:b/>
          <w:bCs/>
          <w:szCs w:val="32"/>
          <w:highlight w:val="none"/>
          <w:lang w:eastAsia="zh-CN"/>
        </w:rPr>
        <w:t>（二）资金管理情况分析。</w:t>
      </w:r>
      <w:r>
        <w:rPr>
          <w:rFonts w:hint="eastAsia" w:ascii="Times New Roman" w:hAnsi="Times New Roman" w:cs="Times New Roman"/>
          <w:sz w:val="32"/>
          <w:szCs w:val="32"/>
          <w:lang w:val="en-US" w:eastAsia="zh-CN"/>
        </w:rPr>
        <w:t>昆明市盘龙区农业农村局制定了《昆明市盘龙区农业农村局预算管理内部控制制度》、《关于修订&lt;盘龙区农业农村局“三重一大”事项议事制度&gt;的通知》等制度规定，加强项目监督管理，明确了项目资金审批流程，确定厉行节约、注重实效的原则，强化对财政资金的使用管理、监督管理，以确保资金的安全、有效、合规使用，按制度、按规定使用项目资金，报销单据和资金审批流程规范。</w:t>
      </w:r>
    </w:p>
    <w:p>
      <w:pPr>
        <w:keepNext w:val="0"/>
        <w:keepLines w:val="0"/>
        <w:pageBreakBefore w:val="0"/>
        <w:widowControl w:val="0"/>
        <w:kinsoku/>
        <w:wordWrap/>
        <w:overflowPunct/>
        <w:topLinePunct w:val="0"/>
        <w:autoSpaceDE/>
        <w:autoSpaceDN/>
        <w:bidi w:val="0"/>
        <w:adjustRightInd/>
        <w:snapToGrid w:val="0"/>
        <w:spacing w:line="580" w:lineRule="exact"/>
        <w:ind w:firstLine="602" w:firstLineChars="200"/>
        <w:textAlignment w:val="auto"/>
        <w:outlineLvl w:val="0"/>
        <w:rPr>
          <w:rFonts w:hint="eastAsia" w:ascii="楷体_GB2312" w:hAnsi="楷体_GB2312" w:eastAsia="楷体_GB2312" w:cs="楷体_GB2312"/>
          <w:b/>
          <w:bCs/>
          <w:szCs w:val="32"/>
        </w:rPr>
      </w:pPr>
      <w:r>
        <w:rPr>
          <w:rFonts w:hint="eastAsia" w:ascii="楷体_GB2312" w:hAnsi="楷体_GB2312" w:eastAsia="楷体_GB2312" w:cs="楷体_GB2312"/>
          <w:b/>
          <w:bCs/>
          <w:szCs w:val="32"/>
        </w:rPr>
        <w:t>（</w:t>
      </w:r>
      <w:r>
        <w:rPr>
          <w:rFonts w:hint="eastAsia" w:ascii="楷体_GB2312" w:hAnsi="楷体_GB2312" w:eastAsia="楷体_GB2312" w:cs="楷体_GB2312"/>
          <w:b/>
          <w:bCs/>
          <w:szCs w:val="32"/>
          <w:lang w:eastAsia="zh-CN"/>
        </w:rPr>
        <w:t>三</w:t>
      </w:r>
      <w:r>
        <w:rPr>
          <w:rFonts w:hint="eastAsia" w:ascii="楷体_GB2312" w:hAnsi="楷体_GB2312" w:eastAsia="楷体_GB2312" w:cs="楷体_GB2312"/>
          <w:b/>
          <w:bCs/>
          <w:szCs w:val="32"/>
        </w:rPr>
        <w:t>）绩效指标完成情况分析。</w:t>
      </w:r>
    </w:p>
    <w:p>
      <w:pPr>
        <w:keepNext w:val="0"/>
        <w:keepLines w:val="0"/>
        <w:pageBreakBefore w:val="0"/>
        <w:widowControl w:val="0"/>
        <w:kinsoku/>
        <w:wordWrap/>
        <w:overflowPunct/>
        <w:topLinePunct w:val="0"/>
        <w:autoSpaceDE/>
        <w:autoSpaceDN/>
        <w:bidi w:val="0"/>
        <w:adjustRightInd/>
        <w:snapToGrid w:val="0"/>
        <w:spacing w:line="580" w:lineRule="exact"/>
        <w:ind w:firstLine="600" w:firstLineChars="200"/>
        <w:textAlignment w:val="auto"/>
        <w:outlineLvl w:val="0"/>
        <w:rPr>
          <w:rFonts w:hint="eastAsia" w:ascii="Times New Roman" w:hAnsi="Times New Roman" w:cs="Times New Roman"/>
          <w:sz w:val="32"/>
          <w:szCs w:val="32"/>
          <w:lang w:val="en-US" w:eastAsia="zh-CN"/>
        </w:rPr>
      </w:pPr>
      <w:r>
        <w:rPr>
          <w:rFonts w:hint="eastAsia" w:ascii="仿宋_GB2312" w:eastAsia="楷体_GB2312"/>
          <w:szCs w:val="32"/>
          <w:lang w:val="en-US" w:eastAsia="zh-CN"/>
        </w:rPr>
        <w:t>1.数量指标：</w:t>
      </w:r>
      <w:r>
        <w:rPr>
          <w:rFonts w:hint="eastAsia" w:ascii="Times New Roman" w:hAnsi="Times New Roman" w:cs="Times New Roman"/>
          <w:sz w:val="32"/>
          <w:szCs w:val="32"/>
          <w:lang w:val="en-US" w:eastAsia="zh-CN"/>
        </w:rPr>
        <w:t>2022年乡村振兴项目经费500万元</w:t>
      </w:r>
      <w:r>
        <w:rPr>
          <w:rFonts w:hint="eastAsia" w:ascii="Times New Roman" w:hAnsi="Times New Roman" w:cs="Times New Roman"/>
          <w:sz w:val="32"/>
          <w:szCs w:val="32"/>
          <w:lang w:val="en-US" w:eastAsia="zh-CN"/>
        </w:rPr>
        <w:t>，全年实际完成值≥100％；</w:t>
      </w:r>
    </w:p>
    <w:p>
      <w:pPr>
        <w:keepNext w:val="0"/>
        <w:keepLines w:val="0"/>
        <w:pageBreakBefore w:val="0"/>
        <w:widowControl w:val="0"/>
        <w:kinsoku/>
        <w:wordWrap/>
        <w:overflowPunct/>
        <w:topLinePunct w:val="0"/>
        <w:autoSpaceDE/>
        <w:autoSpaceDN/>
        <w:bidi w:val="0"/>
        <w:adjustRightInd/>
        <w:snapToGrid w:val="0"/>
        <w:spacing w:line="580" w:lineRule="exact"/>
        <w:ind w:firstLine="640" w:firstLineChars="200"/>
        <w:textAlignment w:val="auto"/>
        <w:outlineLvl w:val="0"/>
        <w:rPr>
          <w:rFonts w:hint="eastAsia" w:ascii="Times New Roman" w:hAnsi="Times New Roman" w:cs="Times New Roman"/>
          <w:sz w:val="32"/>
          <w:szCs w:val="32"/>
          <w:lang w:val="en-US" w:eastAsia="zh-CN"/>
        </w:rPr>
      </w:pPr>
      <w:r>
        <w:rPr>
          <w:rFonts w:hint="eastAsia" w:ascii="Times New Roman" w:hAnsi="Times New Roman" w:cs="Times New Roman"/>
          <w:sz w:val="32"/>
          <w:szCs w:val="32"/>
          <w:lang w:val="en-US" w:eastAsia="zh-CN"/>
        </w:rPr>
        <w:t>2.时效指标：2022年完成</w:t>
      </w:r>
      <w:r>
        <w:rPr>
          <w:rFonts w:hint="eastAsia" w:cs="Times New Roman"/>
          <w:sz w:val="32"/>
          <w:szCs w:val="32"/>
          <w:lang w:val="en-US" w:eastAsia="zh-CN"/>
        </w:rPr>
        <w:t>乡村振兴项目经费</w:t>
      </w:r>
      <w:r>
        <w:rPr>
          <w:rFonts w:hint="eastAsia" w:ascii="Times New Roman" w:hAnsi="Times New Roman" w:cs="Times New Roman"/>
          <w:sz w:val="32"/>
          <w:szCs w:val="32"/>
          <w:lang w:val="en-US" w:eastAsia="zh-CN"/>
        </w:rPr>
        <w:t>，全年实际完成值≥100％；</w:t>
      </w:r>
    </w:p>
    <w:p>
      <w:pPr>
        <w:keepNext w:val="0"/>
        <w:keepLines w:val="0"/>
        <w:pageBreakBefore w:val="0"/>
        <w:widowControl w:val="0"/>
        <w:kinsoku/>
        <w:wordWrap/>
        <w:overflowPunct/>
        <w:topLinePunct w:val="0"/>
        <w:autoSpaceDE/>
        <w:autoSpaceDN/>
        <w:bidi w:val="0"/>
        <w:adjustRightInd/>
        <w:snapToGrid w:val="0"/>
        <w:spacing w:line="580" w:lineRule="exact"/>
        <w:ind w:firstLine="640" w:firstLineChars="200"/>
        <w:textAlignment w:val="auto"/>
        <w:outlineLvl w:val="0"/>
        <w:rPr>
          <w:rFonts w:hint="eastAsia" w:ascii="Times New Roman" w:hAnsi="Times New Roman" w:cs="Times New Roman"/>
          <w:sz w:val="32"/>
          <w:szCs w:val="32"/>
          <w:lang w:val="en-US" w:eastAsia="zh-CN"/>
        </w:rPr>
      </w:pPr>
      <w:r>
        <w:rPr>
          <w:rFonts w:hint="eastAsia" w:ascii="Times New Roman" w:hAnsi="Times New Roman" w:cs="Times New Roman"/>
          <w:sz w:val="32"/>
          <w:szCs w:val="32"/>
          <w:lang w:val="en-US" w:eastAsia="zh-CN"/>
        </w:rPr>
        <w:t>3.成本指标：</w:t>
      </w:r>
      <w:r>
        <w:rPr>
          <w:rFonts w:hint="eastAsia" w:cs="Times New Roman"/>
          <w:sz w:val="32"/>
          <w:szCs w:val="32"/>
          <w:lang w:val="en-US" w:eastAsia="zh-CN"/>
        </w:rPr>
        <w:t>区财政下达500万元乡村振兴项目经费，</w:t>
      </w:r>
      <w:r>
        <w:rPr>
          <w:rFonts w:hint="eastAsia" w:ascii="Times New Roman" w:hAnsi="Times New Roman" w:cs="Times New Roman"/>
          <w:sz w:val="32"/>
          <w:szCs w:val="32"/>
          <w:lang w:val="en-US" w:eastAsia="zh-CN"/>
        </w:rPr>
        <w:t>全年实际完成值≥100％；</w:t>
      </w:r>
    </w:p>
    <w:p>
      <w:pPr>
        <w:keepNext w:val="0"/>
        <w:keepLines w:val="0"/>
        <w:pageBreakBefore w:val="0"/>
        <w:widowControl w:val="0"/>
        <w:kinsoku/>
        <w:wordWrap/>
        <w:overflowPunct/>
        <w:topLinePunct w:val="0"/>
        <w:autoSpaceDE/>
        <w:autoSpaceDN/>
        <w:bidi w:val="0"/>
        <w:adjustRightInd/>
        <w:snapToGrid w:val="0"/>
        <w:spacing w:line="580" w:lineRule="exact"/>
        <w:ind w:firstLine="640" w:firstLineChars="200"/>
        <w:textAlignment w:val="auto"/>
        <w:outlineLvl w:val="0"/>
        <w:rPr>
          <w:rFonts w:hint="eastAsia" w:ascii="Times New Roman" w:hAnsi="Times New Roman" w:cs="Times New Roman"/>
          <w:sz w:val="32"/>
          <w:szCs w:val="32"/>
          <w:lang w:val="en-US" w:eastAsia="zh-CN"/>
        </w:rPr>
      </w:pPr>
      <w:r>
        <w:rPr>
          <w:rFonts w:hint="eastAsia" w:ascii="Times New Roman" w:hAnsi="Times New Roman" w:cs="Times New Roman"/>
          <w:sz w:val="32"/>
          <w:szCs w:val="32"/>
          <w:lang w:val="en-US" w:eastAsia="zh-CN"/>
        </w:rPr>
        <w:t>4.经济效益指标：</w:t>
      </w:r>
      <w:r>
        <w:rPr>
          <w:rFonts w:hint="eastAsia" w:cs="Times New Roman"/>
          <w:sz w:val="32"/>
          <w:szCs w:val="32"/>
          <w:lang w:val="en-US" w:eastAsia="zh-CN"/>
        </w:rPr>
        <w:t>用作2022年11个衔接资金项目前期经费</w:t>
      </w:r>
      <w:r>
        <w:rPr>
          <w:rFonts w:hint="eastAsia" w:ascii="Times New Roman" w:hAnsi="Times New Roman" w:cs="Times New Roman"/>
          <w:sz w:val="32"/>
          <w:szCs w:val="32"/>
          <w:lang w:val="en-US" w:eastAsia="zh-CN"/>
        </w:rPr>
        <w:t>，全年实际完成值≥10</w:t>
      </w:r>
      <w:r>
        <w:rPr>
          <w:rFonts w:hint="eastAsia" w:cs="Times New Roman"/>
          <w:sz w:val="32"/>
          <w:szCs w:val="32"/>
          <w:lang w:val="en-US" w:eastAsia="zh-CN"/>
        </w:rPr>
        <w:t>0</w:t>
      </w:r>
      <w:r>
        <w:rPr>
          <w:rFonts w:hint="eastAsia" w:ascii="Times New Roman" w:hAnsi="Times New Roman" w:cs="Times New Roman"/>
          <w:sz w:val="32"/>
          <w:szCs w:val="32"/>
          <w:lang w:val="en-US" w:eastAsia="zh-CN"/>
        </w:rPr>
        <w:t>％；</w:t>
      </w:r>
    </w:p>
    <w:p>
      <w:pPr>
        <w:keepNext w:val="0"/>
        <w:keepLines w:val="0"/>
        <w:pageBreakBefore w:val="0"/>
        <w:widowControl w:val="0"/>
        <w:kinsoku/>
        <w:wordWrap/>
        <w:overflowPunct/>
        <w:topLinePunct w:val="0"/>
        <w:autoSpaceDE/>
        <w:autoSpaceDN/>
        <w:bidi w:val="0"/>
        <w:adjustRightInd/>
        <w:snapToGrid w:val="0"/>
        <w:spacing w:line="580" w:lineRule="exact"/>
        <w:ind w:firstLine="640" w:firstLineChars="200"/>
        <w:textAlignment w:val="auto"/>
        <w:outlineLvl w:val="0"/>
        <w:rPr>
          <w:rFonts w:hint="eastAsia" w:ascii="Times New Roman" w:hAnsi="Times New Roman" w:cs="Times New Roman"/>
          <w:sz w:val="32"/>
          <w:szCs w:val="32"/>
          <w:lang w:val="en-US" w:eastAsia="zh-CN"/>
        </w:rPr>
      </w:pPr>
      <w:r>
        <w:rPr>
          <w:rFonts w:hint="eastAsia" w:ascii="Times New Roman" w:hAnsi="Times New Roman" w:cs="Times New Roman"/>
          <w:sz w:val="32"/>
          <w:szCs w:val="32"/>
          <w:lang w:val="en-US" w:eastAsia="zh-CN"/>
        </w:rPr>
        <w:t>5.社会效益指标：在双龙、松华、滇源、阿子营街道办事处辖区范围内实施，围绕全国防返贫监测信息系统中产业项目、就业扶贫、公益岗位、教育扶贫、健康扶贫、危房改造、金融扶贫、生活条件改善、综合保障性扶贫、村基础设施、村公共服务，根据《云南省财政衔接推进乡村振兴补助资金管理办法》（云财农〔2021〕140号）精神，实施“低保、医保、养老保险、临时救助等综合保障措施及教育、卫生、养老服务、文化等农村基本公共通过原资金渠道支持”要求后，项目主要</w:t>
      </w:r>
      <w:r>
        <w:rPr>
          <w:rFonts w:hint="eastAsia" w:cs="Times New Roman"/>
          <w:sz w:val="32"/>
          <w:szCs w:val="32"/>
          <w:lang w:val="en-US" w:eastAsia="zh-CN"/>
        </w:rPr>
        <w:t>为</w:t>
      </w:r>
      <w:bookmarkStart w:id="0" w:name="_GoBack"/>
      <w:bookmarkEnd w:id="0"/>
      <w:r>
        <w:rPr>
          <w:rFonts w:hint="eastAsia" w:ascii="Times New Roman" w:hAnsi="Times New Roman" w:cs="Times New Roman"/>
          <w:sz w:val="32"/>
          <w:szCs w:val="32"/>
          <w:lang w:val="en-US" w:eastAsia="zh-CN"/>
        </w:rPr>
        <w:t>产业项目、村基础设施、生活条件改善、金融扶贫项目。全年实际完成值≥</w:t>
      </w:r>
      <w:r>
        <w:rPr>
          <w:rFonts w:hint="eastAsia" w:cs="Times New Roman"/>
          <w:sz w:val="32"/>
          <w:szCs w:val="32"/>
          <w:lang w:val="en-US" w:eastAsia="zh-CN"/>
        </w:rPr>
        <w:t>100</w:t>
      </w:r>
      <w:r>
        <w:rPr>
          <w:rFonts w:hint="eastAsia" w:ascii="Times New Roman" w:hAnsi="Times New Roman" w:cs="Times New Roman"/>
          <w:sz w:val="32"/>
          <w:szCs w:val="32"/>
          <w:lang w:val="en-US" w:eastAsia="zh-CN"/>
        </w:rPr>
        <w:t>％；</w:t>
      </w:r>
    </w:p>
    <w:p>
      <w:pPr>
        <w:keepNext w:val="0"/>
        <w:keepLines w:val="0"/>
        <w:pageBreakBefore w:val="0"/>
        <w:widowControl w:val="0"/>
        <w:kinsoku/>
        <w:wordWrap/>
        <w:overflowPunct/>
        <w:topLinePunct w:val="0"/>
        <w:autoSpaceDE/>
        <w:autoSpaceDN/>
        <w:bidi w:val="0"/>
        <w:adjustRightInd/>
        <w:snapToGrid w:val="0"/>
        <w:spacing w:line="580" w:lineRule="exact"/>
        <w:ind w:firstLine="640" w:firstLineChars="200"/>
        <w:textAlignment w:val="auto"/>
        <w:outlineLvl w:val="0"/>
        <w:rPr>
          <w:rFonts w:hint="eastAsia" w:ascii="Times New Roman" w:hAnsi="Times New Roman" w:cs="Times New Roman"/>
          <w:sz w:val="32"/>
          <w:szCs w:val="32"/>
          <w:lang w:val="en-US" w:eastAsia="zh-CN"/>
        </w:rPr>
      </w:pPr>
      <w:r>
        <w:rPr>
          <w:rFonts w:hint="eastAsia" w:ascii="Times New Roman" w:hAnsi="Times New Roman" w:cs="Times New Roman"/>
          <w:sz w:val="32"/>
          <w:szCs w:val="32"/>
          <w:lang w:val="en-US" w:eastAsia="zh-CN"/>
        </w:rPr>
        <w:t>6.可持续影响指标：根据《云南省财政衔接推进乡村振兴补助资金管理办法》（云财农〔2021〕140号），衔接资金用于巩固拓展脱贫攻坚成果，支持衔接推进乡村振兴及巩固拓展脱贫攻坚成果同 乡村振兴有效衔接的其他相关支出。全年实际完成值≥10</w:t>
      </w:r>
      <w:r>
        <w:rPr>
          <w:rFonts w:hint="eastAsia" w:cs="Times New Roman"/>
          <w:sz w:val="32"/>
          <w:szCs w:val="32"/>
          <w:lang w:val="en-US" w:eastAsia="zh-CN"/>
        </w:rPr>
        <w:t>0</w:t>
      </w:r>
      <w:r>
        <w:rPr>
          <w:rFonts w:hint="eastAsia" w:ascii="Times New Roman" w:hAnsi="Times New Roman" w:cs="Times New Roman"/>
          <w:sz w:val="32"/>
          <w:szCs w:val="32"/>
          <w:lang w:val="en-US" w:eastAsia="zh-CN"/>
        </w:rPr>
        <w:t>％；</w:t>
      </w:r>
    </w:p>
    <w:p>
      <w:pPr>
        <w:keepNext w:val="0"/>
        <w:keepLines w:val="0"/>
        <w:pageBreakBefore w:val="0"/>
        <w:widowControl w:val="0"/>
        <w:kinsoku/>
        <w:wordWrap/>
        <w:overflowPunct/>
        <w:topLinePunct w:val="0"/>
        <w:autoSpaceDE/>
        <w:autoSpaceDN/>
        <w:bidi w:val="0"/>
        <w:adjustRightInd/>
        <w:snapToGrid w:val="0"/>
        <w:spacing w:line="580" w:lineRule="exact"/>
        <w:ind w:firstLine="640" w:firstLineChars="200"/>
        <w:textAlignment w:val="auto"/>
        <w:outlineLvl w:val="0"/>
        <w:rPr>
          <w:rFonts w:hint="default" w:ascii="Times New Roman" w:hAnsi="Times New Roman" w:cs="Times New Roman"/>
          <w:sz w:val="32"/>
          <w:szCs w:val="32"/>
          <w:lang w:val="en-US" w:eastAsia="zh-CN"/>
        </w:rPr>
      </w:pPr>
      <w:r>
        <w:rPr>
          <w:rFonts w:hint="eastAsia" w:ascii="Times New Roman" w:hAnsi="Times New Roman" w:cs="Times New Roman"/>
          <w:sz w:val="32"/>
          <w:szCs w:val="32"/>
          <w:lang w:val="en-US" w:eastAsia="zh-CN"/>
        </w:rPr>
        <w:t>7.服务对象满意度指标：水源区脱贫户满意度 。全年实际完成值≥95％。</w:t>
      </w:r>
    </w:p>
    <w:p>
      <w:pPr>
        <w:keepNext w:val="0"/>
        <w:keepLines w:val="0"/>
        <w:pageBreakBefore w:val="0"/>
        <w:widowControl w:val="0"/>
        <w:kinsoku/>
        <w:wordWrap/>
        <w:overflowPunct/>
        <w:topLinePunct w:val="0"/>
        <w:autoSpaceDE/>
        <w:autoSpaceDN/>
        <w:bidi w:val="0"/>
        <w:adjustRightInd/>
        <w:snapToGrid w:val="0"/>
        <w:spacing w:line="580" w:lineRule="exact"/>
        <w:ind w:firstLine="600" w:firstLineChars="200"/>
        <w:textAlignment w:val="auto"/>
        <w:outlineLvl w:val="0"/>
        <w:rPr>
          <w:rFonts w:hint="eastAsia" w:ascii="黑体" w:hAnsi="黑体" w:eastAsia="黑体" w:cs="黑体"/>
          <w:lang w:val="en"/>
        </w:rPr>
      </w:pPr>
      <w:r>
        <w:rPr>
          <w:rFonts w:hint="eastAsia" w:ascii="黑体" w:hAnsi="黑体" w:eastAsia="黑体" w:cs="黑体"/>
          <w:lang w:val="en-US" w:eastAsia="zh-CN"/>
        </w:rPr>
        <w:t>三</w:t>
      </w:r>
      <w:r>
        <w:rPr>
          <w:rFonts w:hint="eastAsia" w:ascii="黑体" w:hAnsi="黑体" w:eastAsia="黑体" w:cs="黑体"/>
          <w:lang w:val="en"/>
        </w:rPr>
        <w:t>、附件</w:t>
      </w:r>
    </w:p>
    <w:p>
      <w:pPr>
        <w:keepNext w:val="0"/>
        <w:keepLines w:val="0"/>
        <w:pageBreakBefore w:val="0"/>
        <w:widowControl w:val="0"/>
        <w:kinsoku/>
        <w:wordWrap/>
        <w:overflowPunct/>
        <w:topLinePunct w:val="0"/>
        <w:autoSpaceDE/>
        <w:autoSpaceDN/>
        <w:bidi w:val="0"/>
        <w:adjustRightInd/>
        <w:snapToGrid w:val="0"/>
        <w:spacing w:line="580" w:lineRule="exact"/>
        <w:ind w:firstLine="600" w:firstLineChars="200"/>
        <w:textAlignment w:val="auto"/>
        <w:rPr>
          <w:rFonts w:hint="eastAsia" w:ascii="黑体" w:hAnsi="黑体" w:eastAsia="黑体" w:cs="黑体"/>
          <w:lang w:val="en"/>
        </w:rPr>
      </w:pPr>
      <w:r>
        <w:rPr>
          <w:rFonts w:hint="eastAsia"/>
        </w:rPr>
        <w:t>转移支付区域（项目）绩效目标自评表</w:t>
      </w:r>
    </w:p>
    <w:sectPr>
      <w:pgSz w:w="11906" w:h="16838"/>
      <w:pgMar w:top="1440" w:right="1800" w:bottom="1440" w:left="1800"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华文中宋">
    <w:panose1 w:val="02010600040101010101"/>
    <w:charset w:val="86"/>
    <w:family w:val="auto"/>
    <w:pitch w:val="default"/>
    <w:sig w:usb0="00000287" w:usb1="080F0000" w:usb2="00000000" w:usb3="00000000" w:csb0="0004009F" w:csb1="DFD70000"/>
  </w:font>
  <w:font w:name="楷体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dit="readOnly" w:enforcement="0"/>
  <w:defaultTabStop w:val="420"/>
  <w:drawingGridHorizontalSpacing w:val="150"/>
  <w:drawingGridVerticalSpacing w:val="581"/>
  <w:displayHorizontalDrawingGridEvery w:val="0"/>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57F82"/>
    <w:rsid w:val="000101E1"/>
    <w:rsid w:val="000732DA"/>
    <w:rsid w:val="00075CDC"/>
    <w:rsid w:val="000B1E8F"/>
    <w:rsid w:val="000B6964"/>
    <w:rsid w:val="00103D16"/>
    <w:rsid w:val="00111638"/>
    <w:rsid w:val="00111928"/>
    <w:rsid w:val="0012041C"/>
    <w:rsid w:val="00164D84"/>
    <w:rsid w:val="00173016"/>
    <w:rsid w:val="0017509C"/>
    <w:rsid w:val="001808CA"/>
    <w:rsid w:val="001A4E46"/>
    <w:rsid w:val="001E03FE"/>
    <w:rsid w:val="002123E8"/>
    <w:rsid w:val="00250053"/>
    <w:rsid w:val="0029569C"/>
    <w:rsid w:val="002A5FA7"/>
    <w:rsid w:val="002B3EEF"/>
    <w:rsid w:val="002B54E4"/>
    <w:rsid w:val="002E5562"/>
    <w:rsid w:val="002F6705"/>
    <w:rsid w:val="00301FC0"/>
    <w:rsid w:val="00336A16"/>
    <w:rsid w:val="003663A3"/>
    <w:rsid w:val="00387DD5"/>
    <w:rsid w:val="003B0980"/>
    <w:rsid w:val="003C6374"/>
    <w:rsid w:val="003D2CB9"/>
    <w:rsid w:val="00413F12"/>
    <w:rsid w:val="00493012"/>
    <w:rsid w:val="004D2137"/>
    <w:rsid w:val="005D1514"/>
    <w:rsid w:val="005D7CC3"/>
    <w:rsid w:val="006218A1"/>
    <w:rsid w:val="00682A10"/>
    <w:rsid w:val="006A30E4"/>
    <w:rsid w:val="006A74BF"/>
    <w:rsid w:val="006C1CEE"/>
    <w:rsid w:val="006D5A86"/>
    <w:rsid w:val="00707C2E"/>
    <w:rsid w:val="00722A7D"/>
    <w:rsid w:val="00724A6B"/>
    <w:rsid w:val="0073331B"/>
    <w:rsid w:val="00733C2D"/>
    <w:rsid w:val="00756C7F"/>
    <w:rsid w:val="007D7E6E"/>
    <w:rsid w:val="00850797"/>
    <w:rsid w:val="00853FC4"/>
    <w:rsid w:val="008720F1"/>
    <w:rsid w:val="00882EFA"/>
    <w:rsid w:val="008B2F56"/>
    <w:rsid w:val="008F0996"/>
    <w:rsid w:val="00903791"/>
    <w:rsid w:val="009600BD"/>
    <w:rsid w:val="00961C83"/>
    <w:rsid w:val="009922BC"/>
    <w:rsid w:val="009E0D8C"/>
    <w:rsid w:val="00A02AF3"/>
    <w:rsid w:val="00A25077"/>
    <w:rsid w:val="00A610CC"/>
    <w:rsid w:val="00A8737E"/>
    <w:rsid w:val="00AA19AF"/>
    <w:rsid w:val="00BC6882"/>
    <w:rsid w:val="00BD3FE0"/>
    <w:rsid w:val="00BE58CF"/>
    <w:rsid w:val="00CA5578"/>
    <w:rsid w:val="00CA7DAA"/>
    <w:rsid w:val="00D04826"/>
    <w:rsid w:val="00D63908"/>
    <w:rsid w:val="00D8718A"/>
    <w:rsid w:val="00D93453"/>
    <w:rsid w:val="00DC524D"/>
    <w:rsid w:val="00E071D6"/>
    <w:rsid w:val="00ED3E0F"/>
    <w:rsid w:val="00F015E4"/>
    <w:rsid w:val="00F57F82"/>
    <w:rsid w:val="00F75224"/>
    <w:rsid w:val="00F91EAE"/>
    <w:rsid w:val="00FA086C"/>
    <w:rsid w:val="00FA2093"/>
    <w:rsid w:val="00FA357A"/>
    <w:rsid w:val="037D0BC8"/>
    <w:rsid w:val="077C28E6"/>
    <w:rsid w:val="0845082D"/>
    <w:rsid w:val="09E965F2"/>
    <w:rsid w:val="0D1840AD"/>
    <w:rsid w:val="0FF7AA4F"/>
    <w:rsid w:val="139840D3"/>
    <w:rsid w:val="143E091F"/>
    <w:rsid w:val="14865FC8"/>
    <w:rsid w:val="150C2DB0"/>
    <w:rsid w:val="1A7D29EA"/>
    <w:rsid w:val="1D994BCF"/>
    <w:rsid w:val="1E761F05"/>
    <w:rsid w:val="1F7BE1E6"/>
    <w:rsid w:val="1FC7205C"/>
    <w:rsid w:val="228B3D05"/>
    <w:rsid w:val="284E74F8"/>
    <w:rsid w:val="2ADB48E8"/>
    <w:rsid w:val="31850A09"/>
    <w:rsid w:val="36687282"/>
    <w:rsid w:val="367793B2"/>
    <w:rsid w:val="3794FC37"/>
    <w:rsid w:val="38EF7AD8"/>
    <w:rsid w:val="3A446FFD"/>
    <w:rsid w:val="3E1672E6"/>
    <w:rsid w:val="3EB9C2BB"/>
    <w:rsid w:val="3FEF6A07"/>
    <w:rsid w:val="415F08D8"/>
    <w:rsid w:val="44E2230F"/>
    <w:rsid w:val="48B51347"/>
    <w:rsid w:val="491B45FA"/>
    <w:rsid w:val="4A55216A"/>
    <w:rsid w:val="4FE0696A"/>
    <w:rsid w:val="546F8569"/>
    <w:rsid w:val="55673508"/>
    <w:rsid w:val="59595A6F"/>
    <w:rsid w:val="597350B8"/>
    <w:rsid w:val="599330CA"/>
    <w:rsid w:val="59FC44A4"/>
    <w:rsid w:val="5A7FCB1F"/>
    <w:rsid w:val="5FEAF7C9"/>
    <w:rsid w:val="608131D1"/>
    <w:rsid w:val="60D5009F"/>
    <w:rsid w:val="64AC2E11"/>
    <w:rsid w:val="660721C9"/>
    <w:rsid w:val="661E6C75"/>
    <w:rsid w:val="67F75FF5"/>
    <w:rsid w:val="681D4831"/>
    <w:rsid w:val="692E4B19"/>
    <w:rsid w:val="69513EF7"/>
    <w:rsid w:val="6AEF0F25"/>
    <w:rsid w:val="6BF3256F"/>
    <w:rsid w:val="6CE7018A"/>
    <w:rsid w:val="6E3E3F2D"/>
    <w:rsid w:val="715B2F02"/>
    <w:rsid w:val="73194775"/>
    <w:rsid w:val="76A548F2"/>
    <w:rsid w:val="7765772E"/>
    <w:rsid w:val="776F5E62"/>
    <w:rsid w:val="77867685"/>
    <w:rsid w:val="77EE7FE7"/>
    <w:rsid w:val="781F36B6"/>
    <w:rsid w:val="788A7FAF"/>
    <w:rsid w:val="790627AD"/>
    <w:rsid w:val="79DFF8C4"/>
    <w:rsid w:val="7ADC59FA"/>
    <w:rsid w:val="7AFF2FC3"/>
    <w:rsid w:val="7BF6B4C5"/>
    <w:rsid w:val="7DDD794F"/>
    <w:rsid w:val="7DFA6624"/>
    <w:rsid w:val="7DFD8AD7"/>
    <w:rsid w:val="7DFEFB95"/>
    <w:rsid w:val="7ECD6B9A"/>
    <w:rsid w:val="7FBA576D"/>
    <w:rsid w:val="7FDE47D5"/>
    <w:rsid w:val="7FFD003D"/>
    <w:rsid w:val="94BFC172"/>
    <w:rsid w:val="9BFA614C"/>
    <w:rsid w:val="BAFE1E17"/>
    <w:rsid w:val="BBDF5B5A"/>
    <w:rsid w:val="BBE428C2"/>
    <w:rsid w:val="BFBF52D7"/>
    <w:rsid w:val="DF6E82F1"/>
    <w:rsid w:val="DFCEE0CE"/>
    <w:rsid w:val="DFFF7077"/>
    <w:rsid w:val="EEBF76D9"/>
    <w:rsid w:val="F36EF6AC"/>
    <w:rsid w:val="F6FDCC0E"/>
    <w:rsid w:val="F767D450"/>
    <w:rsid w:val="F76FB1DB"/>
    <w:rsid w:val="F7FBEBBF"/>
    <w:rsid w:val="F9F3FBF0"/>
    <w:rsid w:val="FB9F8FA2"/>
    <w:rsid w:val="FDB5389F"/>
    <w:rsid w:val="FFAFB80B"/>
    <w:rsid w:val="FFF9F86D"/>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仿宋_GB2312" w:cs="Times New Roman"/>
      <w:kern w:val="2"/>
      <w:sz w:val="30"/>
      <w:szCs w:val="24"/>
      <w:lang w:val="en-US" w:eastAsia="zh-CN" w:bidi="ar-SA"/>
    </w:rPr>
  </w:style>
  <w:style w:type="character" w:default="1" w:styleId="7">
    <w:name w:val="Default Paragraph Font"/>
    <w:semiHidden/>
    <w:unhideWhenUsed/>
    <w:qFormat/>
    <w:uiPriority w:val="1"/>
  </w:style>
  <w:style w:type="table" w:default="1" w:styleId="6">
    <w:name w:val="Normal Table"/>
    <w:semiHidden/>
    <w:unhideWhenUsed/>
    <w:qFormat/>
    <w:uiPriority w:val="99"/>
    <w:tblPr>
      <w:tblLayout w:type="fixed"/>
      <w:tblCellMar>
        <w:top w:w="0" w:type="dxa"/>
        <w:left w:w="108" w:type="dxa"/>
        <w:bottom w:w="0" w:type="dxa"/>
        <w:right w:w="108" w:type="dxa"/>
      </w:tblCellMar>
    </w:tblPr>
  </w:style>
  <w:style w:type="paragraph" w:styleId="2">
    <w:name w:val="Body Text"/>
    <w:basedOn w:val="1"/>
    <w:uiPriority w:val="0"/>
    <w:pPr>
      <w:spacing w:after="120" w:afterLines="0" w:afterAutospacing="0"/>
    </w:pPr>
  </w:style>
  <w:style w:type="paragraph" w:styleId="3">
    <w:name w:val="Balloon Text"/>
    <w:basedOn w:val="1"/>
    <w:link w:val="10"/>
    <w:qFormat/>
    <w:uiPriority w:val="0"/>
    <w:rPr>
      <w:sz w:val="18"/>
      <w:szCs w:val="18"/>
    </w:rPr>
  </w:style>
  <w:style w:type="paragraph" w:styleId="4">
    <w:name w:val="footer"/>
    <w:basedOn w:val="1"/>
    <w:link w:val="8"/>
    <w:qFormat/>
    <w:uiPriority w:val="99"/>
    <w:pPr>
      <w:tabs>
        <w:tab w:val="center" w:pos="4153"/>
        <w:tab w:val="right" w:pos="8306"/>
      </w:tabs>
      <w:snapToGrid w:val="0"/>
      <w:jc w:val="left"/>
    </w:pPr>
    <w:rPr>
      <w:sz w:val="18"/>
      <w:szCs w:val="18"/>
    </w:rPr>
  </w:style>
  <w:style w:type="paragraph" w:styleId="5">
    <w:name w:val="header"/>
    <w:basedOn w:val="1"/>
    <w:link w:val="9"/>
    <w:qFormat/>
    <w:uiPriority w:val="0"/>
    <w:pPr>
      <w:pBdr>
        <w:bottom w:val="single" w:color="auto" w:sz="6" w:space="1"/>
      </w:pBdr>
      <w:tabs>
        <w:tab w:val="center" w:pos="4153"/>
        <w:tab w:val="right" w:pos="8306"/>
      </w:tabs>
      <w:snapToGrid w:val="0"/>
      <w:jc w:val="center"/>
    </w:pPr>
    <w:rPr>
      <w:sz w:val="18"/>
      <w:szCs w:val="18"/>
    </w:rPr>
  </w:style>
  <w:style w:type="character" w:customStyle="1" w:styleId="8">
    <w:name w:val="页脚 Char"/>
    <w:basedOn w:val="7"/>
    <w:link w:val="4"/>
    <w:qFormat/>
    <w:uiPriority w:val="99"/>
    <w:rPr>
      <w:rFonts w:eastAsia="仿宋_GB2312"/>
      <w:kern w:val="2"/>
      <w:sz w:val="18"/>
      <w:szCs w:val="18"/>
    </w:rPr>
  </w:style>
  <w:style w:type="character" w:customStyle="1" w:styleId="9">
    <w:name w:val="页眉 Char"/>
    <w:basedOn w:val="7"/>
    <w:link w:val="5"/>
    <w:qFormat/>
    <w:uiPriority w:val="0"/>
    <w:rPr>
      <w:rFonts w:eastAsia="仿宋_GB2312"/>
      <w:kern w:val="2"/>
      <w:sz w:val="18"/>
      <w:szCs w:val="18"/>
    </w:rPr>
  </w:style>
  <w:style w:type="character" w:customStyle="1" w:styleId="10">
    <w:name w:val="批注框文本 Char"/>
    <w:basedOn w:val="7"/>
    <w:link w:val="3"/>
    <w:qFormat/>
    <w:uiPriority w:val="0"/>
    <w:rPr>
      <w:rFonts w:eastAsia="仿宋_GB2312"/>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2</Pages>
  <Words>71</Words>
  <Characters>410</Characters>
  <Lines>3</Lines>
  <Paragraphs>1</Paragraphs>
  <TotalTime>15</TotalTime>
  <ScaleCrop>false</ScaleCrop>
  <LinksUpToDate>false</LinksUpToDate>
  <CharactersWithSpaces>480</CharactersWithSpaces>
  <Application>WPS Office_11.8.6.8722_F1E327BC-269C-435d-A152-05C5408002CA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2019-02-17T06:26:00Z</dcterms:created>
  <dc:creator>lhn</dc:creator>
  <cp:lastModifiedBy>pc</cp:lastModifiedBy>
  <cp:lastPrinted>2023-02-24T17:51:00Z</cp:lastPrinted>
  <dcterms:modified xsi:type="dcterms:W3CDTF">2023-05-10T07:22:43Z</dcterms:modified>
  <dc:title>财政支出绩效评价报告</dc:title>
  <cp:revision>29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2052-11.8.6.8722</vt:lpwstr>
  </property>
</Properties>
</file>